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Ferramentas de IA para DevOps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Camila Martins · Rafael Mattos Moreira — Resumo de estudo técnico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1. Visão Geral do Módulo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constrói, ao longo de 13 submódulos, o projeto </w:t>
      </w:r>
      <w:r>
        <w:rPr>
          <w:rFonts w:ascii="Arial" w:hAnsi="Arial"/>
          <w:b/>
          <w:color w:val="333333"/>
          <w:sz w:val="22"/>
        </w:rPr>
        <w:t>Nexus AI-Ops</w:t>
      </w:r>
      <w:r>
        <w:rPr>
          <w:rFonts w:ascii="Arial" w:hAnsi="Arial"/>
          <w:b w:val="0"/>
          <w:color w:val="333333"/>
          <w:sz w:val="22"/>
        </w:rPr>
        <w:t>: um ecossistema de agentes autônomos (CrewAI + Python) que evolui de um único agente arquiteto consultivo até uma plataforma multi-agente hierárquica capaz de operar infraestrutura real, diagnosticar falhas, priorizar vulnerabilidades, otimizar custo e pipeline, e aplicar auto-remediação sob governança — encerrando com a dockerização, deploy em Kubernetes local (Minikube), simulação de cloud (LocalStack) e execução de LLM offline (Ollama) desse mesmo sistema. O fio condutor: a IA acelera diagnóstico e automação operacional, mas nunca substitui julgamento humano em decisão de alto impacto — governança, guardrails e Human in the Loop aparecem em praticamente todo submódulo.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2. Conceitos Fundamentais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01 — Fundamentos e Arquitetura de IA para Infraestrutura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Transformers usam </w:t>
      </w:r>
      <w:r>
        <w:rPr>
          <w:rFonts w:ascii="Arial" w:hAnsi="Arial"/>
          <w:b/>
          <w:color w:val="333333"/>
          <w:sz w:val="22"/>
        </w:rPr>
        <w:t>Self-Attention</w:t>
      </w:r>
      <w:r>
        <w:rPr>
          <w:rFonts w:ascii="Arial" w:hAnsi="Arial"/>
          <w:b w:val="0"/>
          <w:color w:val="333333"/>
          <w:sz w:val="22"/>
        </w:rPr>
        <w:t xml:space="preserve"> para capturar relação entre partes distantes de um texto/arquivo — por isso lidam bem com HCL (Terraform) e YAML (Kubernetes), onde uma seção influencia outra distante. </w:t>
      </w:r>
      <w:r>
        <w:rPr>
          <w:rFonts w:ascii="Arial" w:hAnsi="Arial"/>
          <w:b/>
          <w:color w:val="333333"/>
          <w:sz w:val="22"/>
        </w:rPr>
        <w:t>Tokenização</w:t>
      </w:r>
      <w:r>
        <w:rPr>
          <w:rFonts w:ascii="Arial" w:hAnsi="Arial"/>
          <w:b w:val="0"/>
          <w:color w:val="333333"/>
          <w:sz w:val="22"/>
        </w:rPr>
        <w:t xml:space="preserve"> também explica por que modelos reconhecem padrão estrutural de código, não só palavra.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Agente ≠ LLM</w:t>
      </w:r>
      <w:r>
        <w:rPr>
          <w:rFonts w:ascii="Arial" w:hAnsi="Arial"/>
          <w:b w:val="0"/>
          <w:color w:val="333333"/>
          <w:sz w:val="22"/>
        </w:rPr>
        <w:t>: a LLM raciocina e gera texto; o agente adiciona organização, autonomia e especialização sobre ela, permitindo verificar automaticamente padrão de nomenclatura, convenção de região, política interna — coisas que escalam mal com revisão manual conforme a infraestrutura cresce.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🔌 Integração/Ferramenta: </w:t>
      </w:r>
      <w:r>
        <w:rPr>
          <w:rFonts w:ascii="Arial" w:hAnsi="Arial"/>
          <w:b/>
          <w:color w:val="333333"/>
          <w:sz w:val="22"/>
        </w:rPr>
        <w:t>CrewAI</w:t>
      </w:r>
      <w:r>
        <w:rPr>
          <w:rFonts w:ascii="Arial" w:hAnsi="Arial"/>
          <w:b w:val="0"/>
          <w:color w:val="333333"/>
          <w:sz w:val="22"/>
        </w:rPr>
        <w:t xml:space="preserve"> (framework usado no laboratório) organiza agentes especializados (analogia a uma equipe real — arquiteto, segurança, SRE, auditor), suportando fluxo sequencial (pipeline) e hierárquico (coordenador + especialistas), preservando contexto ao longo da execução.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RAG</w:t>
      </w:r>
      <w:r>
        <w:rPr>
          <w:rFonts w:ascii="Arial" w:hAnsi="Arial"/>
          <w:b w:val="0"/>
          <w:color w:val="333333"/>
          <w:sz w:val="22"/>
        </w:rPr>
        <w:t xml:space="preserve"> complementa a LLM com conhecimento que ela não tem por padrão — política interna, padrão de nomenclatura, regra de segurança da própria organização — funcionando como uma "lupa" que direciona a busca a um conjunto específico de informação antes de responder.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02 — IaC Copilot (Terraform e Cloud)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 de dois agentes: </w:t>
      </w:r>
      <w:r>
        <w:rPr>
          <w:rFonts w:ascii="Arial" w:hAnsi="Arial"/>
          <w:b/>
          <w:color w:val="333333"/>
          <w:sz w:val="22"/>
        </w:rPr>
        <w:t>arquiteto</w:t>
      </w:r>
      <w:r>
        <w:rPr>
          <w:rFonts w:ascii="Arial" w:hAnsi="Arial"/>
          <w:b w:val="0"/>
          <w:color w:val="333333"/>
          <w:sz w:val="22"/>
        </w:rPr>
        <w:t xml:space="preserve"> (gera Terraform aderente a padrão corporativo) e </w:t>
      </w:r>
      <w:r>
        <w:rPr>
          <w:rFonts w:ascii="Arial" w:hAnsi="Arial"/>
          <w:b/>
          <w:color w:val="333333"/>
          <w:sz w:val="22"/>
        </w:rPr>
        <w:t>auditor</w:t>
      </w:r>
      <w:r>
        <w:rPr>
          <w:rFonts w:ascii="Arial" w:hAnsi="Arial"/>
          <w:b w:val="0"/>
          <w:color w:val="333333"/>
          <w:sz w:val="22"/>
        </w:rPr>
        <w:t xml:space="preserve"> (valida com </w:t>
      </w:r>
      <w:r>
        <w:rPr>
          <w:rFonts w:ascii="Arial" w:hAnsi="Arial"/>
          <w:b/>
          <w:color w:val="333333"/>
          <w:sz w:val="22"/>
        </w:rPr>
        <w:t>Checkov</w:t>
      </w:r>
      <w:r>
        <w:rPr>
          <w:rFonts w:ascii="Arial" w:hAnsi="Arial"/>
          <w:b w:val="0"/>
          <w:color w:val="333333"/>
          <w:sz w:val="22"/>
        </w:rPr>
        <w:t xml:space="preserve"> — análise estática de vulnerabilidade/boa prática: criptografia em repouso, bloqueio de acesso público, versionamento — e </w:t>
      </w:r>
      <w:r>
        <w:rPr>
          <w:rFonts w:ascii="Arial" w:hAnsi="Arial"/>
          <w:b/>
          <w:color w:val="333333"/>
          <w:sz w:val="22"/>
        </w:rPr>
        <w:t>Open Policy Agent/OPA</w:t>
      </w:r>
      <w:r>
        <w:rPr>
          <w:rFonts w:ascii="Arial" w:hAnsi="Arial"/>
          <w:b w:val="0"/>
          <w:color w:val="333333"/>
          <w:sz w:val="22"/>
        </w:rPr>
        <w:t xml:space="preserve"> — valida regra de </w:t>
      </w:r>
      <w:r>
        <w:rPr>
          <w:rFonts w:ascii="Arial" w:hAnsi="Arial"/>
          <w:i/>
          <w:color w:val="333333"/>
          <w:sz w:val="22"/>
        </w:rPr>
        <w:t>negócio</w:t>
      </w:r>
      <w:r>
        <w:rPr>
          <w:rFonts w:ascii="Arial" w:hAnsi="Arial"/>
          <w:b w:val="0"/>
          <w:color w:val="333333"/>
          <w:sz w:val="22"/>
        </w:rPr>
        <w:t>, não só técnica: soberania de dados/região obrigatória, limite de custo/família de instância).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🔑 Regra fundamental: conformidade técnica ≠ conformidade organizacional. Uma infraestrutura pode estar perfeitamente seguro e funcional e ainda violar política corporativa (ex.: região errada) — por isso Checkov e OPA atuam em camadas complementares, nunca substituindo um ao outro.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Feedback loop / self-healing embrionário</w:t>
      </w:r>
      <w:r>
        <w:rPr>
          <w:rFonts w:ascii="Arial" w:hAnsi="Arial"/>
          <w:b w:val="0"/>
          <w:color w:val="333333"/>
          <w:sz w:val="22"/>
        </w:rPr>
        <w:t xml:space="preserve">: se o OPA rejeita (ex.: região incorreta), o auditor devolve o motivo ao arquiteto, que corrige a </w:t>
      </w:r>
      <w:r>
        <w:rPr>
          <w:rFonts w:ascii="Arial" w:hAnsi="Arial"/>
          <w:i/>
          <w:color w:val="333333"/>
          <w:sz w:val="22"/>
        </w:rPr>
        <w:t>origem</w:t>
      </w:r>
      <w:r>
        <w:rPr>
          <w:rFonts w:ascii="Arial" w:hAnsi="Arial"/>
          <w:b w:val="0"/>
          <w:color w:val="333333"/>
          <w:sz w:val="22"/>
        </w:rPr>
        <w:t xml:space="preserve"> do problema (o prompt/config), não só a execução pontual — evitando que o mesmo erro se repita.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Drift Detection</w:t>
      </w:r>
      <w:r>
        <w:rPr>
          <w:rFonts w:ascii="Arial" w:hAnsi="Arial"/>
          <w:b w:val="0"/>
          <w:color w:val="333333"/>
          <w:sz w:val="22"/>
        </w:rPr>
        <w:t xml:space="preserve">: divergência entre o que o Terraform declara e o estado real do ambiente (comum quando alguém altera manualmente pelo console) — a IA pode comparar estado declarado vs. real e sinalizar. O </w:t>
      </w:r>
      <w:r>
        <w:rPr>
          <w:rFonts w:ascii="Arial" w:hAnsi="Arial"/>
          <w:b/>
          <w:color w:val="333333"/>
          <w:sz w:val="22"/>
        </w:rPr>
        <w:t>state</w:t>
      </w:r>
      <w:r>
        <w:rPr>
          <w:rFonts w:ascii="Arial" w:hAnsi="Arial"/>
          <w:b w:val="0"/>
          <w:color w:val="333333"/>
          <w:sz w:val="22"/>
        </w:rPr>
        <w:t xml:space="preserve"> do Terraform é o que torna rollback e auditoria de mudança possíveis.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03 — Agentes para Kubernetes (K8s AI-Ops)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 IA não gera só sintaxe YAML — infere componentes necessários (Deployment, Service, Readiness Probe) a partir do que a aplicação precisa. </w:t>
      </w:r>
      <w:r>
        <w:rPr>
          <w:rFonts w:ascii="Arial" w:hAnsi="Arial"/>
          <w:b/>
          <w:color w:val="333333"/>
          <w:sz w:val="22"/>
        </w:rPr>
        <w:t>Readiness Probe</w:t>
      </w:r>
      <w:r>
        <w:rPr>
          <w:rFonts w:ascii="Arial" w:hAnsi="Arial"/>
          <w:b w:val="0"/>
          <w:color w:val="333333"/>
          <w:sz w:val="22"/>
        </w:rPr>
        <w:t xml:space="preserve"> evita que tráfego chegue a um pod ainda inicializando.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Canary Deployment</w:t>
      </w:r>
      <w:r>
        <w:rPr>
          <w:rFonts w:ascii="Arial" w:hAnsi="Arial"/>
          <w:b w:val="0"/>
          <w:color w:val="333333"/>
          <w:sz w:val="22"/>
        </w:rPr>
        <w:t xml:space="preserve"> (nome vem dos canários usados em minas para detectar gás tóxico antes que afetasse mineiros): libera nova versão gradualmente (10%→25%→50%→100%), monitorando </w:t>
      </w:r>
      <w:r>
        <w:rPr>
          <w:rFonts w:ascii="Arial" w:hAnsi="Arial"/>
          <w:b/>
          <w:color w:val="333333"/>
          <w:sz w:val="22"/>
        </w:rPr>
        <w:t>taxa de erro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Arial" w:hAnsi="Arial"/>
          <w:b/>
          <w:color w:val="333333"/>
          <w:sz w:val="22"/>
        </w:rPr>
        <w:t>latência</w:t>
      </w:r>
      <w:r>
        <w:rPr>
          <w:rFonts w:ascii="Arial" w:hAnsi="Arial"/>
          <w:b w:val="0"/>
          <w:color w:val="333333"/>
          <w:sz w:val="22"/>
        </w:rPr>
        <w:t xml:space="preserve"> — um agente pode decidir proceed/rollback automaticamente com base nesses sinais.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GitOps</w:t>
      </w:r>
      <w:r>
        <w:rPr>
          <w:rFonts w:ascii="Arial" w:hAnsi="Arial"/>
          <w:b w:val="0"/>
          <w:color w:val="333333"/>
          <w:sz w:val="22"/>
        </w:rPr>
        <w:t xml:space="preserve"> (Git como fonte da verdade, reconciliação contínua via Argo CD/Flux) — a IA complementa gerando/ajustando manifesto, sem substituir o fluxo GitOps. Arquitetura de dois agentes: </w:t>
      </w:r>
      <w:r>
        <w:rPr>
          <w:rFonts w:ascii="Arial" w:hAnsi="Arial"/>
          <w:b/>
          <w:color w:val="333333"/>
          <w:sz w:val="22"/>
        </w:rPr>
        <w:t>arquiteto</w:t>
      </w:r>
      <w:r>
        <w:rPr>
          <w:rFonts w:ascii="Arial" w:hAnsi="Arial"/>
          <w:b w:val="0"/>
          <w:color w:val="333333"/>
          <w:sz w:val="22"/>
        </w:rPr>
        <w:t xml:space="preserve"> (gera manifesto) e </w:t>
      </w:r>
      <w:r>
        <w:rPr>
          <w:rFonts w:ascii="Arial" w:hAnsi="Arial"/>
          <w:b/>
          <w:color w:val="333333"/>
          <w:sz w:val="22"/>
        </w:rPr>
        <w:t>SRE</w:t>
      </w:r>
      <w:r>
        <w:rPr>
          <w:rFonts w:ascii="Arial" w:hAnsi="Arial"/>
          <w:b w:val="0"/>
          <w:color w:val="333333"/>
          <w:sz w:val="22"/>
        </w:rPr>
        <w:t xml:space="preserve"> (aplica via reconciliação, roda em modo simulado se cluster indisponível, e usa </w:t>
      </w:r>
      <w:r>
        <w:rPr>
          <w:rFonts w:ascii="Arial" w:hAnsi="Arial"/>
          <w:b/>
          <w:color w:val="333333"/>
          <w:sz w:val="22"/>
        </w:rPr>
        <w:t>Canary Analyzer</w:t>
      </w:r>
      <w:r>
        <w:rPr>
          <w:rFonts w:ascii="Arial" w:hAnsi="Arial"/>
          <w:b w:val="0"/>
          <w:color w:val="333333"/>
          <w:sz w:val="22"/>
        </w:rPr>
        <w:t xml:space="preserve"> pós-deploy para validar taxa de erro/latência).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04 — Troubleshooting e Diagnóstico (React/MTTR)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MTTR</w:t>
      </w:r>
      <w:r>
        <w:rPr>
          <w:rFonts w:ascii="Arial" w:hAnsi="Arial"/>
          <w:b w:val="0"/>
          <w:color w:val="333333"/>
          <w:sz w:val="22"/>
        </w:rPr>
        <w:t xml:space="preserve"> (Mean Time To Recovery/Repair) — tempo para identificar, diagnosticar e corrigir. O padrão </w:t>
      </w:r>
      <w:r>
        <w:rPr>
          <w:rFonts w:ascii="Arial" w:hAnsi="Arial"/>
          <w:b/>
          <w:color w:val="333333"/>
          <w:sz w:val="22"/>
        </w:rPr>
        <w:t>ReAct</w:t>
      </w:r>
      <w:r>
        <w:rPr>
          <w:rFonts w:ascii="Arial" w:hAnsi="Arial"/>
          <w:b w:val="0"/>
          <w:color w:val="333333"/>
          <w:sz w:val="22"/>
        </w:rPr>
        <w:t xml:space="preserve"> (não é o React de frontend — é </w:t>
      </w:r>
      <w:r>
        <w:rPr>
          <w:rFonts w:ascii="Arial" w:hAnsi="Arial"/>
          <w:i/>
          <w:color w:val="333333"/>
          <w:sz w:val="22"/>
        </w:rPr>
        <w:t>Reasoning + Acting</w:t>
      </w:r>
      <w:r>
        <w:rPr>
          <w:rFonts w:ascii="Arial" w:hAnsi="Arial"/>
          <w:b w:val="0"/>
          <w:color w:val="333333"/>
          <w:sz w:val="22"/>
        </w:rPr>
        <w:t>) estrutura o agente em ciclo Pensamento→Ação→Observação→Decisão, reproduzindo como um profissional experiente investiga (não adivinha a causa raiz de cara).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Erros clássicos de Kubernetes trabalhados: </w:t>
      </w:r>
      <w:r>
        <w:rPr>
          <w:rFonts w:ascii="Arial" w:hAnsi="Arial"/>
          <w:b/>
          <w:color w:val="333333"/>
          <w:sz w:val="22"/>
        </w:rPr>
        <w:t>CrashLoopBackOff</w:t>
      </w:r>
      <w:r>
        <w:rPr>
          <w:rFonts w:ascii="Arial" w:hAnsi="Arial"/>
          <w:b w:val="0"/>
          <w:color w:val="333333"/>
          <w:sz w:val="22"/>
        </w:rPr>
        <w:t xml:space="preserve"> (container reinicia repetidamente — causa comum: variável de ambiente errada, dependência inacessível, health check mal configurado), </w:t>
      </w:r>
      <w:r>
        <w:rPr>
          <w:rFonts w:ascii="Arial" w:hAnsi="Arial"/>
          <w:b/>
          <w:color w:val="333333"/>
          <w:sz w:val="22"/>
        </w:rPr>
        <w:t>OOMKilled</w:t>
      </w:r>
      <w:r>
        <w:rPr>
          <w:rFonts w:ascii="Arial" w:hAnsi="Arial"/>
          <w:b w:val="0"/>
          <w:color w:val="333333"/>
          <w:sz w:val="22"/>
        </w:rPr>
        <w:t xml:space="preserve"> (memória insuficiente para o container). Fontes de evidência: </w:t>
      </w:r>
      <w:r>
        <w:rPr>
          <w:rFonts w:ascii="Arial" w:hAnsi="Arial"/>
          <w:b/>
          <w:color w:val="333333"/>
          <w:sz w:val="22"/>
        </w:rPr>
        <w:t>Prometheus</w:t>
      </w:r>
      <w:r>
        <w:rPr>
          <w:rFonts w:ascii="Arial" w:hAnsi="Arial"/>
          <w:b w:val="0"/>
          <w:color w:val="333333"/>
          <w:sz w:val="22"/>
        </w:rPr>
        <w:t xml:space="preserve"> (métricas — scraping periódico; foco em </w:t>
      </w:r>
      <w:r>
        <w:rPr>
          <w:rFonts w:ascii="Arial" w:hAnsi="Arial"/>
          <w:b/>
          <w:color w:val="333333"/>
          <w:sz w:val="22"/>
        </w:rPr>
        <w:t>error rate</w:t>
      </w:r>
      <w:r>
        <w:rPr>
          <w:rFonts w:ascii="Arial" w:hAnsi="Arial"/>
          <w:b w:val="0"/>
          <w:color w:val="333333"/>
          <w:sz w:val="22"/>
        </w:rPr>
        <w:t xml:space="preserve"> e </w:t>
      </w:r>
      <w:r>
        <w:rPr>
          <w:rFonts w:ascii="Arial" w:hAnsi="Arial"/>
          <w:b/>
          <w:color w:val="333333"/>
          <w:sz w:val="22"/>
        </w:rPr>
        <w:t>latência</w:t>
      </w:r>
      <w:r>
        <w:rPr>
          <w:rFonts w:ascii="Arial" w:hAnsi="Arial"/>
          <w:b w:val="0"/>
          <w:color w:val="333333"/>
          <w:sz w:val="22"/>
        </w:rPr>
        <w:t xml:space="preserve">) e </w:t>
      </w:r>
      <w:r>
        <w:rPr>
          <w:rFonts w:ascii="Arial" w:hAnsi="Arial"/>
          <w:b/>
          <w:color w:val="333333"/>
          <w:sz w:val="22"/>
        </w:rPr>
        <w:t>Jaeger</w:t>
      </w:r>
      <w:r>
        <w:rPr>
          <w:rFonts w:ascii="Arial" w:hAnsi="Arial"/>
          <w:b w:val="0"/>
          <w:color w:val="333333"/>
          <w:sz w:val="22"/>
        </w:rPr>
        <w:t xml:space="preserve"> (tracing distribuído — mostra </w:t>
      </w:r>
      <w:r>
        <w:rPr>
          <w:rFonts w:ascii="Arial" w:hAnsi="Arial"/>
          <w:i/>
          <w:color w:val="333333"/>
          <w:sz w:val="22"/>
        </w:rPr>
        <w:t>onde</w:t>
      </w:r>
      <w:r>
        <w:rPr>
          <w:rFonts w:ascii="Arial" w:hAnsi="Arial"/>
          <w:b w:val="0"/>
          <w:color w:val="333333"/>
          <w:sz w:val="22"/>
        </w:rPr>
        <w:t xml:space="preserve"> na cadeia de chamada está o gargalo, ex. tempo concentrado numa query PostgreSQL).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⚠️ Lição prática do laboratório: nem todo erro se encaixa nos padrões catalogados (CrashLoopBackOff, OOMKilled) — às vezes a falha acontece antes mesmo da inicialização do container. Um sistema de observabilidade precisa evoluir continuamente o catálogo de diagnóstico, não só tratar os erros já conhecidos.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05 — AIOps e Observabilidade Preditiva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NL2Q (Natural Language to Query)</w:t>
      </w:r>
      <w:r>
        <w:rPr>
          <w:rFonts w:ascii="Arial" w:hAnsi="Arial"/>
          <w:b w:val="0"/>
          <w:color w:val="333333"/>
          <w:sz w:val="22"/>
        </w:rPr>
        <w:t>: elimina a barreira de dominar PromQL/LogQL — o usuário descreve o que quer monitorar em linguagem natural e o agente traduz. Democratiza observabilidade para quem não é especialista.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Alerta estático vs. preditivo</w:t>
      </w:r>
      <w:r>
        <w:rPr>
          <w:rFonts w:ascii="Arial" w:hAnsi="Arial"/>
          <w:b w:val="0"/>
          <w:color w:val="333333"/>
          <w:sz w:val="22"/>
        </w:rPr>
        <w:t xml:space="preserve">: limite fixo gera </w:t>
      </w:r>
      <w:r>
        <w:rPr>
          <w:rFonts w:ascii="Arial" w:hAnsi="Arial"/>
          <w:b/>
          <w:color w:val="333333"/>
          <w:sz w:val="22"/>
        </w:rPr>
        <w:t>fadiga de alertas</w:t>
      </w:r>
      <w:r>
        <w:rPr>
          <w:rFonts w:ascii="Arial" w:hAnsi="Arial"/>
          <w:b w:val="0"/>
          <w:color w:val="333333"/>
          <w:sz w:val="22"/>
        </w:rPr>
        <w:t xml:space="preserve"> em cenário de sazonalidade normal (ex. Black Friday). Técnicas de análise de série temporal (considerando sazonalidade) e detecção de anomalia (ex. </w:t>
      </w:r>
      <w:r>
        <w:rPr>
          <w:rFonts w:ascii="Arial" w:hAnsi="Arial"/>
          <w:b/>
          <w:color w:val="333333"/>
          <w:sz w:val="22"/>
        </w:rPr>
        <w:t>Isolation Forest</w:t>
      </w:r>
      <w:r>
        <w:rPr>
          <w:rFonts w:ascii="Arial" w:hAnsi="Arial"/>
          <w:b w:val="0"/>
          <w:color w:val="333333"/>
          <w:sz w:val="22"/>
        </w:rPr>
        <w:t>) reduzem falso positivo/negativo — mas anomalia detectada não é sinônimo de problema; requer contexto.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✅ Resultado/Conclusão: o objetivo é "o alerta acontecer antes da queda" — no laboratório, um crescimento de disco de 2GB/hora com 85% de uso já produz previsão ("100% em ~4h") muito antes do esgotamento real, com sugestão de mitigação (limpeza ou expansão) antecipada.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Dashboards dinâmicos</w:t>
      </w:r>
      <w:r>
        <w:rPr>
          <w:rFonts w:ascii="Arial" w:hAnsi="Arial"/>
          <w:b w:val="0"/>
          <w:color w:val="333333"/>
          <w:sz w:val="22"/>
        </w:rPr>
        <w:t>: em vez de construir painel Grafana manualmente durante um incidente (processo lento e caro justo quando o tempo é crítico), o agente gera automaticamente o JSON do dashboard contextualizado ao incidente, pronto para import.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06 — ChatOps e Governança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ChatOps com IA transforma canal de comunicação (Slack/Teams, ou simulado com Streamlit no laboratório) em interface operacional — usuário descreve intenção em linguagem natural, agente traduz para a ferramenta certa. Isso é acessível, mas levanta risco: quem pode fazer o quê?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Camadas de controle: </w:t>
      </w:r>
      <w:r>
        <w:rPr>
          <w:rFonts w:ascii="Arial" w:hAnsi="Arial"/>
          <w:b/>
          <w:color w:val="333333"/>
          <w:sz w:val="22"/>
        </w:rPr>
        <w:t>RBAC</w:t>
      </w:r>
      <w:r>
        <w:rPr>
          <w:rFonts w:ascii="Arial" w:hAnsi="Arial"/>
          <w:b w:val="0"/>
          <w:color w:val="333333"/>
          <w:sz w:val="22"/>
        </w:rPr>
        <w:t xml:space="preserve"> (permissão por papel), </w:t>
      </w:r>
      <w:r>
        <w:rPr>
          <w:rFonts w:ascii="Arial" w:hAnsi="Arial"/>
          <w:b/>
          <w:color w:val="333333"/>
          <w:sz w:val="22"/>
        </w:rPr>
        <w:t>IAM</w:t>
      </w:r>
      <w:r>
        <w:rPr>
          <w:rFonts w:ascii="Arial" w:hAnsi="Arial"/>
          <w:b w:val="0"/>
          <w:color w:val="333333"/>
          <w:sz w:val="22"/>
        </w:rPr>
        <w:t xml:space="preserve"> (identidade — o agente verifica </w:t>
      </w:r>
      <w:r>
        <w:rPr>
          <w:rFonts w:ascii="Arial" w:hAnsi="Arial"/>
          <w:i/>
          <w:color w:val="333333"/>
          <w:sz w:val="22"/>
        </w:rPr>
        <w:t>quem</w:t>
      </w:r>
      <w:r>
        <w:rPr>
          <w:rFonts w:ascii="Arial" w:hAnsi="Arial"/>
          <w:b w:val="0"/>
          <w:color w:val="333333"/>
          <w:sz w:val="22"/>
        </w:rPr>
        <w:t xml:space="preserve"> pede, não só </w:t>
      </w:r>
      <w:r>
        <w:rPr>
          <w:rFonts w:ascii="Arial" w:hAnsi="Arial"/>
          <w:i/>
          <w:color w:val="333333"/>
          <w:sz w:val="22"/>
        </w:rPr>
        <w:t>o que</w:t>
      </w:r>
      <w:r>
        <w:rPr>
          <w:rFonts w:ascii="Arial" w:hAnsi="Arial"/>
          <w:b w:val="0"/>
          <w:color w:val="333333"/>
          <w:sz w:val="22"/>
        </w:rPr>
        <w:t xml:space="preserve"> pede), e sobretudo </w:t>
      </w:r>
      <w:r>
        <w:rPr>
          <w:rFonts w:ascii="Arial" w:hAnsi="Arial"/>
          <w:b/>
          <w:color w:val="333333"/>
          <w:sz w:val="22"/>
        </w:rPr>
        <w:t>Human in the Loop</w:t>
      </w:r>
      <w:r>
        <w:rPr>
          <w:rFonts w:ascii="Arial" w:hAnsi="Arial"/>
          <w:b w:val="0"/>
          <w:color w:val="333333"/>
          <w:sz w:val="22"/>
        </w:rPr>
        <w:t xml:space="preserve"> — ação destrutiva nunca executa sem validação humana explícita, independente de quão sofisticada seja a automação.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 (caso GitLab 2017 citado): o incidente que apagou dados críticos não era primariamente "culpa de uma pessoa" — era falha de processo que permitiu que alguém com acesso insuficientemente controlado executasse ação de altíssimo risco. Isso conecta com </w:t>
      </w:r>
      <w:r>
        <w:rPr>
          <w:rFonts w:ascii="Arial" w:hAnsi="Arial"/>
          <w:b/>
          <w:color w:val="333333"/>
          <w:sz w:val="22"/>
        </w:rPr>
        <w:t>blameless culture</w:t>
      </w:r>
      <w:r>
        <w:rPr>
          <w:rFonts w:ascii="Arial" w:hAnsi="Arial"/>
          <w:b w:val="0"/>
          <w:color w:val="333333"/>
          <w:sz w:val="22"/>
        </w:rPr>
        <w:t>: o foco de uma investigação de incidente é o processo, não o culpado.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No laboratório, o agente classifica cada solicitação (baixo risco → segue direto; destrutiva → exige credencial/confirmação; fora de contexto → recusa) — e os logs do CrewAI tornam essa decisão auditável e rastreável.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07 — Segurança e Compliance (DevSecOps + IA)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Fadiga de alertas</w:t>
      </w:r>
      <w:r>
        <w:rPr>
          <w:rFonts w:ascii="Arial" w:hAnsi="Arial"/>
          <w:b w:val="0"/>
          <w:color w:val="333333"/>
          <w:sz w:val="22"/>
        </w:rPr>
        <w:t xml:space="preserve"> também existe em segurança: um scanner (Trivy, Snyk) pode retornar dezenas/centenas de vulnerabilidades "Critical", mas nem toda vulnerabilidade </w:t>
      </w:r>
      <w:r>
        <w:rPr>
          <w:rFonts w:ascii="Arial" w:hAnsi="Arial"/>
          <w:i/>
          <w:color w:val="333333"/>
          <w:sz w:val="22"/>
        </w:rPr>
        <w:t>teórica</w:t>
      </w:r>
      <w:r>
        <w:rPr>
          <w:rFonts w:ascii="Arial" w:hAnsi="Arial"/>
          <w:b w:val="0"/>
          <w:color w:val="333333"/>
          <w:sz w:val="22"/>
        </w:rPr>
        <w:t xml:space="preserve"> é </w:t>
      </w:r>
      <w:r>
        <w:rPr>
          <w:rFonts w:ascii="Arial" w:hAnsi="Arial"/>
          <w:i/>
          <w:color w:val="333333"/>
          <w:sz w:val="22"/>
        </w:rPr>
        <w:t>explorável</w:t>
      </w:r>
      <w:r>
        <w:rPr>
          <w:rFonts w:ascii="Arial" w:hAnsi="Arial"/>
          <w:b w:val="0"/>
          <w:color w:val="333333"/>
          <w:sz w:val="22"/>
        </w:rPr>
        <w:t xml:space="preserve"> no contexto real (ex. biblioteca nunca usada pela aplicação). O agente atua com perfil de </w:t>
      </w:r>
      <w:r>
        <w:rPr>
          <w:rFonts w:ascii="Arial" w:hAnsi="Arial"/>
          <w:b/>
          <w:color w:val="333333"/>
          <w:sz w:val="22"/>
        </w:rPr>
        <w:t>segurança ofensiva</w:t>
      </w:r>
      <w:r>
        <w:rPr>
          <w:rFonts w:ascii="Arial" w:hAnsi="Arial"/>
          <w:b w:val="0"/>
          <w:color w:val="333333"/>
          <w:sz w:val="22"/>
        </w:rPr>
        <w:t xml:space="preserve"> — prioriza pela exploração real, não pela severidade genérica do relatório.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Exemplo detalhado: </w:t>
      </w:r>
      <w:r>
        <w:rPr>
          <w:rFonts w:ascii="Arial" w:hAnsi="Arial"/>
          <w:b/>
          <w:color w:val="333333"/>
          <w:sz w:val="22"/>
        </w:rPr>
        <w:t>CVE-2024-3094</w:t>
      </w:r>
      <w:r>
        <w:rPr>
          <w:rFonts w:ascii="Arial" w:hAnsi="Arial"/>
          <w:b w:val="0"/>
          <w:color w:val="333333"/>
          <w:sz w:val="22"/>
        </w:rPr>
        <w:t xml:space="preserve"> (backdoor no XZ Utils) usada como case real — ilustra que ameaça moderna vai além de bug acidental: pode ser comprometimento deliberado da cadeia de suprimento de software. Popularidade/downloads de uma imagem Docker não é garantia de segurança — procedência e mantenedor importam.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Compliance as Code</w:t>
      </w:r>
      <w:r>
        <w:rPr>
          <w:rFonts w:ascii="Arial" w:hAnsi="Arial"/>
          <w:b w:val="0"/>
          <w:color w:val="333333"/>
          <w:sz w:val="22"/>
        </w:rPr>
        <w:t>: em vez de preparar evidência de auditoria (ISO 27001, SOC 2) manualmente por semanas, o agente atua como pré-auditor contínuo, organizando evidência e apontando lacuna antes da auditoria formal chegar.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08 — CI/CD Copilot e Otimização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Pipeline executada integralmente a cada commit, independente da mudança, desperdiça tempo de runner (custo) e atrasa feedback. O agente (perfil: "aversão a desperdício de tempo de runner") analisa o workflow e propõe cache de dependência, builds mais eficientes.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Multi-Stage Build</w:t>
      </w:r>
      <w:r>
        <w:rPr>
          <w:rFonts w:ascii="Arial" w:hAnsi="Arial"/>
          <w:b w:val="0"/>
          <w:color w:val="333333"/>
          <w:sz w:val="22"/>
        </w:rPr>
        <w:t>: separa etapa de compilação (imagem com todas as ferramentas de build) da etapa final (imagem enxuta, só com o artefato) — reduz tamanho, tempo de transferência e superfície de ataque. Princípio de responsabilidade única também vale para containers.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Exemplo detalhado: no laboratório, workflow Node.js sem cache reinstala </w:t>
      </w:r>
      <w:r>
        <w:rPr>
          <w:rFonts w:ascii="Courier New" w:hAnsi="Courier New"/>
          <w:color w:val="333333"/>
          <w:sz w:val="20"/>
        </w:rPr>
        <w:t>npm</w:t>
      </w:r>
      <w:r>
        <w:rPr>
          <w:rFonts w:ascii="Arial" w:hAnsi="Arial"/>
          <w:b w:val="0"/>
          <w:color w:val="333333"/>
          <w:sz w:val="22"/>
        </w:rPr>
        <w:t xml:space="preserve"> do zero a cada execução; o agente propõe cache do GitHub Actions chaveado pelo lock file de dependências (hash do arquivo muda → invalida cache), estimando economia de 2 a 5 minutos por execução — multiplicada por centenas/milhares de execuções diárias, isso vira economia relevante de custo de runner, não só de tempo.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Rollback automatizado pós-deploy: se taxa de erro sobe após um deploy, um agente pode acionar reversão via API da própria plataforma de CI/CD — reduzindo o debate "deploy de sexta-feira sim ou não" a uma questão de observabilidade e automação de recuperação, não de dia da semana.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09 — FinOps e Otimização de Custos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Modelo de cobrança em nuvem varia por serviço (tempo, armazenamento, requisição, transferência) — dificulta prever custo intuitivamente. </w:t>
      </w:r>
      <w:r>
        <w:rPr>
          <w:rFonts w:ascii="Arial" w:hAnsi="Arial"/>
          <w:b/>
          <w:color w:val="333333"/>
          <w:sz w:val="22"/>
        </w:rPr>
        <w:t>Free Tier</w:t>
      </w:r>
      <w:r>
        <w:rPr>
          <w:rFonts w:ascii="Arial" w:hAnsi="Arial"/>
          <w:b w:val="0"/>
          <w:color w:val="333333"/>
          <w:sz w:val="22"/>
        </w:rPr>
        <w:t xml:space="preserve"> (AWS) x </w:t>
      </w:r>
      <w:r>
        <w:rPr>
          <w:rFonts w:ascii="Arial" w:hAnsi="Arial"/>
          <w:b/>
          <w:color w:val="333333"/>
          <w:sz w:val="22"/>
        </w:rPr>
        <w:t>créditos promocionais</w:t>
      </w:r>
      <w:r>
        <w:rPr>
          <w:rFonts w:ascii="Arial" w:hAnsi="Arial"/>
          <w:b w:val="0"/>
          <w:color w:val="333333"/>
          <w:sz w:val="22"/>
        </w:rPr>
        <w:t xml:space="preserve"> (GCP/Oracle) exigem alerta orçamentário configurado proativamente.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Ferramentas de visibilidade financeira: </w:t>
      </w:r>
      <w:r>
        <w:rPr>
          <w:rFonts w:ascii="Arial" w:hAnsi="Arial"/>
          <w:b/>
          <w:color w:val="333333"/>
          <w:sz w:val="22"/>
        </w:rPr>
        <w:t>InfraCost</w:t>
      </w:r>
      <w:r>
        <w:rPr>
          <w:rFonts w:ascii="Arial" w:hAnsi="Arial"/>
          <w:b w:val="0"/>
          <w:color w:val="333333"/>
          <w:sz w:val="22"/>
        </w:rPr>
        <w:t xml:space="preserve"> (impacto financeiro de uma mudança de IaC </w:t>
      </w:r>
      <w:r>
        <w:rPr>
          <w:rFonts w:ascii="Arial" w:hAnsi="Arial"/>
          <w:i/>
          <w:color w:val="333333"/>
          <w:sz w:val="22"/>
        </w:rPr>
        <w:t>antes</w:t>
      </w:r>
      <w:r>
        <w:rPr>
          <w:rFonts w:ascii="Arial" w:hAnsi="Arial"/>
          <w:b w:val="0"/>
          <w:color w:val="333333"/>
          <w:sz w:val="22"/>
        </w:rPr>
        <w:t xml:space="preserve"> de aplicar) e </w:t>
      </w:r>
      <w:r>
        <w:rPr>
          <w:rFonts w:ascii="Arial" w:hAnsi="Arial"/>
          <w:b/>
          <w:color w:val="333333"/>
          <w:sz w:val="22"/>
        </w:rPr>
        <w:t>Kubecost</w:t>
      </w:r>
      <w:r>
        <w:rPr>
          <w:rFonts w:ascii="Arial" w:hAnsi="Arial"/>
          <w:b w:val="0"/>
          <w:color w:val="333333"/>
          <w:sz w:val="22"/>
        </w:rPr>
        <w:t xml:space="preserve"> (custo por nó/workload em Kubernetes especificamente).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Recursos zumbis</w:t>
      </w:r>
      <w:r>
        <w:rPr>
          <w:rFonts w:ascii="Arial" w:hAnsi="Arial"/>
          <w:b w:val="0"/>
          <w:color w:val="333333"/>
          <w:sz w:val="22"/>
        </w:rPr>
        <w:t xml:space="preserve"> (geram custo sem valor, silenciosamente): volume EBS órfão (disco sobra após VM removida), Elastic IP não associado, snapshot antigo sem política de retenção. </w:t>
      </w:r>
      <w:r>
        <w:rPr>
          <w:rFonts w:ascii="Arial" w:hAnsi="Arial"/>
          <w:b/>
          <w:color w:val="333333"/>
          <w:sz w:val="22"/>
        </w:rPr>
        <w:t>Right sizing</w:t>
      </w:r>
      <w:r>
        <w:rPr>
          <w:rFonts w:ascii="Arial" w:hAnsi="Arial"/>
          <w:b w:val="0"/>
          <w:color w:val="333333"/>
          <w:sz w:val="22"/>
        </w:rPr>
        <w:t xml:space="preserve">: análise histórica de CPU/memória revela superdimensionamento (ex. instância grande para app com 2-3% de uso médio de CPU) — ajusta capacidade ao consumo real. </w:t>
      </w:r>
      <w:r>
        <w:rPr>
          <w:rFonts w:ascii="Arial" w:hAnsi="Arial"/>
          <w:b/>
          <w:color w:val="333333"/>
          <w:sz w:val="22"/>
        </w:rPr>
        <w:t>Instâncias Spot</w:t>
      </w:r>
      <w:r>
        <w:rPr>
          <w:rFonts w:ascii="Arial" w:hAnsi="Arial"/>
          <w:b w:val="0"/>
          <w:color w:val="333333"/>
          <w:sz w:val="22"/>
        </w:rPr>
        <w:t>: desconto expressivo usando capacidade ociosa do provedor, mas sujeitas a interrupção — adequadas para carga tolerante a isso (batch, experimentação), não para produção crítica.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o agente de FinOps (perfil: auditor financeiro cloud) lê um inventário estruturado (frequentemente derivado do próprio </w:t>
      </w:r>
      <w:r>
        <w:rPr>
          <w:rFonts w:ascii="Arial" w:hAnsi="Arial"/>
          <w:i/>
          <w:color w:val="333333"/>
          <w:sz w:val="22"/>
        </w:rPr>
        <w:t>state</w:t>
      </w:r>
      <w:r>
        <w:rPr>
          <w:rFonts w:ascii="Arial" w:hAnsi="Arial"/>
          <w:b w:val="0"/>
          <w:color w:val="333333"/>
          <w:sz w:val="22"/>
        </w:rPr>
        <w:t xml:space="preserve"> do Terraform) e produz relatório com diagnóstico + estimativa financeira + recomendação priorizável por retorno — democratizando uma análise que tradicionalmente exigia especialista dedicado.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10 — RAG de Runbooks e Auto-Remediação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Conhecimento vivo</w:t>
      </w:r>
      <w:r>
        <w:rPr>
          <w:rFonts w:ascii="Arial" w:hAnsi="Arial"/>
          <w:b w:val="0"/>
          <w:color w:val="333333"/>
          <w:sz w:val="22"/>
        </w:rPr>
        <w:t xml:space="preserve">: documentação corporativa (runbook, playbook, wiki) costuma ser consultada raramente durante um incidente real — o RAG conecta esse material à investigação em tempo real, em vez de deixá-lo como referência passiva. Combate também o </w:t>
      </w:r>
      <w:r>
        <w:rPr>
          <w:rFonts w:ascii="Arial" w:hAnsi="Arial"/>
          <w:b/>
          <w:color w:val="333333"/>
          <w:sz w:val="22"/>
        </w:rPr>
        <w:t>conhecimento tribal</w:t>
      </w:r>
      <w:r>
        <w:rPr>
          <w:rFonts w:ascii="Arial" w:hAnsi="Arial"/>
          <w:b w:val="0"/>
          <w:color w:val="333333"/>
          <w:sz w:val="22"/>
        </w:rPr>
        <w:t xml:space="preserve"> (informação presa na cabeça de poucas pessoas).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Postmortem</w:t>
      </w:r>
      <w:r>
        <w:rPr>
          <w:rFonts w:ascii="Arial" w:hAnsi="Arial"/>
          <w:b w:val="0"/>
          <w:color w:val="333333"/>
          <w:sz w:val="22"/>
        </w:rPr>
        <w:t xml:space="preserve"> tradicionalmente perde qualidade porque é escrito horas/dias depois do incidente (memória já degradada, especialmente após madrugada de trabalho intenso) — um agente acompanhando o incidente em tempo real (consumindo mensagens de canal, transcrição de reunião, métrica) consegue produzir o rascunho quase pronto assim que o incidente encerra.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</w:t>
      </w:r>
      <w:r>
        <w:rPr>
          <w:rFonts w:ascii="Arial" w:hAnsi="Arial"/>
          <w:b/>
          <w:color w:val="333333"/>
          <w:sz w:val="22"/>
        </w:rPr>
        <w:t>auto-remediação</w:t>
      </w:r>
      <w:r>
        <w:rPr>
          <w:rFonts w:ascii="Arial" w:hAnsi="Arial"/>
          <w:b w:val="0"/>
          <w:color w:val="333333"/>
          <w:sz w:val="22"/>
        </w:rPr>
        <w:t xml:space="preserve">: alerta → investigação (logs/métricas/eventos) → consulta a runbook (RAG) → proposta de correção → validação humana → execução. </w:t>
      </w:r>
      <w:r>
        <w:rPr>
          <w:rFonts w:ascii="Arial" w:hAnsi="Arial"/>
          <w:b/>
          <w:color w:val="333333"/>
          <w:sz w:val="22"/>
        </w:rPr>
        <w:t>Dry run</w:t>
      </w:r>
      <w:r>
        <w:rPr>
          <w:rFonts w:ascii="Arial" w:hAnsi="Arial"/>
          <w:b w:val="0"/>
          <w:color w:val="333333"/>
          <w:sz w:val="22"/>
        </w:rPr>
        <w:t xml:space="preserve"> (simulação antes de aplicar) reduz risco antes de qualquer ação real.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11 — Auto-Remediação Segura com Guardrails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Guardrails</w:t>
      </w:r>
      <w:r>
        <w:rPr>
          <w:rFonts w:ascii="Arial" w:hAnsi="Arial"/>
          <w:b w:val="0"/>
          <w:color w:val="333333"/>
          <w:sz w:val="22"/>
        </w:rPr>
        <w:t xml:space="preserve">: limites que orientam o comportamento do agente sem eliminar autonomia — não é "liberdade total" nem "aprovação para tudo", é regra explícita de quando parar. </w:t>
      </w:r>
      <w:r>
        <w:rPr>
          <w:rFonts w:ascii="Arial" w:hAnsi="Arial"/>
          <w:b/>
          <w:color w:val="333333"/>
          <w:sz w:val="22"/>
        </w:rPr>
        <w:t>Circuit breaker operacional</w:t>
      </w:r>
      <w:r>
        <w:rPr>
          <w:rFonts w:ascii="Arial" w:hAnsi="Arial"/>
          <w:b w:val="0"/>
          <w:color w:val="333333"/>
          <w:sz w:val="22"/>
        </w:rPr>
        <w:t xml:space="preserve"> com </w:t>
      </w:r>
      <w:r>
        <w:rPr>
          <w:rFonts w:ascii="Arial" w:hAnsi="Arial"/>
          <w:b/>
          <w:color w:val="333333"/>
          <w:sz w:val="22"/>
        </w:rPr>
        <w:t>rate limiting</w:t>
      </w:r>
      <w:r>
        <w:rPr>
          <w:rFonts w:ascii="Arial" w:hAnsi="Arial"/>
          <w:b w:val="0"/>
          <w:color w:val="333333"/>
          <w:sz w:val="22"/>
        </w:rPr>
        <w:t xml:space="preserve"> (limite de ações por intervalo — restringe o dano de uma decisão errada a um número controlado de operações).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Canary Rollback automático</w:t>
      </w:r>
      <w:r>
        <w:rPr>
          <w:rFonts w:ascii="Arial" w:hAnsi="Arial"/>
          <w:b w:val="0"/>
          <w:color w:val="333333"/>
          <w:sz w:val="22"/>
        </w:rPr>
        <w:t>: após aplicar correção, o sistema continua monitorando; se a métrica piorar em vez de melhorar, reverte sozinho — cria ciclo de autocorreção contínuo, não só correção pontual.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alucinação de IA em ambiente de produção tem consequência muito mais grave que uma resposta de chat errada — pode degradar serviço real. Por isso: ciclo completo detecção→análise→validação de hipótese→ação (nunca corrigir baseado só em hipótese), e </w:t>
      </w:r>
      <w:r>
        <w:rPr>
          <w:rFonts w:ascii="Arial" w:hAnsi="Arial"/>
          <w:b/>
          <w:color w:val="333333"/>
          <w:sz w:val="22"/>
        </w:rPr>
        <w:t>dry run</w:t>
      </w:r>
      <w:r>
        <w:rPr>
          <w:rFonts w:ascii="Arial" w:hAnsi="Arial"/>
          <w:b w:val="0"/>
          <w:color w:val="333333"/>
          <w:sz w:val="22"/>
        </w:rPr>
        <w:t xml:space="preserve"> antes de qualquer ação real, com relatório do que </w:t>
      </w:r>
      <w:r>
        <w:rPr>
          <w:rFonts w:ascii="Arial" w:hAnsi="Arial"/>
          <w:i/>
          <w:color w:val="333333"/>
          <w:sz w:val="22"/>
        </w:rPr>
        <w:t>aconteceria</w:t>
      </w:r>
      <w:r>
        <w:rPr>
          <w:rFonts w:ascii="Arial" w:hAnsi="Arial"/>
          <w:b w:val="0"/>
          <w:color w:val="333333"/>
          <w:sz w:val="22"/>
        </w:rPr>
        <w:t xml:space="preserve"> apresentado para aprovação humana antes da execução.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12 — Projeto Integrador (Bot Full-Stack)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Orquestração hierárquica</w:t>
      </w:r>
      <w:r>
        <w:rPr>
          <w:rFonts w:ascii="Arial" w:hAnsi="Arial"/>
          <w:b w:val="0"/>
          <w:color w:val="333333"/>
          <w:sz w:val="22"/>
        </w:rPr>
        <w:t xml:space="preserve">: um agente </w:t>
      </w:r>
      <w:r>
        <w:rPr>
          <w:rFonts w:ascii="Arial" w:hAnsi="Arial"/>
          <w:b/>
          <w:color w:val="333333"/>
          <w:sz w:val="22"/>
        </w:rPr>
        <w:t>manager</w:t>
      </w:r>
      <w:r>
        <w:rPr>
          <w:rFonts w:ascii="Arial" w:hAnsi="Arial"/>
          <w:b w:val="0"/>
          <w:color w:val="333333"/>
          <w:sz w:val="22"/>
        </w:rPr>
        <w:t xml:space="preserve"> (perfil de gerente de engenharia/CTO virtual) coordena especialistas (segurança, SRE, FinOps) — não executa análise técnica diretamente, distribui trabalho e consolida resultado. Resolve a limitação de um único agente genérico alternando de contexto constantemente (perde profundidade quando pula de custo→segurança→métrica).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Compartilhamento de contexto</w:t>
      </w:r>
      <w:r>
        <w:rPr>
          <w:rFonts w:ascii="Arial" w:hAnsi="Arial"/>
          <w:b w:val="0"/>
          <w:color w:val="333333"/>
          <w:sz w:val="22"/>
        </w:rPr>
        <w:t xml:space="preserve"> entre especialistas permite correlação: instabilidade operacional + vulnerabilidade + aumento de custo podem ser manifestações da </w:t>
      </w:r>
      <w:r>
        <w:rPr>
          <w:rFonts w:ascii="Arial" w:hAnsi="Arial"/>
          <w:i/>
          <w:color w:val="333333"/>
          <w:sz w:val="22"/>
        </w:rPr>
        <w:t>mesma</w:t>
      </w:r>
      <w:r>
        <w:rPr>
          <w:rFonts w:ascii="Arial" w:hAnsi="Arial"/>
          <w:b w:val="0"/>
          <w:color w:val="333333"/>
          <w:sz w:val="22"/>
        </w:rPr>
        <w:t xml:space="preserve"> causa raiz, não três problemas isolados — e só aparece quando os agentes trabalham sobre o mesmo cenário, não em silos.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Game Day</w:t>
      </w:r>
      <w:r>
        <w:rPr>
          <w:rFonts w:ascii="Arial" w:hAnsi="Arial"/>
          <w:b w:val="0"/>
          <w:color w:val="333333"/>
          <w:sz w:val="22"/>
        </w:rPr>
        <w:t>: simulação controlada de incidente(s) simultâneo(s) para testar a arquitetura multi-agente — reflete melhor a realidade corporativa (raramente um problema afeta só uma área).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o manager traduz a consolidação técnica em indicadores de negócio — </w:t>
      </w:r>
      <w:r>
        <w:rPr>
          <w:rFonts w:ascii="Arial" w:hAnsi="Arial"/>
          <w:b/>
          <w:color w:val="333333"/>
          <w:sz w:val="22"/>
        </w:rPr>
        <w:t>ROI</w:t>
      </w:r>
      <w:r>
        <w:rPr>
          <w:rFonts w:ascii="Arial" w:hAnsi="Arial"/>
          <w:b w:val="0"/>
          <w:color w:val="333333"/>
          <w:sz w:val="22"/>
        </w:rPr>
        <w:t xml:space="preserve"> (economia gerada, MTTR reduzido, risco eliminado) — porque a defesa de investimento em automação/IA depende de demonstrar valor tangível, não só capacidade técnica.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13 — AI-Ops Enterprise (Do Terminal ao Escalável)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Jornada completa de empacotamento e deploy do sistema construído nos módulos anteriores: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Etapa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Tecnologia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Papel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Empacotamento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Docker (imagem Python 3.12-slim, multi-stage, </w:t>
            </w:r>
            <w:r>
              <w:rPr>
                <w:rFonts w:ascii="Courier New" w:hAnsi="Courier New"/>
                <w:color w:val="333333"/>
                <w:sz w:val="20"/>
              </w:rPr>
              <w:t>.dockerignore</w:t>
            </w:r>
            <w:r>
              <w:rPr>
                <w:rFonts w:ascii="Arial" w:hAnsi="Arial"/>
                <w:b w:val="0"/>
                <w:color w:val="333333"/>
                <w:sz w:val="22"/>
              </w:rPr>
              <w:t>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Artefato imutável, portátil, reproduzível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Orquestração local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Kubernetes via Minikube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Pod, Deployment, Service, Scheduler, Kubelet, ETCD, escalabilidade (HPA/VPA)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Cloud simulada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LocalStack (S3/SQS/IAM emulados)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Testar integração cloud sem custo/credencial real, código igual ao de produção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Interface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Streamlit (Deployment + Service LoadBalancer separado)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Visualização e interação, desacoplada dos agentes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IA offline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Ollama (ex.: Llama 3.1)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Elimina limite de token/custo de API externa, ganha privacidade — ao custo de exigir recurso computacional local significativo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Secrets</w:t>
      </w:r>
      <w:r>
        <w:rPr>
          <w:rFonts w:ascii="Arial" w:hAnsi="Arial"/>
          <w:b w:val="0"/>
          <w:color w:val="333333"/>
          <w:sz w:val="22"/>
        </w:rPr>
        <w:t xml:space="preserve"> do Kubernetes armazenam credencial sem incorporá-la à imagem — Base64 não é criptografia (qualquer um reverte), é só codificação; em produção usa-se mecanismo real de gerenciamento de segredo. A mesma separação aparece com o LocalStack: só a </w:t>
      </w:r>
      <w:r>
        <w:rPr>
          <w:rFonts w:ascii="Arial" w:hAnsi="Arial"/>
          <w:i/>
          <w:color w:val="333333"/>
          <w:sz w:val="22"/>
        </w:rPr>
        <w:t>configuração</w:t>
      </w:r>
      <w:r>
        <w:rPr>
          <w:rFonts w:ascii="Arial" w:hAnsi="Arial"/>
          <w:b w:val="0"/>
          <w:color w:val="333333"/>
          <w:sz w:val="22"/>
        </w:rPr>
        <w:t xml:space="preserve"> (endpoint) muda entre ambiente simulado e real — o código da aplicação permanece idêntico.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Job vs. Deployment</w:t>
      </w:r>
      <w:r>
        <w:rPr>
          <w:rFonts w:ascii="Arial" w:hAnsi="Arial"/>
          <w:b w:val="0"/>
          <w:color w:val="333333"/>
          <w:sz w:val="22"/>
        </w:rPr>
        <w:t xml:space="preserve">: nem todo container Kubernetes precisa rodar continuamente — tarefa transitória (relatório, auditoria, análise pontual de agente) usa o padrão </w:t>
      </w:r>
      <w:r>
        <w:rPr>
          <w:rFonts w:ascii="Arial" w:hAnsi="Arial"/>
          <w:i/>
          <w:color w:val="333333"/>
          <w:sz w:val="22"/>
        </w:rPr>
        <w:t>Job</w:t>
      </w:r>
      <w:r>
        <w:rPr>
          <w:rFonts w:ascii="Arial" w:hAnsi="Arial"/>
          <w:b w:val="0"/>
          <w:color w:val="333333"/>
          <w:sz w:val="22"/>
        </w:rPr>
        <w:t xml:space="preserve">, que inicia, executa e encerra; interpretar isso como </w:t>
      </w:r>
      <w:r>
        <w:rPr>
          <w:rFonts w:ascii="Courier New" w:hAnsi="Courier New"/>
          <w:color w:val="333333"/>
          <w:sz w:val="20"/>
        </w:rPr>
        <w:t>CrashLoopBackOff</w:t>
      </w:r>
      <w:r>
        <w:rPr>
          <w:rFonts w:ascii="Arial" w:hAnsi="Arial"/>
          <w:b w:val="0"/>
          <w:color w:val="333333"/>
          <w:sz w:val="22"/>
        </w:rPr>
        <w:t xml:space="preserve"> é erro de leitura do operador, não falha real.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Limitação prática observada: rodar um modelo de linguagem completo (Ollama) dentro de um cluster local de um nó só, compartilhando recurso com a própria máquina de desenvolvimento, esbarra em memória/CPU — o Pod fica pendente. Isso não invalida o conceito (com cluster maior funcionaria), mas evidencia que eliminar dependência de API externa </w:t>
      </w:r>
      <w:r>
        <w:rPr>
          <w:rFonts w:ascii="Arial" w:hAnsi="Arial"/>
          <w:b/>
          <w:color w:val="333333"/>
          <w:sz w:val="22"/>
        </w:rPr>
        <w:t>transfere</w:t>
      </w:r>
      <w:r>
        <w:rPr>
          <w:rFonts w:ascii="Arial" w:hAnsi="Arial"/>
          <w:b w:val="0"/>
          <w:color w:val="333333"/>
          <w:sz w:val="22"/>
        </w:rPr>
        <w:t xml:space="preserve"> o custo computacional para dentro da própria infraestrutura.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3. Detalhes de Implementação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Os agentes do Nexus AI-Ops são construídos em </w:t>
      </w:r>
      <w:r>
        <w:rPr>
          <w:rFonts w:ascii="Arial" w:hAnsi="Arial"/>
          <w:b/>
          <w:color w:val="333333"/>
          <w:sz w:val="22"/>
        </w:rPr>
        <w:t>Python + CrewAI</w:t>
      </w:r>
      <w:r>
        <w:rPr>
          <w:rFonts w:ascii="Arial" w:hAnsi="Arial"/>
          <w:b w:val="0"/>
          <w:color w:val="333333"/>
          <w:sz w:val="22"/>
        </w:rPr>
        <w:t xml:space="preserve"> (</w:t>
      </w:r>
      <w:r>
        <w:rPr>
          <w:rFonts w:ascii="Courier New" w:hAnsi="Courier New"/>
          <w:color w:val="333333"/>
          <w:sz w:val="20"/>
        </w:rPr>
        <w:t>core/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labs/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tools/</w:t>
      </w:r>
      <w:r>
        <w:rPr>
          <w:rFonts w:ascii="Arial" w:hAnsi="Arial"/>
          <w:b w:val="0"/>
          <w:color w:val="333333"/>
          <w:sz w:val="22"/>
        </w:rPr>
        <w:t xml:space="preserve">), com a orquestração multi-agente hierárquica não portada para outras linguagens (não há framework equivalente pronto). As </w:t>
      </w:r>
      <w:r>
        <w:rPr>
          <w:rFonts w:ascii="Arial" w:hAnsi="Arial"/>
          <w:b/>
          <w:color w:val="333333"/>
          <w:sz w:val="22"/>
        </w:rPr>
        <w:t>18 ferramentas</w:t>
      </w:r>
      <w:r>
        <w:rPr>
          <w:rFonts w:ascii="Arial" w:hAnsi="Arial"/>
          <w:b w:val="0"/>
          <w:color w:val="333333"/>
          <w:sz w:val="22"/>
        </w:rPr>
        <w:t xml:space="preserve"> (</w:t>
      </w:r>
      <w:r>
        <w:rPr>
          <w:rFonts w:ascii="Courier New" w:hAnsi="Courier New"/>
          <w:color w:val="333333"/>
          <w:sz w:val="20"/>
        </w:rPr>
        <w:t>@tool</w:t>
      </w:r>
      <w:r>
        <w:rPr>
          <w:rFonts w:ascii="Arial" w:hAnsi="Arial"/>
          <w:b w:val="0"/>
          <w:color w:val="333333"/>
          <w:sz w:val="22"/>
        </w:rPr>
        <w:t xml:space="preserve"> do CrewAI) que os agentes usam foram portadas separadamente para Java e Go como APIs HTTP, mantendo a mesma lógica de negócio e texto de resposta.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3.1 Nexus Tools API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expõe as 18 ferramentas do Nexus (K8s ops/diag, segurança, observabilidade, AIOps, ChatOps, governança, policy RAG, runbook) como endpoints HTTP </w:t>
      </w:r>
      <w:r>
        <w:rPr>
          <w:rFonts w:ascii="Courier New" w:hAnsi="Courier New"/>
          <w:color w:val="333333"/>
          <w:sz w:val="20"/>
        </w:rPr>
        <w:t>POST /tools/&lt;nome&gt;</w:t>
      </w:r>
      <w:r>
        <w:rPr>
          <w:rFonts w:ascii="Arial" w:hAnsi="Arial"/>
          <w:b w:val="0"/>
          <w:color w:val="333333"/>
          <w:sz w:val="22"/>
        </w:rPr>
        <w:t>, chamáveis por qualquer orquestrador, não só CrewAI.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requisição HTTP → handler correspondente → lógica determinística/simulada (ex.: </w:t>
      </w:r>
      <w:r>
        <w:rPr>
          <w:rFonts w:ascii="Courier New" w:hAnsi="Courier New"/>
          <w:color w:val="333333"/>
          <w:sz w:val="20"/>
        </w:rPr>
        <w:t>analyze-canary-metrics</w:t>
      </w:r>
      <w:r>
        <w:rPr>
          <w:rFonts w:ascii="Arial" w:hAnsi="Arial"/>
          <w:b w:val="0"/>
          <w:color w:val="333333"/>
          <w:sz w:val="22"/>
        </w:rPr>
        <w:t xml:space="preserve"> decide proceed/rollback por threshold de erro; </w:t>
      </w:r>
      <w:r>
        <w:rPr>
          <w:rFonts w:ascii="Courier New" w:hAnsi="Courier New"/>
          <w:color w:val="333333"/>
          <w:sz w:val="20"/>
        </w:rPr>
        <w:t>validate-opa-policies</w:t>
      </w:r>
      <w:r>
        <w:rPr>
          <w:rFonts w:ascii="Arial" w:hAnsi="Arial"/>
          <w:b w:val="0"/>
          <w:color w:val="333333"/>
          <w:sz w:val="22"/>
        </w:rPr>
        <w:t xml:space="preserve"> simula o motor OPA verificando região, tamanho de instância, ingress público) → </w:t>
      </w:r>
      <w:r>
        <w:rPr>
          <w:rFonts w:ascii="Courier New" w:hAnsi="Courier New"/>
          <w:color w:val="333333"/>
          <w:sz w:val="20"/>
        </w:rPr>
        <w:t>{"result": "&lt;texto&gt;"}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decisão de canary por threshold, mantendo o mesmo texto de resposta do original Python: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AnalyzeCanaryMetrics(errorRate float64) string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errorRate &gt; ErrorThresholdPercent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"🔴 ROLLBACK recomendado: taxa de erro acima do limite aceitável."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"🟢 PROCEED: métricas dentro do esperado, rollout pode continuar."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Arquitetura: </w:t>
      </w:r>
      <w:r>
        <w:rPr>
          <w:rFonts w:ascii="Courier New" w:hAnsi="Courier New"/>
          <w:color w:val="333333"/>
          <w:sz w:val="20"/>
        </w:rPr>
        <w:t>apply-k8s-manifest</w:t>
      </w:r>
      <w:r>
        <w:rPr>
          <w:rFonts w:ascii="Arial" w:hAnsi="Arial"/>
          <w:b w:val="0"/>
          <w:color w:val="333333"/>
          <w:sz w:val="22"/>
        </w:rPr>
        <w:t xml:space="preserve"> tenta </w:t>
      </w:r>
      <w:r>
        <w:rPr>
          <w:rFonts w:ascii="Courier New" w:hAnsi="Courier New"/>
          <w:color w:val="333333"/>
          <w:sz w:val="20"/>
        </w:rPr>
        <w:t>kubectl apply</w:t>
      </w:r>
      <w:r>
        <w:rPr>
          <w:rFonts w:ascii="Arial" w:hAnsi="Arial"/>
          <w:b w:val="0"/>
          <w:color w:val="333333"/>
          <w:sz w:val="22"/>
        </w:rPr>
        <w:t xml:space="preserve"> real via </w:t>
      </w:r>
      <w:r>
        <w:rPr>
          <w:rFonts w:ascii="Courier New" w:hAnsi="Courier New"/>
          <w:color w:val="333333"/>
          <w:sz w:val="20"/>
        </w:rPr>
        <w:t>os/exec</w:t>
      </w:r>
      <w:r>
        <w:rPr>
          <w:rFonts w:ascii="Arial" w:hAnsi="Arial"/>
          <w:b w:val="0"/>
          <w:color w:val="333333"/>
          <w:sz w:val="22"/>
        </w:rPr>
        <w:t xml:space="preserve"> e cai em modo de simulação se o binário não existir — mesmo comportamento do </w:t>
      </w:r>
      <w:r>
        <w:rPr>
          <w:rFonts w:ascii="Courier New" w:hAnsi="Courier New"/>
          <w:color w:val="333333"/>
          <w:sz w:val="20"/>
        </w:rPr>
        <w:t>run-checkov-scan</w:t>
      </w:r>
      <w:r>
        <w:rPr>
          <w:rFonts w:ascii="Arial" w:hAnsi="Arial"/>
          <w:b w:val="0"/>
          <w:color w:val="333333"/>
          <w:sz w:val="22"/>
        </w:rPr>
        <w:t xml:space="preserve"> com o CLI do Checkov. Aprovação humana obrigatória (</w:t>
      </w:r>
      <w:r>
        <w:rPr>
          <w:rFonts w:ascii="Courier New" w:hAnsi="Courier New"/>
          <w:color w:val="333333"/>
          <w:sz w:val="20"/>
        </w:rPr>
        <w:t>GESTOR-APROVA</w:t>
      </w:r>
      <w:r>
        <w:rPr>
          <w:rFonts w:ascii="Arial" w:hAnsi="Arial"/>
          <w:b w:val="0"/>
          <w:color w:val="333333"/>
          <w:sz w:val="22"/>
        </w:rPr>
        <w:t xml:space="preserve">) é hardcoded como regra de negócio para qualquer comando Terraform destrutivo em </w:t>
      </w:r>
      <w:r>
        <w:rPr>
          <w:rFonts w:ascii="Courier New" w:hAnsi="Courier New"/>
          <w:color w:val="333333"/>
          <w:sz w:val="20"/>
        </w:rPr>
        <w:t>execute-terraform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 &amp;&amp; go run .</w:t>
      </w:r>
      <w:r>
        <w:rPr>
          <w:rFonts w:ascii="Arial" w:hAnsi="Arial"/>
          <w:b w:val="0"/>
          <w:color w:val="333333"/>
          <w:sz w:val="22"/>
        </w:rPr>
        <w:t xml:space="preserve">; testes com </w:t>
      </w:r>
      <w:r>
        <w:rPr>
          <w:rFonts w:ascii="Courier New" w:hAnsi="Courier New"/>
          <w:color w:val="333333"/>
          <w:sz w:val="20"/>
        </w:rPr>
        <w:t>go test ./...</w:t>
      </w:r>
      <w:r>
        <w:rPr>
          <w:rFonts w:ascii="Arial" w:hAnsi="Arial"/>
          <w:b w:val="0"/>
          <w:color w:val="333333"/>
          <w:sz w:val="22"/>
        </w:rPr>
        <w:t xml:space="preserve"> cobrindo os principais ramos de decisão de cada ferramenta, incluindo leitura/escrita real de arquivo em disco.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3.2 Nexus Tools API — Java (Spring Boot)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O que faz: mesmo conjunto de 18 endpoints, mesma lógica de negócio e mesmo texto de resposta (incluindo emoji) que a versão Go — porta espelhada para comparar as duas linguagens sobre o mesmo domínio.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(Java) — mesma regra de canary, agora em Spring: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public String analyzeCanaryMetrics(double errorRate)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(errorRate &gt; ERROR_THRESHOLD_PERCENT)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"🔴 ROLLBACK recomendado: taxa de erro acima do limite aceitável.";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"🟢 PROCEED: métricas dentro do esperado, rollout pode continuar.";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Arquitetura: subprocesso via </w:t>
      </w:r>
      <w:r>
        <w:rPr>
          <w:rFonts w:ascii="Courier New" w:hAnsi="Courier New"/>
          <w:color w:val="333333"/>
          <w:sz w:val="20"/>
        </w:rPr>
        <w:t>ProcessBuilder</w:t>
      </w:r>
      <w:r>
        <w:rPr>
          <w:rFonts w:ascii="Arial" w:hAnsi="Arial"/>
          <w:b w:val="0"/>
          <w:color w:val="333333"/>
          <w:sz w:val="22"/>
        </w:rPr>
        <w:t xml:space="preserve"> (equivalente ao </w:t>
      </w:r>
      <w:r>
        <w:rPr>
          <w:rFonts w:ascii="Courier New" w:hAnsi="Courier New"/>
          <w:color w:val="333333"/>
          <w:sz w:val="20"/>
        </w:rPr>
        <w:t>os/exec</w:t>
      </w:r>
      <w:r>
        <w:rPr>
          <w:rFonts w:ascii="Arial" w:hAnsi="Arial"/>
          <w:b w:val="0"/>
          <w:color w:val="333333"/>
          <w:sz w:val="22"/>
        </w:rPr>
        <w:t xml:space="preserve"> do Go) para </w:t>
      </w:r>
      <w:r>
        <w:rPr>
          <w:rFonts w:ascii="Courier New" w:hAnsi="Courier New"/>
          <w:color w:val="333333"/>
          <w:sz w:val="20"/>
        </w:rPr>
        <w:t>kubectl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checkov</w:t>
      </w:r>
      <w:r>
        <w:rPr>
          <w:rFonts w:ascii="Arial" w:hAnsi="Arial"/>
          <w:b w:val="0"/>
          <w:color w:val="333333"/>
          <w:sz w:val="22"/>
        </w:rPr>
        <w:t xml:space="preserve">; serialização JSON do dashboard Grafana via Jackson </w:t>
      </w:r>
      <w:r>
        <w:rPr>
          <w:rFonts w:ascii="Courier New" w:hAnsi="Courier New"/>
          <w:color w:val="333333"/>
          <w:sz w:val="20"/>
        </w:rPr>
        <w:t>ObjectMapper</w:t>
      </w:r>
      <w:r>
        <w:rPr>
          <w:rFonts w:ascii="Arial" w:hAnsi="Arial"/>
          <w:b w:val="0"/>
          <w:color w:val="333333"/>
          <w:sz w:val="22"/>
        </w:rPr>
        <w:t xml:space="preserve"> (equivalente a </w:t>
      </w:r>
      <w:r>
        <w:rPr>
          <w:rFonts w:ascii="Courier New" w:hAnsi="Courier New"/>
          <w:color w:val="333333"/>
          <w:sz w:val="20"/>
        </w:rPr>
        <w:t>encoding/json</w:t>
      </w:r>
      <w:r>
        <w:rPr>
          <w:rFonts w:ascii="Arial" w:hAnsi="Arial"/>
          <w:b w:val="0"/>
          <w:color w:val="333333"/>
          <w:sz w:val="22"/>
        </w:rPr>
        <w:t xml:space="preserve"> + </w:t>
      </w:r>
      <w:r>
        <w:rPr>
          <w:rFonts w:ascii="Courier New" w:hAnsi="Courier New"/>
          <w:color w:val="333333"/>
          <w:sz w:val="20"/>
        </w:rPr>
        <w:t>MarshalIndent</w:t>
      </w:r>
      <w:r>
        <w:rPr>
          <w:rFonts w:ascii="Arial" w:hAnsi="Arial"/>
          <w:b w:val="0"/>
          <w:color w:val="333333"/>
          <w:sz w:val="22"/>
        </w:rPr>
        <w:t xml:space="preserve"> no Go). Regras de negócio idênticas: threshold de canary, política OPA (região </w:t>
      </w:r>
      <w:r>
        <w:rPr>
          <w:rFonts w:ascii="Courier New" w:hAnsi="Courier New"/>
          <w:color w:val="333333"/>
          <w:sz w:val="20"/>
        </w:rPr>
        <w:t>us-east-1</w:t>
      </w:r>
      <w:r>
        <w:rPr>
          <w:rFonts w:ascii="Arial" w:hAnsi="Arial"/>
          <w:b w:val="0"/>
          <w:color w:val="333333"/>
          <w:sz w:val="22"/>
        </w:rPr>
        <w:t xml:space="preserve">, bloqueio de </w:t>
      </w:r>
      <w:r>
        <w:rPr>
          <w:rFonts w:ascii="Courier New" w:hAnsi="Courier New"/>
          <w:color w:val="333333"/>
          <w:sz w:val="20"/>
        </w:rPr>
        <w:t>t3.large</w:t>
      </w:r>
      <w:r>
        <w:rPr>
          <w:rFonts w:ascii="Arial" w:hAnsi="Arial"/>
          <w:b w:val="0"/>
          <w:color w:val="333333"/>
          <w:sz w:val="22"/>
        </w:rPr>
        <w:t xml:space="preserve">, bloqueio de ingress </w:t>
      </w:r>
      <w:r>
        <w:rPr>
          <w:rFonts w:ascii="Courier New" w:hAnsi="Courier New"/>
          <w:color w:val="333333"/>
          <w:sz w:val="20"/>
        </w:rPr>
        <w:t>0.0.0.0/0</w:t>
      </w:r>
      <w:r>
        <w:rPr>
          <w:rFonts w:ascii="Arial" w:hAnsi="Arial"/>
          <w:b w:val="0"/>
          <w:color w:val="333333"/>
          <w:sz w:val="22"/>
        </w:rPr>
        <w:t>), mapa de remediação conhecida (</w:t>
      </w:r>
      <w:r>
        <w:rPr>
          <w:rFonts w:ascii="Courier New" w:hAnsi="Courier New"/>
          <w:color w:val="333333"/>
          <w:sz w:val="20"/>
        </w:rPr>
        <w:t>OOMKilled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ImagePullBackOff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CrashLoopBackOff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mvn spring-boot:run</w:t>
      </w:r>
      <w:r>
        <w:rPr>
          <w:rFonts w:ascii="Arial" w:hAnsi="Arial"/>
          <w:b w:val="0"/>
          <w:color w:val="333333"/>
          <w:sz w:val="22"/>
        </w:rPr>
        <w:t xml:space="preserve">; testes com </w:t>
      </w:r>
      <w:r>
        <w:rPr>
          <w:rFonts w:ascii="Courier New" w:hAnsi="Courier New"/>
          <w:color w:val="333333"/>
          <w:sz w:val="20"/>
        </w:rPr>
        <w:t>mvn test</w:t>
      </w:r>
      <w:r>
        <w:rPr>
          <w:rFonts w:ascii="Arial" w:hAnsi="Arial"/>
          <w:b w:val="0"/>
          <w:color w:val="333333"/>
          <w:sz w:val="22"/>
        </w:rPr>
        <w:t xml:space="preserve"> via MockMvc, cobrindo os mesmos ramos de decisão, mais um smoke test HTTP.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3.3 Agentes Python/CrewAI (núcleo não portado)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a parte não replicada em Java/Go — o "Nexus Manager" hierárquico que delega tarefa aos agentes especialistas (arquiteto, auditor DevSecOps, SRE, FinOps, ChatOps) via function calling do LLM dentro de um </w:t>
      </w:r>
      <w:r>
        <w:rPr>
          <w:rFonts w:ascii="Courier New" w:hAnsi="Courier New"/>
          <w:color w:val="333333"/>
          <w:sz w:val="20"/>
        </w:rPr>
        <w:t>Crew</w:t>
      </w:r>
      <w:r>
        <w:rPr>
          <w:rFonts w:ascii="Arial" w:hAnsi="Arial"/>
          <w:b w:val="0"/>
          <w:color w:val="333333"/>
          <w:sz w:val="22"/>
        </w:rPr>
        <w:t xml:space="preserve">. Cada agente é definido por papel, background e conjunto de ferramentas (as mesmas 18 acima, chamadas nativamente via decorador </w:t>
      </w:r>
      <w:r>
        <w:rPr>
          <w:rFonts w:ascii="Courier New" w:hAnsi="Courier New"/>
          <w:color w:val="333333"/>
          <w:sz w:val="20"/>
        </w:rPr>
        <w:t>@tool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Por que não foi portado: orquestração multi-agente com LLM real como motor de decisão não tem equivalente pronto em Java/Go — replicar exigiria reimplementar o controle de fluxo do CrewAI (delegação, retry, parsing de function calling) do zero, o que é um projeto de arquitetura à parte, fora do escopo de um porte mecânico de ferramentas.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4. Analogias Java/Spring Boot e 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Conceito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Java/Spring Boot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Go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Definir papel/contexto de um agente (arquiteto, SRE, FinOps)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com um </w:t>
            </w:r>
            <w:r>
              <w:rPr>
                <w:rFonts w:ascii="Courier New" w:hAnsi="Courier New"/>
                <w:color w:val="333333"/>
                <w:sz w:val="20"/>
              </w:rPr>
              <w:t>@Qualifier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específico injetado por perfil — o "papel" do componente é fixado na configuração, não decidido em runtime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Uma </w:t>
            </w:r>
            <w:r>
              <w:rPr>
                <w:rFonts w:ascii="Courier New" w:hAnsi="Courier New"/>
                <w:color w:val="333333"/>
                <w:sz w:val="20"/>
              </w:rPr>
              <w:t>struct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implementando uma </w:t>
            </w:r>
            <w:r>
              <w:rPr>
                <w:rFonts w:ascii="Courier New" w:hAnsi="Courier New"/>
                <w:color w:val="333333"/>
                <w:sz w:val="20"/>
              </w:rPr>
              <w:t>interface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pequena (</w:t>
            </w:r>
            <w:r>
              <w:rPr>
                <w:rFonts w:ascii="Courier New" w:hAnsi="Courier New"/>
                <w:color w:val="333333"/>
                <w:sz w:val="20"/>
              </w:rPr>
              <w:t>type Agente interface { Investigar(...) }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— o "papel" vem da implementação escolhida, não de metadado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Ferramenta (</w:t>
            </w:r>
            <w:r>
              <w:rPr>
                <w:rFonts w:ascii="Courier New" w:hAnsi="Courier New"/>
                <w:color w:val="333333"/>
                <w:sz w:val="20"/>
              </w:rPr>
              <w:t>@tool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do CrewAI) exposta como endpoint reutilizável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</w:t>
            </w:r>
            <w:r>
              <w:rPr>
                <w:rFonts w:ascii="Courier New" w:hAnsi="Courier New"/>
                <w:color w:val="333333"/>
                <w:sz w:val="20"/>
              </w:rPr>
              <w:t>@RestController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fino delegando para um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de domínio — a mesma lógica de negócio é chamável tanto por HTTP quanto por um scheduler interno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Uma função de pacote (</w:t>
            </w:r>
            <w:r>
              <w:rPr>
                <w:rFonts w:ascii="Courier New" w:hAnsi="Courier New"/>
                <w:color w:val="333333"/>
                <w:sz w:val="20"/>
              </w:rPr>
              <w:t>tools.AnalyzeCanaryMetrics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) chamada tanto pelo </w:t>
            </w:r>
            <w:r>
              <w:rPr>
                <w:rFonts w:ascii="Courier New" w:hAnsi="Courier New"/>
                <w:color w:val="333333"/>
                <w:sz w:val="20"/>
              </w:rPr>
              <w:t>handler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HTTP quanto, em teoria, por um orquestrador CLI — a "tool" é só uma função com contrato de entrada/saída bem definido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Auditoria + auto-correção do arquiteto (Checkov/OPA reprovam, o agente corrige a origem)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</w:t>
            </w:r>
            <w:r>
              <w:rPr>
                <w:rFonts w:ascii="Courier New" w:hAnsi="Courier New"/>
                <w:color w:val="333333"/>
                <w:sz w:val="20"/>
              </w:rPr>
              <w:t>@ControllerAdvice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/validator centralizado que rejeita uma requisição </w:t>
            </w:r>
            <w:r>
              <w:rPr>
                <w:rFonts w:ascii="Arial" w:hAnsi="Arial"/>
                <w:i/>
                <w:color w:val="333333"/>
                <w:sz w:val="22"/>
              </w:rPr>
              <w:t>antes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de persistir — a correção acontece na camada de validação, não espalhada pelo código de negócio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Middleware Go que intercepta e valida antes do handler seguir — mesma ideia de "gate" centralizado antes de qualquer efeito colateral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Dry run / dois estágios (simular, depois aplicar com aprovação)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método </w:t>
            </w:r>
            <w:r>
              <w:rPr>
                <w:rFonts w:ascii="Courier New" w:hAnsi="Courier New"/>
                <w:color w:val="333333"/>
                <w:sz w:val="20"/>
              </w:rPr>
              <w:t>simulate()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que retorna o mesmo tipo de resultado que </w:t>
            </w:r>
            <w:r>
              <w:rPr>
                <w:rFonts w:ascii="Courier New" w:hAnsi="Courier New"/>
                <w:color w:val="333333"/>
                <w:sz w:val="20"/>
              </w:rPr>
              <w:t>execute()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mas sem </w:t>
            </w:r>
            <w:r>
              <w:rPr>
                <w:rFonts w:ascii="Courier New" w:hAnsi="Courier New"/>
                <w:color w:val="333333"/>
                <w:sz w:val="20"/>
              </w:rPr>
              <w:t>@Transactional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de fato committar — permite comparar side a side antes de aprovar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Duas funções com a mesma assinatura, uma prefixada </w:t>
            </w:r>
            <w:r>
              <w:rPr>
                <w:rFonts w:ascii="Courier New" w:hAnsi="Courier New"/>
                <w:color w:val="333333"/>
                <w:sz w:val="20"/>
              </w:rPr>
              <w:t>Dry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(</w:t>
            </w:r>
            <w:r>
              <w:rPr>
                <w:rFonts w:ascii="Courier New" w:hAnsi="Courier New"/>
                <w:color w:val="333333"/>
                <w:sz w:val="20"/>
              </w:rPr>
              <w:t>DryApplyManifest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vs. </w:t>
            </w:r>
            <w:r>
              <w:rPr>
                <w:rFonts w:ascii="Courier New" w:hAnsi="Courier New"/>
                <w:color w:val="333333"/>
                <w:sz w:val="20"/>
              </w:rPr>
              <w:t>ApplyManifest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), reaproveitando a mesma lógica de validação e só variando se </w:t>
            </w:r>
            <w:r>
              <w:rPr>
                <w:rFonts w:ascii="Courier New" w:hAnsi="Courier New"/>
                <w:color w:val="333333"/>
                <w:sz w:val="20"/>
              </w:rPr>
              <w:t>os/exec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de fato dispara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Rate limiting/circuit breaker sobre ação de agente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Resilience4j (</w:t>
            </w:r>
            <w:r>
              <w:rPr>
                <w:rFonts w:ascii="Courier New" w:hAnsi="Courier New"/>
                <w:color w:val="333333"/>
                <w:sz w:val="20"/>
              </w:rPr>
              <w:t>@RateLimiter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333333"/>
                <w:sz w:val="20"/>
              </w:rPr>
              <w:t>@CircuitBreaker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decorando o método que executa a ação crítica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limitador simples com </w:t>
            </w:r>
            <w:r>
              <w:rPr>
                <w:rFonts w:ascii="Courier New" w:hAnsi="Courier New"/>
                <w:color w:val="333333"/>
                <w:sz w:val="20"/>
              </w:rPr>
              <w:t>golang.org/x/time/rate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ou canal bufferizado limitando quantas ações concorrentes/por período passam antes do handler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Multi-stage Docker build (Go binário vs. Java)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Build stage com Maven/JDK completo → stage final com só a JRE (ou </w:t>
            </w:r>
            <w:r>
              <w:rPr>
                <w:rFonts w:ascii="Courier New" w:hAnsi="Courier New"/>
                <w:color w:val="333333"/>
                <w:sz w:val="20"/>
              </w:rPr>
              <w:t>distroless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) + o </w:t>
            </w:r>
            <w:r>
              <w:rPr>
                <w:rFonts w:ascii="Courier New" w:hAnsi="Courier New"/>
                <w:color w:val="333333"/>
                <w:sz w:val="20"/>
              </w:rPr>
              <w:t>.jar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o binário Java ainda precisa de JVM no runtime final, imagem final maior que a de um binário Go estático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Build stage com toolchain Go completa → stage final </w:t>
            </w:r>
            <w:r>
              <w:rPr>
                <w:rFonts w:ascii="Courier New" w:hAnsi="Courier New"/>
                <w:color w:val="333333"/>
                <w:sz w:val="20"/>
              </w:rPr>
              <w:t>FROM scratch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ou </w:t>
            </w:r>
            <w:r>
              <w:rPr>
                <w:rFonts w:ascii="Courier New" w:hAnsi="Courier New"/>
                <w:color w:val="333333"/>
                <w:sz w:val="20"/>
              </w:rPr>
              <w:t>alpine</w:t>
            </w:r>
            <w:r>
              <w:rPr>
                <w:rFonts w:ascii="Arial" w:hAnsi="Arial"/>
                <w:b w:val="0"/>
                <w:color w:val="333333"/>
                <w:sz w:val="22"/>
              </w:rPr>
              <w:t>, copiando só o binário compilado estaticamente — não precisa de runtime, imagem final tipicamente bem menor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Analogia arquitetural completa: pensar a arquitetura hierárquica do Nexus (manager + especialistas) como um sistema de tickets triado por um dispatcher. Em Spring Boot, isso seria um </w:t>
      </w:r>
      <w:r>
        <w:rPr>
          <w:rFonts w:ascii="Courier New" w:hAnsi="Courier New"/>
          <w:color w:val="333333"/>
          <w:sz w:val="20"/>
        </w:rPr>
        <w:t>TicketDispatcherService</w:t>
      </w:r>
      <w:r>
        <w:rPr>
          <w:rFonts w:ascii="Arial" w:hAnsi="Arial"/>
          <w:b w:val="0"/>
          <w:color w:val="333333"/>
          <w:sz w:val="22"/>
        </w:rPr>
        <w:t xml:space="preserve"> injetando uma lista de </w:t>
      </w:r>
      <w:r>
        <w:rPr>
          <w:rFonts w:ascii="Courier New" w:hAnsi="Courier New"/>
          <w:color w:val="333333"/>
          <w:sz w:val="20"/>
        </w:rPr>
        <w:t>EspecialistaService</w:t>
      </w:r>
      <w:r>
        <w:rPr>
          <w:rFonts w:ascii="Arial" w:hAnsi="Arial"/>
          <w:b w:val="0"/>
          <w:color w:val="333333"/>
          <w:sz w:val="22"/>
        </w:rPr>
        <w:t xml:space="preserve"> (segurança, SRE, FinOps) via </w:t>
      </w:r>
      <w:r>
        <w:rPr>
          <w:rFonts w:ascii="Courier New" w:hAnsi="Courier New"/>
          <w:color w:val="333333"/>
          <w:sz w:val="20"/>
        </w:rPr>
        <w:t>@Autowired List&lt;Especialista&gt;</w:t>
      </w:r>
      <w:r>
        <w:rPr>
          <w:rFonts w:ascii="Arial" w:hAnsi="Arial"/>
          <w:b w:val="0"/>
          <w:color w:val="333333"/>
          <w:sz w:val="22"/>
        </w:rPr>
        <w:t xml:space="preserve">, cada um implementando uma interface comum, e o dispatcher decidindo em runtime quais acionar e como agregar o retorno — o Spring cuida da injeção, mas a lógica de "quem chamar" continua sendo código explícito. Em Go, o mesmo desenho é um </w:t>
      </w:r>
      <w:r>
        <w:rPr>
          <w:rFonts w:ascii="Courier New" w:hAnsi="Courier New"/>
          <w:color w:val="333333"/>
          <w:sz w:val="20"/>
        </w:rPr>
        <w:t>map[string]Especialista</w:t>
      </w:r>
      <w:r>
        <w:rPr>
          <w:rFonts w:ascii="Arial" w:hAnsi="Arial"/>
          <w:b w:val="0"/>
          <w:color w:val="333333"/>
          <w:sz w:val="22"/>
        </w:rPr>
        <w:t xml:space="preserve"> populado explicitamente no </w:t>
      </w:r>
      <w:r>
        <w:rPr>
          <w:rFonts w:ascii="Courier New" w:hAnsi="Courier New"/>
          <w:color w:val="333333"/>
          <w:sz w:val="20"/>
        </w:rPr>
        <w:t>main</w:t>
      </w:r>
      <w:r>
        <w:rPr>
          <w:rFonts w:ascii="Arial" w:hAnsi="Arial"/>
          <w:b w:val="0"/>
          <w:color w:val="333333"/>
          <w:sz w:val="22"/>
        </w:rPr>
        <w:t xml:space="preserve">, com uma função </w:t>
      </w:r>
      <w:r>
        <w:rPr>
          <w:rFonts w:ascii="Courier New" w:hAnsi="Courier New"/>
          <w:color w:val="333333"/>
          <w:sz w:val="20"/>
        </w:rPr>
        <w:t>Despachar(cenario) []Resultado</w:t>
      </w:r>
      <w:r>
        <w:rPr>
          <w:rFonts w:ascii="Arial" w:hAnsi="Arial"/>
          <w:b w:val="0"/>
          <w:color w:val="333333"/>
          <w:sz w:val="22"/>
        </w:rPr>
        <w:t xml:space="preserve"> chamando cada um em goroutine e agregando via canal — sem container de DI, mas com o mesmo princípio: um coordenador fino, especialistas isolados, agregação explícita.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5. Escalabilidade e Produção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 cluster local (Minikube, um nó só, recurso compartilhado com a máquina de desenvolvimento) é adequado para aprendizado, mas modelos de linguagem locais (Ollama) e cargas de produção real exigem cluster multi-nó com recurso dedicado — o próprio módulo mostra o Pod do Ollama ficando pendente por falta de memória/CPU no ambiente de laboratório.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LocalStack simula S3/SQS/IAM com fidelidade operacional alta (mesmos comandos, mesma resposta), mas a migração para AWS real segue trocando só o endpoint via variável de ambiente — nenhuma mudança de código é esperada se a aplicação foi construída corretamente desacoplada do provedor.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Credencial nunca deve viver na imagem Docker nem em Base64 puro em produção — Secrets do Kubernetes é o mínimo aceitável; ambientes corporativos usam gerenciador de segredo dedicado (Vault, AWS Secrets Manager, etc., mencionados como direção, não implementados no laboratório).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Guardrails (rate limiting, circuit breaker, canary rollback automático, dry run obrigatório) não são adicionais opcionais de "boa prática" — são o que torna auto-remediação segura o suficiente para produção; sem eles, a mesma automação que acelera recuperação pode amplificar uma falha via ação em cascata.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Orquestração hierárquica (manager + especialistas) escala adicionando novos agentes especializados sem alterar o papel do manager — a arquitetura foi desenhada para crescer horizontalmente em domínio (arquitetura, qualidade, backend, dados, etc.) sem redesenho estrutural.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Multi-Stage Build e cache de CI/CD (Módulo 08) têm efeito cumulativo em escala: pequena economia por execução (2-5 min) multiplicada por centenas/milhares de execuções diárias em uma organização real vira economia de custo de runner relevante, não só ganho de produtividade individual.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6. Conexões entre Módulos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anterior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Conexão com este módulo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Módulos 01–05 e 07 da pós (fundamentos de LLM, APIs, MCP, agentes autônomos, ferramentas de UX/gestão de projetos)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Conceitos de RAG, tool calling, arquitetura multiagente e Human in the Loop reaparecem aqui aplicados ao domínio de infraestrutura/operações, não de código de aplicação ou gestão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08 da pós (Arquitetura de Sistemas com IA)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framework de decisão determinístico-vs-agente, Approval Gate e Audit Trail do Módulo 08 são exatamente os mesmos princípios por trás de Human in the Loop, guardrails e dry run aqui — domínios diferentes (DevOps vs. arquitetura geral), mesmo raciocínio arquitetural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Dentro do próprio Módulo 06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Cada submódulo constrói sobre o anterior: fundamentos → IaC Copilot → K8s → troubleshooting/MTTR → observabilidade preditiva → ChatOps → DevSecOps → CI/CD → FinOps → RAG de runbooks → guardrails → projeto integrador (todos os agentes juntos) → deploy enterprise (Docker/K8s/LocalStack/Ollama) do sistema completo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Glossário do Módulo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Termo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Definição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CrewAI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Framework Python para orquestrar equipes de agentes especializados (sequencial ou hierárquico)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Self-Attention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Mecanismo do Transformer que relaciona partes distantes de um texto/arquivo, explicando por que LLMs lidam bem com config extensa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ReAct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Padrão de raciocínio Pensamento→Ação→Observação→Decisão (não confundir com o React de frontend)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MTTR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Mean Time To Recovery/Repair — tempo médio para restaurar um serviço após incidente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Checkov / OPA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Análise estática de vulnerabilidade técnica / validação de política de negócio sobre IaC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Canary Deployment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Liberação gradual de nova versão, monitorando métrica antes de expandir o rollout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Drift Detection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Divergência entre infraestrutura declarada em código e estado real do ambiente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NL2Q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Natural Language to Query — traduzir linguagem natural para PromQL/LogQL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Fadiga de alertas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Excesso de notificação (limite estático, vulnerabilidade não-explorável) faz sinal real passar despercebido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RBAC / IAM / Human in the Loop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Controle de acesso por papel / gestão de identidade / decisão crítica sempre validada por humano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Compliance as Code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Regra de conformidade transformada em verificação automática no pipeline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InfraCost / Kubecost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Ferramentas de visibilidade de custo para IaC / especificamente para Kubernetes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Recursos zumbis / Right sizing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Recurso ativo sem uso gerando custo silencioso / ajuste de capacidade ao consumo real observado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RAG de runbooks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Consulta a documentação operacional interna em tempo real durante investigação de incidente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Guardrails / Circuit breaker / Rate limiting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Limite que orienta comportamento do agente / interrupção preventiva / limite de ações por intervalo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Dry run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Simulação do efeito de uma ação antes de aplicá-la de fato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Orquestração hierárquica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Agente manager coordenando especialistas, sem executar análise técnica diretamente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LocalStack / Ollama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Emulador local de serviços cloud (S3/SQS/IAM) / execução local de LLM open-source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