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2E74B5"/>
          <w:sz w:val="40"/>
        </w:rPr>
        <w:t>Ferramentas de IA para Gestão de Projetos</w:t>
      </w:r>
    </w:p>
    <w:p>
      <w:pPr>
        <w:spacing w:after="40"/>
      </w:pPr>
      <w:r>
        <w:rPr>
          <w:rFonts w:ascii="Arial" w:hAnsi="Arial"/>
          <w:b/>
          <w:color w:val="2E74B5"/>
          <w:sz w:val="24"/>
        </w:rPr>
        <w:t>Pós-Graduação em Engenharia de Software com IA Aplicada — UNIPDS</w:t>
      </w:r>
    </w:p>
    <w:p>
      <w:pPr>
        <w:spacing w:after="40"/>
      </w:pPr>
      <w:r>
        <w:rPr>
          <w:rFonts w:ascii="Arial" w:hAnsi="Arial"/>
          <w:i/>
          <w:color w:val="555555"/>
          <w:sz w:val="20"/>
        </w:rPr>
        <w:t>Ahirton Lopes · Rafael Mattos Moreira — Resumo de estudo técnico · 2026</w:t>
      </w:r>
    </w:p>
    <w:p>
      <w:pPr>
        <w:spacing w:after="120"/>
      </w:pP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1. Visão Geral do Módulo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módulo constrói, sobre um único case (a </w:t>
      </w:r>
      <w:r>
        <w:rPr>
          <w:rFonts w:ascii="Arial" w:hAnsi="Arial"/>
          <w:b/>
          <w:color w:val="333333"/>
          <w:sz w:val="22"/>
        </w:rPr>
        <w:t>RouteWise</w:t>
      </w:r>
      <w:r>
        <w:rPr>
          <w:rFonts w:ascii="Arial" w:hAnsi="Arial"/>
          <w:b w:val="0"/>
          <w:color w:val="333333"/>
          <w:sz w:val="22"/>
        </w:rPr>
        <w:t>, plataforma de gestão de uma frota de ~140 veículos da Conecta Cargas, conduzida por Carlos, diretor de operações), um pipeline completo de gestão de projetos assistida por IA: dez ferramentas encadeadas cobrindo requisitos, priorização, cronograma, estimativas probabilísticas, monitoramento de riscos, atas de reunião, relatórios executivos, governança, automação de ecossistema e OKRs. O fio condutor é sempre o mesmo dos demais módulos da pós: a IA atua como copiloto — acelera trabalho mecânico e analítico, mas decisões de estratégia, prioridade, risco e julgamento continuam sendo humanas. Cada ferramenta produz artefatos que alimentam a etapa seguinte, formando um sistema único de gestão, não uma coleção de prompts isolados.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2. Conceitos Fundamentais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01 — Planejamento e Escopo (Requirements Copilot)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</w:t>
      </w:r>
      <w:r>
        <w:rPr>
          <w:rFonts w:ascii="Arial" w:hAnsi="Arial"/>
          <w:b/>
          <w:color w:val="333333"/>
          <w:sz w:val="22"/>
        </w:rPr>
        <w:t>Requirements Copilot</w:t>
      </w:r>
      <w:r>
        <w:rPr>
          <w:rFonts w:ascii="Arial" w:hAnsi="Arial"/>
          <w:b w:val="0"/>
          <w:color w:val="333333"/>
          <w:sz w:val="22"/>
        </w:rPr>
        <w:t xml:space="preserve"> transforma transcrição bruta de reunião de discovery em backlog estruturado. O System Prompt funciona como um </w:t>
      </w:r>
      <w:r>
        <w:rPr>
          <w:rFonts w:ascii="Arial" w:hAnsi="Arial"/>
          <w:b/>
          <w:color w:val="333333"/>
          <w:sz w:val="22"/>
        </w:rPr>
        <w:t>contrato de comportamento</w:t>
      </w:r>
      <w:r>
        <w:rPr>
          <w:rFonts w:ascii="Arial" w:hAnsi="Arial"/>
          <w:b w:val="0"/>
          <w:color w:val="333333"/>
          <w:sz w:val="22"/>
        </w:rPr>
        <w:t xml:space="preserve"> (analogia direta com um MCP Server restringindo o que um agente pode fazer): define o modelo como </w:t>
      </w:r>
      <w:r>
        <w:rPr>
          <w:rFonts w:ascii="Arial" w:hAnsi="Arial"/>
          <w:b/>
          <w:color w:val="333333"/>
          <w:sz w:val="22"/>
        </w:rPr>
        <w:t>copiloto</w:t>
      </w:r>
      <w:r>
        <w:rPr>
          <w:rFonts w:ascii="Arial" w:hAnsi="Arial"/>
          <w:b w:val="0"/>
          <w:color w:val="333333"/>
          <w:sz w:val="22"/>
        </w:rPr>
        <w:t>, não assistente — produz rascunho sujeito a validação, nunca aprova requisito sozinho.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Elemento do contrato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Regra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Papel na User Story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Nunca "usuário" genérico — sempre ator específico do negócio (gestor de frota, operador de despacho)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Critérios INVEST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Independente, Negociável, Valiosa, Estimável, Pequena, Testável — sinalizado explicitamente quando ausente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Critérios de aceite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Formato Gherkin, termos subjetivos ("rapidamente", "adequadamente") proibidos por não virarem teste automatizado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Protocolo de ambiguidade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Informação ausente vira pergunta registrada, nunca um valor inventado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>🔑 Regra fundamental: viés de completude — modelos preenchem lacunas com "conhecimento estatístico" quando a informação está incompleta. Na engenharia de requisitos isso produz um requisito com aparência de precisão que nunca foi aprovado pelo negócio (ex.: "tempo real" virar "200ms" sem o cliente ter dito isso).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modelo também produz um </w:t>
      </w:r>
      <w:r>
        <w:rPr>
          <w:rFonts w:ascii="Arial" w:hAnsi="Arial"/>
          <w:b/>
          <w:color w:val="333333"/>
          <w:sz w:val="22"/>
        </w:rPr>
        <w:t>mapa de domínios com nível de confiança</w:t>
      </w:r>
      <w:r>
        <w:rPr>
          <w:rFonts w:ascii="Arial" w:hAnsi="Arial"/>
          <w:b w:val="0"/>
          <w:color w:val="333333"/>
          <w:sz w:val="22"/>
        </w:rPr>
        <w:t xml:space="preserve"> (alta/média/baixa, conforme a riqueza da transcrição naquele assunto) — funciona como roteiro objetivo para as próximas entrevistas, não como nota da qualidade do modelo.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Curadoria — quatro padrões de erro recorrentes: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Padrão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Descrição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Especificações inventadas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Generalidade do stakeholder ("rápido") vira número específico não confirmado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Dependências não mapeadas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Integração parece natural, mas pode não existir ou não ser viável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Viabilidade técnica silenciosa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Solução sofisticada sugerida sem considerar dados/infra/orçamento reais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Gold plating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Escopo expandido com funcionalidade que "parece útil" mas nunca foi pedida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✅ Resultado/Conclusão: toda User Story deve ser rastreável até um trecho específico da transcrição. Se não for possível localizar a origem, é candidata a alucinação. Manter um </w:t>
      </w:r>
      <w:r>
        <w:rPr>
          <w:rFonts w:ascii="Arial" w:hAnsi="Arial"/>
          <w:b/>
          <w:color w:val="333333"/>
          <w:sz w:val="22"/>
        </w:rPr>
        <w:t>log de curadoria</w:t>
      </w:r>
      <w:r>
        <w:rPr>
          <w:rFonts w:ascii="Arial" w:hAnsi="Arial"/>
          <w:b w:val="0"/>
          <w:color w:val="333333"/>
          <w:sz w:val="22"/>
        </w:rPr>
        <w:t xml:space="preserve"> (o que o modelo produziu, o que foi corrigido, por quê) transforma correções pontuais em insumo para evoluir o próprio prompt.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02 — Priorização Inteligente de Backlog (Backlog Scorer)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Combate o </w:t>
      </w:r>
      <w:r>
        <w:rPr>
          <w:rFonts w:ascii="Arial" w:hAnsi="Arial"/>
          <w:b/>
          <w:color w:val="333333"/>
          <w:sz w:val="22"/>
        </w:rPr>
        <w:t>HIPPO</w:t>
      </w:r>
      <w:r>
        <w:rPr>
          <w:rFonts w:ascii="Arial" w:hAnsi="Arial"/>
          <w:b w:val="0"/>
          <w:color w:val="333333"/>
          <w:sz w:val="22"/>
        </w:rPr>
        <w:t xml:space="preserve"> (Highest Paid Person's Opinion — prioridade decidida pela hierarquia, não por dado) com três frameworks complementares, aplicados em sequência: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Framework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Pergunta que responde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Componentes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MoSCoW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 que nem entra na disputa deste ciclo?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Must / Should / Could / Won't Have — filtra ruído antes do cálculo quantitativo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RICE Score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Onde o investimento produz maior retorno?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Reach × Impact × Confidence ÷ Effort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WSJF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 que não pode esperar?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Cost of Delay (valor de negócio + criticidade temporal + redução de risco/oportunidade) ÷ tamanho do job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>💡 Analogia/insight: RICE e WSJF não competem — respondem perguntas diferentes sobre o mesmo backlog. Uma funcionalidade pode ranquear baixo no RICE (alcance pequeno, esforço alto) e alto no WSJF (prazo regulatório torna o atraso caro) — não é inconsistência, é ângulo diferente. Divergência entre os dois é sinal de qual pergunta levar à reunião com stakeholders.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Backlog Scorer produz, além do ranking, </w:t>
      </w:r>
      <w:r>
        <w:rPr>
          <w:rFonts w:ascii="Arial" w:hAnsi="Arial"/>
          <w:b/>
          <w:color w:val="333333"/>
          <w:sz w:val="22"/>
        </w:rPr>
        <w:t>flags de risco</w:t>
      </w:r>
      <w:r>
        <w:rPr>
          <w:rFonts w:ascii="Arial" w:hAnsi="Arial"/>
          <w:b w:val="0"/>
          <w:color w:val="333333"/>
          <w:sz w:val="22"/>
        </w:rPr>
        <w:t>: dependência de hardware ainda não comprado, meta técnica sem dados históricos para validar, funcionalidade sem evidência de contribuir para o OKR do projeto. Cada flag deveria virar um card de investigação com prazo curto ("o bloqueador foi resolvido?"), não uma história direto na sprint.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Calibração</w:t>
      </w:r>
      <w:r>
        <w:rPr>
          <w:rFonts w:ascii="Arial" w:hAnsi="Arial"/>
          <w:b w:val="0"/>
          <w:color w:val="333333"/>
          <w:sz w:val="22"/>
        </w:rPr>
        <w:t xml:space="preserve"> — substituir estimativa genérica por evidência real, quando existir: dados de uso (analytics, pré-processados — nunca a tabela bruta inteira no prompt), pesquisa com usuário (cuidado: intenção declarada ≠ comportamento efetivo — combinar com taxa de adoção histórica de recurso equivalente) e dado financeiro (custo de suporte evitado vs. custo de implementação). Quando fontes divergem, isso não é erro — é sinal, registrado via Confidence baixo + flag de investigação. Em </w:t>
      </w:r>
      <w:r>
        <w:rPr>
          <w:rFonts w:ascii="Arial" w:hAnsi="Arial"/>
          <w:b/>
          <w:color w:val="333333"/>
          <w:sz w:val="22"/>
        </w:rPr>
        <w:t>cold start</w:t>
      </w:r>
      <w:r>
        <w:rPr>
          <w:rFonts w:ascii="Arial" w:hAnsi="Arial"/>
          <w:b w:val="0"/>
          <w:color w:val="333333"/>
          <w:sz w:val="22"/>
        </w:rPr>
        <w:t xml:space="preserve"> (produto novo, sem dado interno), usar benchmark de domínio (quanto mais específico o contexto informado, melhor o benchmark) e dado de sistema legado (chamados de suporte revelam dor real, não hipotética). Em produto maduro, usar </w:t>
      </w:r>
      <w:r>
        <w:rPr>
          <w:rFonts w:ascii="Arial" w:hAnsi="Arial"/>
          <w:b/>
          <w:color w:val="333333"/>
          <w:sz w:val="22"/>
        </w:rPr>
        <w:t>janela de ~90 dias</w:t>
      </w:r>
      <w:r>
        <w:rPr>
          <w:rFonts w:ascii="Arial" w:hAnsi="Arial"/>
          <w:b w:val="0"/>
          <w:color w:val="333333"/>
          <w:sz w:val="22"/>
        </w:rPr>
        <w:t xml:space="preserve"> — dado velho demais deixa de representar o comportamento atual.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03 — Cronograma, Capacidade e Alocação Assistidos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Um cronograma "nasce correto" mas o ambiente muda constantemente — o erro está em tratar um ambiente dinâmico como estático. O </w:t>
      </w:r>
      <w:r>
        <w:rPr>
          <w:rFonts w:ascii="Arial" w:hAnsi="Arial"/>
          <w:b/>
          <w:color w:val="333333"/>
          <w:sz w:val="22"/>
        </w:rPr>
        <w:t>Scheduling Prompt</w:t>
      </w:r>
      <w:r>
        <w:rPr>
          <w:rFonts w:ascii="Arial" w:hAnsi="Arial"/>
          <w:b w:val="0"/>
          <w:color w:val="333333"/>
          <w:sz w:val="22"/>
        </w:rPr>
        <w:t xml:space="preserve"> trabalha com capacidade </w:t>
      </w:r>
      <w:r>
        <w:rPr>
          <w:rFonts w:ascii="Arial" w:hAnsi="Arial"/>
          <w:b/>
          <w:color w:val="333333"/>
          <w:sz w:val="22"/>
        </w:rPr>
        <w:t>real</w:t>
      </w:r>
      <w:r>
        <w:rPr>
          <w:rFonts w:ascii="Arial" w:hAnsi="Arial"/>
          <w:b w:val="0"/>
          <w:color w:val="333333"/>
          <w:sz w:val="22"/>
        </w:rPr>
        <w:t>, não nominal: se a sprint nominal comporta 35 pontos mas só 65% é dedicável a novo desenvolvimento (o resto absorve suporte, bug, reunião, revisão), a capacidade operacional é ~22 pontos — e feriados/eventos conhecidos descontam ainda mais, automaticamente.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Três tipos de dependência: </w:t>
      </w:r>
      <w:r>
        <w:rPr>
          <w:rFonts w:ascii="Arial" w:hAnsi="Arial"/>
          <w:b/>
          <w:color w:val="333333"/>
          <w:sz w:val="22"/>
        </w:rPr>
        <w:t>técnica</w:t>
      </w:r>
      <w:r>
        <w:rPr>
          <w:rFonts w:ascii="Arial" w:hAnsi="Arial"/>
          <w:b w:val="0"/>
          <w:color w:val="333333"/>
          <w:sz w:val="22"/>
        </w:rPr>
        <w:t xml:space="preserve"> (funcionalidade B só começa após A), </w:t>
      </w:r>
      <w:r>
        <w:rPr>
          <w:rFonts w:ascii="Arial" w:hAnsi="Arial"/>
          <w:b/>
          <w:color w:val="333333"/>
          <w:sz w:val="22"/>
        </w:rPr>
        <w:t>de recurso</w:t>
      </w:r>
      <w:r>
        <w:rPr>
          <w:rFonts w:ascii="Arial" w:hAnsi="Arial"/>
          <w:b w:val="0"/>
          <w:color w:val="333333"/>
          <w:sz w:val="22"/>
        </w:rPr>
        <w:t xml:space="preserve"> (duas tarefas competem pelo mesmo especialista) e </w:t>
      </w:r>
      <w:r>
        <w:rPr>
          <w:rFonts w:ascii="Arial" w:hAnsi="Arial"/>
          <w:b/>
          <w:color w:val="333333"/>
          <w:sz w:val="22"/>
        </w:rPr>
        <w:t>externa</w:t>
      </w:r>
      <w:r>
        <w:rPr>
          <w:rFonts w:ascii="Arial" w:hAnsi="Arial"/>
          <w:b w:val="0"/>
          <w:color w:val="333333"/>
          <w:sz w:val="22"/>
        </w:rPr>
        <w:t xml:space="preserve"> (aquisição de equipamento, aprovação regulatória — fora do controle da equipe). O modelo infere dependências candidatas a partir de entidades compartilhadas nas User Stories (análise de grafo sobre o conteúdo do backlog), mas isso não substitui revisão do arquiteto — dependência tácita (pipeline de CI, janela de deploy) só entra se for declarada explicitamente no prompt.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🏗️ Arquitetura/Fluxo: </w:t>
      </w:r>
      <w:r>
        <w:rPr>
          <w:rFonts w:ascii="Arial" w:hAnsi="Arial"/>
          <w:b/>
          <w:color w:val="333333"/>
          <w:sz w:val="22"/>
        </w:rPr>
        <w:t>análise What-If</w:t>
      </w:r>
      <w:r>
        <w:rPr>
          <w:rFonts w:ascii="Arial" w:hAnsi="Arial"/>
          <w:b w:val="0"/>
          <w:color w:val="333333"/>
          <w:sz w:val="22"/>
        </w:rPr>
        <w:t xml:space="preserve"> — simula o efeito de uma mudança (fornecedor atrasa, dev sai de férias) antes que ela aconteça, tornando explícito o trade-off (antecipar X quase sempre significa adiar Y ou sobrecarregar alguém), deslocando a conversa de "dá pra antecipar?" para "vale a pena diante do que isso desloca?".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🔍 Exemplo detalhado: no caso RouteWise, o cronograma não distribui só User Stories — infere automaticamente uma tarefa </w:t>
      </w:r>
      <w:r>
        <w:rPr>
          <w:rFonts w:ascii="Arial" w:hAnsi="Arial"/>
          <w:b/>
          <w:color w:val="333333"/>
          <w:sz w:val="22"/>
        </w:rPr>
        <w:t>Enabler</w:t>
      </w:r>
      <w:r>
        <w:rPr>
          <w:rFonts w:ascii="Arial" w:hAnsi="Arial"/>
          <w:b w:val="0"/>
          <w:color w:val="333333"/>
          <w:sz w:val="22"/>
        </w:rPr>
        <w:t xml:space="preserve"> (iniciar a compra do hardware IoT já na sprint 1, embora essa tarefa não existisse no backlog funcional) e usa o tempo de espera do hardware para adiantar trabalho preparatório (contratos de API, simuladores de sensor) — quando o equipamento finalmente chega, a integração já está pronta para começar. Uma funcionalidade (manutenção preditiva) fica de fora do MVP não só por falta de hardware, mas porque o </w:t>
      </w:r>
      <w:r>
        <w:rPr>
          <w:rFonts w:ascii="Arial" w:hAnsi="Arial"/>
          <w:b/>
          <w:color w:val="333333"/>
          <w:sz w:val="22"/>
        </w:rPr>
        <w:t>algoritmo preditivo precisa de ~30 dias de dado histórico</w:t>
      </w:r>
      <w:r>
        <w:rPr>
          <w:rFonts w:ascii="Arial" w:hAnsi="Arial"/>
          <w:b w:val="0"/>
          <w:color w:val="333333"/>
          <w:sz w:val="22"/>
        </w:rPr>
        <w:t xml:space="preserve"> — restrição que não é de capacidade de equipe, é do comportamento dos próprios dados.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04 — Estimativas e Previsões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Estimativa pontual esconde a incerteza real de um projeto de software. </w:t>
      </w:r>
      <w:r>
        <w:rPr>
          <w:rFonts w:ascii="Arial" w:hAnsi="Arial"/>
          <w:b/>
          <w:color w:val="333333"/>
          <w:sz w:val="22"/>
        </w:rPr>
        <w:t>Planning Fallacy</w:t>
      </w:r>
      <w:r>
        <w:rPr>
          <w:rFonts w:ascii="Arial" w:hAnsi="Arial"/>
          <w:b w:val="0"/>
          <w:color w:val="333333"/>
          <w:sz w:val="22"/>
        </w:rPr>
        <w:t xml:space="preserve"> (Kahneman e Tversky): equipes subestimam sistematicamente tempo/custo/complexidade, mesmo com experiência prévia — o viés não é falta de competência técnica. A correção é trocar </w:t>
      </w:r>
      <w:r>
        <w:rPr>
          <w:rFonts w:ascii="Arial" w:hAnsi="Arial"/>
          <w:b/>
          <w:color w:val="333333"/>
          <w:sz w:val="22"/>
        </w:rPr>
        <w:t>Inside View</w:t>
      </w:r>
      <w:r>
        <w:rPr>
          <w:rFonts w:ascii="Arial" w:hAnsi="Arial"/>
          <w:b w:val="0"/>
          <w:color w:val="333333"/>
          <w:sz w:val="22"/>
        </w:rPr>
        <w:t xml:space="preserve"> (só a percepção interna daquele projeto específico) por </w:t>
      </w:r>
      <w:r>
        <w:rPr>
          <w:rFonts w:ascii="Arial" w:hAnsi="Arial"/>
          <w:b/>
          <w:color w:val="333333"/>
          <w:sz w:val="22"/>
        </w:rPr>
        <w:t>Outside View</w:t>
      </w:r>
      <w:r>
        <w:rPr>
          <w:rFonts w:ascii="Arial" w:hAnsi="Arial"/>
          <w:b w:val="0"/>
          <w:color w:val="333333"/>
          <w:sz w:val="22"/>
        </w:rPr>
        <w:t xml:space="preserve"> (comportamento histórico de projetos comparáveis).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Três técnicas em cadeia: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Técnica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O que faz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Estimativa de três pontos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Otimista / Mais Provável / Pessimista (pessimista = "difícil porém plausível", não catástrofe)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Distribuição PERT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Pondera o cenário mais provável com peso maior que os extremos — não é média simples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Simulação de Monte Carlo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Milhares de execuções sorteando valores dentro das distribuições, agregando o cronograma inteiro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Regra fundamental: </w:t>
      </w:r>
      <w:r>
        <w:rPr>
          <w:rFonts w:ascii="Arial" w:hAnsi="Arial"/>
          <w:b/>
          <w:color w:val="333333"/>
          <w:sz w:val="22"/>
        </w:rPr>
        <w:t>P50, P85, P95</w:t>
      </w:r>
      <w:r>
        <w:rPr>
          <w:rFonts w:ascii="Arial" w:hAnsi="Arial"/>
          <w:b w:val="0"/>
          <w:color w:val="333333"/>
          <w:sz w:val="22"/>
        </w:rPr>
        <w:t xml:space="preserve"> são percentis de probabilidade de conclusão, não datas garantidas — comprometer no P50 é aceitar ~50% de chance de atraso; P85 é referência comum para compromisso externo; P95 é postura conservadora para contrato com penalidade severa. Analogia direta com </w:t>
      </w:r>
      <w:r>
        <w:rPr>
          <w:rFonts w:ascii="Arial" w:hAnsi="Arial"/>
          <w:b/>
          <w:color w:val="333333"/>
          <w:sz w:val="22"/>
        </w:rPr>
        <w:t>SLO</w:t>
      </w:r>
      <w:r>
        <w:rPr>
          <w:rFonts w:ascii="Arial" w:hAnsi="Arial"/>
          <w:b w:val="0"/>
          <w:color w:val="333333"/>
          <w:sz w:val="22"/>
        </w:rPr>
        <w:t xml:space="preserve"> de engenharia de confiabilidade: mesmo princípio estatístico, objeto diferente (prazo de entrega em vez de latência de sistema).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⚠️ Riscos tratados como determinísticos (ex.: lead time fixo de fornecedor) ficam </w:t>
      </w:r>
      <w:r>
        <w:rPr>
          <w:rFonts w:ascii="Arial" w:hAnsi="Arial"/>
          <w:b/>
          <w:color w:val="333333"/>
          <w:sz w:val="22"/>
        </w:rPr>
        <w:t>fora</w:t>
      </w:r>
      <w:r>
        <w:rPr>
          <w:rFonts w:ascii="Arial" w:hAnsi="Arial"/>
          <w:b w:val="0"/>
          <w:color w:val="333333"/>
          <w:sz w:val="22"/>
        </w:rPr>
        <w:t xml:space="preserve"> da variabilidade simulada pelo Monte Carlo — no caso RouteWise, isso explica por que P50 e P95 ficaram próximos: não porque o projeto é previsível, mas porque o hardware é um gargalo fixo que domina o resultado, absorvendo a variação do desenvolvimento. Monte Carlo modela incerteza estatística; risco externo exige mitigação própria (homologação antecipada de fornecedor, plano de contingência).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Comunicação varia por audiência (mesmo princípio do Status Report do Módulo 07): time técnico quer variância e funcionalidade mais incerta; PO quer nível de confiança do cronograma comprometido; executivo quer que investimento aprovar para preservar o prazo; cliente externo quer saber que o risco foi identificado e mitigado — sem detalhe estatístico.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05 — Riscos e Mitigações com AIOps de Projeto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Aplica ao projeto a mesma lógica de observabilidade usada em infraestrutura: raramente um projeto "explode" do nada — a degradação é gradual, e sinais precoces aparecem antes da crise. </w:t>
      </w:r>
      <w:r>
        <w:rPr>
          <w:rFonts w:ascii="Arial" w:hAnsi="Arial"/>
          <w:b/>
          <w:color w:val="333333"/>
          <w:sz w:val="22"/>
        </w:rPr>
        <w:t>AIOps de projeto</w:t>
      </w:r>
      <w:r>
        <w:rPr>
          <w:rFonts w:ascii="Arial" w:hAnsi="Arial"/>
          <w:b w:val="0"/>
          <w:color w:val="333333"/>
          <w:sz w:val="22"/>
        </w:rPr>
        <w:t xml:space="preserve"> monitora continuamente indicadores do Jira em vez de depender só da percepção subjetiva relatada em reunião (que sofre viés — ninguém quer parecer pouco produtivo).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Métrica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Mede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Sinal quando isolada de Cycle Time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Lead Time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Tempo total desde o backlog até a conclusão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Cresce sozinho (Cycle Time estável) → gargalo é fila/espera, não desenvolvimento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Cycle Time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Tempo efetivo em desenvolvimento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Cresce junto com Lead Time → dificuldade real na implementação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Taxa de bugs por sprint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Criados vs. resolvidos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Saldo positivo persistente → dívida de qualidade acumulando silenciosamente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Frequência de alteração de User Story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Descrição/critério/estimativa mudando após entrar na sprint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Alta → scope creep, requisito mal refinado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>🔑 Regra fundamental: Lead Time crescente com Cycle Time estável não é queda de produtividade — é fila. Confundir as duas métricas manda o esforço de mitigação para o lugar errado.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</w:t>
      </w:r>
      <w:r>
        <w:rPr>
          <w:rFonts w:ascii="Arial" w:hAnsi="Arial"/>
          <w:b/>
          <w:color w:val="333333"/>
          <w:sz w:val="22"/>
        </w:rPr>
        <w:t>cockpit de riscos</w:t>
      </w:r>
      <w:r>
        <w:rPr>
          <w:rFonts w:ascii="Arial" w:hAnsi="Arial"/>
          <w:b w:val="0"/>
          <w:color w:val="333333"/>
          <w:sz w:val="22"/>
        </w:rPr>
        <w:t xml:space="preserve"> organiza esses sinais por componente (fluxo/eficiência, qualidade, dependências externas, escopo/previsibilidade, marcos) e conecta a evidência a um plano de mitigação com critério objetivo de sucesso (ex.: aplicar </w:t>
      </w:r>
      <w:r>
        <w:rPr>
          <w:rFonts w:ascii="Arial" w:hAnsi="Arial"/>
          <w:b/>
          <w:color w:val="333333"/>
          <w:sz w:val="22"/>
        </w:rPr>
        <w:t>Stop Starting, Start Finishing</w:t>
      </w:r>
      <w:r>
        <w:rPr>
          <w:rFonts w:ascii="Arial" w:hAnsi="Arial"/>
          <w:b w:val="0"/>
          <w:color w:val="333333"/>
          <w:sz w:val="22"/>
        </w:rPr>
        <w:t xml:space="preserve"> — parar de iniciar itens novos, reduzir limite de WIP, e medir sucesso pela redução do Lead Time abaixo do limite). Automatizar a coleta não significa automatizar a decisão — sem responsável e procedimento claro por tipo de alerta, o cockpit vira fadiga de alertas. Limiares devem ser calibrados com o </w:t>
      </w:r>
      <w:r>
        <w:rPr>
          <w:rFonts w:ascii="Arial" w:hAnsi="Arial"/>
          <w:b/>
          <w:color w:val="333333"/>
          <w:sz w:val="22"/>
        </w:rPr>
        <w:t>histórico da própria equipe</w:t>
      </w:r>
      <w:r>
        <w:rPr>
          <w:rFonts w:ascii="Arial" w:hAnsi="Arial"/>
          <w:b w:val="0"/>
          <w:color w:val="333333"/>
          <w:sz w:val="22"/>
        </w:rPr>
        <w:t>, nunca benchmark genérico, e o cockpit é ponto de partida de investigação (causa raiz), não diagnóstico definitivo.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06 — Reuniões Turbinadas (Meeting Digest)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Reuniões produzem decisão, mas a ata tradicional captura pouco além de anotação fragmentada — o esforço de organizar ação/decisão/prazo depois consome tempo desproporcional ao valor intelectual da tarefa. O </w:t>
      </w:r>
      <w:r>
        <w:rPr>
          <w:rFonts w:ascii="Arial" w:hAnsi="Arial"/>
          <w:b/>
          <w:color w:val="333333"/>
          <w:sz w:val="22"/>
        </w:rPr>
        <w:t>Meeting Digest</w:t>
      </w:r>
      <w:r>
        <w:rPr>
          <w:rFonts w:ascii="Arial" w:hAnsi="Arial"/>
          <w:b w:val="0"/>
          <w:color w:val="333333"/>
          <w:sz w:val="22"/>
        </w:rPr>
        <w:t xml:space="preserve"> faz </w:t>
      </w:r>
      <w:r>
        <w:rPr>
          <w:rFonts w:ascii="Arial" w:hAnsi="Arial"/>
          <w:b/>
          <w:color w:val="333333"/>
          <w:sz w:val="22"/>
        </w:rPr>
        <w:t>síntese semântica</w:t>
      </w:r>
      <w:r>
        <w:rPr>
          <w:rFonts w:ascii="Arial" w:hAnsi="Arial"/>
          <w:b w:val="0"/>
          <w:color w:val="333333"/>
          <w:sz w:val="22"/>
        </w:rPr>
        <w:t xml:space="preserve"> (não transcrição literal): interpreta intenção, não só palavra — "eu vejo isso ainda hoje" vira compromisso com responsável e urgência implícitos.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Quatro categorias de classificação semântica, cada uma com destino diferente no fluxo de gestão: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Categoria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Destino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Ações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Vira card no backlog, com responsável e prazo quando explícitos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Decisões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Fica registrada como histórico do projeto (não gera task)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Riscos/impedimentos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Alimenta o cockpit de riscos do Módulo 05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Perguntas em aberto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Fica visível até resolução — nunca é convertida silenciosamente em decisão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>🔍 Exemplo detalhado: no case RouteWise, o mesmo assunto (acelerômetros atrasados) evolui ao longo da reunião — de problema técnico, para necessidade de cotação, para decisão formal de aquisição. Uma ata literal registraria só a primeira menção; a síntese semântica consolida a evolução numa única linha narrativa.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modelo </w:t>
      </w:r>
      <w:r>
        <w:rPr>
          <w:rFonts w:ascii="Arial" w:hAnsi="Arial"/>
          <w:b/>
          <w:color w:val="333333"/>
          <w:sz w:val="22"/>
        </w:rPr>
        <w:t>não inventa responsável</w:t>
      </w:r>
      <w:r>
        <w:rPr>
          <w:rFonts w:ascii="Arial" w:hAnsi="Arial"/>
          <w:b w:val="0"/>
          <w:color w:val="333333"/>
          <w:sz w:val="22"/>
        </w:rPr>
        <w:t xml:space="preserve">: se ninguém assumiu explicitamente ("alguém poderia acompanhar isso?"), o campo fica vazio e a pergunta permanece aberta — sugerir é aceitável, atribuir sem compromisso assumido não é. </w:t>
      </w:r>
      <w:r>
        <w:rPr>
          <w:rFonts w:ascii="Arial" w:hAnsi="Arial"/>
          <w:b/>
          <w:color w:val="333333"/>
          <w:sz w:val="22"/>
        </w:rPr>
        <w:t>Protocolo de auditoria da ata</w:t>
      </w:r>
      <w:r>
        <w:rPr>
          <w:rFonts w:ascii="Arial" w:hAnsi="Arial"/>
          <w:b w:val="0"/>
          <w:color w:val="333333"/>
          <w:sz w:val="22"/>
        </w:rPr>
        <w:t xml:space="preserve"> em 5 passos antes de distribuir: ler a tabela de ações em voz alta, revisar responsável/prazo vazios, validar decisão crítica com um participante, atribuir dono a cada pergunta em aberto, distribuir imediatamente (valor cai rápido com o tempo). Armadilhas comuns: atribuir a atividade à última pessoa que falou do assunto (não a quem assumiu), perder decisão implícita por consenso silencioso, e usar o mesmo prompt para todo tipo de reunião (retro, planning e daily têm objetivos diferentes).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07 — Status Reports e Executive Summaries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Os mesmos dados, três audiências, três linguagens — </w:t>
      </w:r>
      <w:r>
        <w:rPr>
          <w:rFonts w:ascii="Arial" w:hAnsi="Arial"/>
          <w:b/>
          <w:color w:val="333333"/>
          <w:sz w:val="22"/>
        </w:rPr>
        <w:t>Status Report Adaptativo</w:t>
      </w:r>
      <w:r>
        <w:rPr>
          <w:rFonts w:ascii="Arial" w:hAnsi="Arial"/>
          <w:b w:val="0"/>
          <w:color w:val="333333"/>
          <w:sz w:val="22"/>
        </w:rPr>
        <w:t>. Mesmo princípio de BI (mesmo dataset, dashboards diferentes por papel), aplicado a relatório em linguagem natural: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Audiência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Foco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Formato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Time técnico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Velocity, Lead/Cycle Time, débito técnico, bloqueio técnico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Listas estruturadas, alta densidade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Gestor de projeto/produto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% conclusão, aderência ao cronograma, risco por probabilidade×impacto, decisão pendente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Resumo executivo + tabela de risco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Executivos/clientes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ROI, previsibilidade, marco, risco que exige participação da diretoria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Poucos parágrafos, no máximo uma página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>⚠️ Erro mais comum: mandar o relatório técnico (Lead Time, WIP) sem adaptação para a diretoria. Tecnicamente correto, mas não vira decisão prática — "Lead Time cresceu 15%" precisa virar "ritmo de entrega está abaixo do planejado; ação X já em curso; cronograma geral preservado".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🔍 Exemplo detalhado: os mesmos dados da Sprint 4 do RouteWise geram status </w:t>
      </w:r>
      <w:r>
        <w:rPr>
          <w:rFonts w:ascii="Arial" w:hAnsi="Arial"/>
          <w:b/>
          <w:color w:val="333333"/>
          <w:sz w:val="22"/>
        </w:rPr>
        <w:t>vermelho</w:t>
      </w:r>
      <w:r>
        <w:rPr>
          <w:rFonts w:ascii="Arial" w:hAnsi="Arial"/>
          <w:b w:val="0"/>
          <w:color w:val="333333"/>
          <w:sz w:val="22"/>
        </w:rPr>
        <w:t xml:space="preserve"> (IA) ou </w:t>
      </w:r>
      <w:r>
        <w:rPr>
          <w:rFonts w:ascii="Arial" w:hAnsi="Arial"/>
          <w:b/>
          <w:color w:val="333333"/>
          <w:sz w:val="22"/>
        </w:rPr>
        <w:t>amarelo</w:t>
      </w:r>
      <w:r>
        <w:rPr>
          <w:rFonts w:ascii="Arial" w:hAnsi="Arial"/>
          <w:b w:val="0"/>
          <w:color w:val="333333"/>
          <w:sz w:val="22"/>
        </w:rPr>
        <w:t xml:space="preserve"> (defensável por um gestor) — ambas interpretações são tecnicamente válidas. O objetivo da curadoria não é decidir quem está certo, é reconhecer que essa classificação é julgamento gerencial, não cálculo — vermelho mobiliza urgência, amarelo comunica risco sob controle.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Checklist de curadoria: validar todo número (arredondamento do modelo pode divergir do Jira oficial), simplificar linguagem para o executivo (nenhuma sigla técnica sem tradução), limitar a 2-3 decisões críticas por relatório (mais que isso, nenhuma recebe atenção), manter tom descritivo na versão técnica (não deixar o relatório "reclamar"), e nunca listar risco sem ação/responsável associado. Escalando para </w:t>
      </w:r>
      <w:r>
        <w:rPr>
          <w:rFonts w:ascii="Arial" w:hAnsi="Arial"/>
          <w:b/>
          <w:color w:val="333333"/>
          <w:sz w:val="22"/>
        </w:rPr>
        <w:t>portfólio</w:t>
      </w:r>
      <w:r>
        <w:rPr>
          <w:rFonts w:ascii="Arial" w:hAnsi="Arial"/>
          <w:b w:val="0"/>
          <w:color w:val="333333"/>
          <w:sz w:val="22"/>
        </w:rPr>
        <w:t>: o Executive Summary de cada projeto vira entrada de uma segunda rodada, produzindo um relatório único consolidado para a diretoria em vez de dezenas de relatórios isolados.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08 — Governança, Compliance e Qualidade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Governança como Código (Governance as Code)</w:t>
      </w:r>
      <w:r>
        <w:rPr>
          <w:rFonts w:ascii="Arial" w:hAnsi="Arial"/>
          <w:b w:val="0"/>
          <w:color w:val="333333"/>
          <w:sz w:val="22"/>
        </w:rPr>
        <w:t xml:space="preserve"> aplica à conformidade a mesma lógica que Infraestrutura como Código aplicou a servidor: regra deixa de depender de interpretação humana e de checklist manual, e passa a ser verificada automaticamente no pipeline, </w:t>
      </w:r>
      <w:r>
        <w:rPr>
          <w:rFonts w:ascii="Arial" w:hAnsi="Arial"/>
          <w:b/>
          <w:color w:val="333333"/>
          <w:sz w:val="22"/>
        </w:rPr>
        <w:t>antes</w:t>
      </w:r>
      <w:r>
        <w:rPr>
          <w:rFonts w:ascii="Arial" w:hAnsi="Arial"/>
          <w:b w:val="0"/>
          <w:color w:val="333333"/>
          <w:sz w:val="22"/>
        </w:rPr>
        <w:t xml:space="preserve"> da integração ao branch principal (quanto mais cedo detecta, mais barato corrigir).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IA atua em dois pontos: </w:t>
      </w:r>
      <w:r>
        <w:rPr>
          <w:rFonts w:ascii="Arial" w:hAnsi="Arial"/>
          <w:b/>
          <w:color w:val="333333"/>
          <w:sz w:val="22"/>
        </w:rPr>
        <w:t>geração contextual do checklist</w:t>
      </w:r>
      <w:r>
        <w:rPr>
          <w:rFonts w:ascii="Arial" w:hAnsi="Arial"/>
          <w:b w:val="0"/>
          <w:color w:val="333333"/>
          <w:sz w:val="22"/>
        </w:rPr>
        <w:t xml:space="preserve"> (adaptado ao domínio, requisito regulatório, arquitetura e histórico recente do projeto — não um checklist genérico reaproveitado) e </w:t>
      </w:r>
      <w:r>
        <w:rPr>
          <w:rFonts w:ascii="Arial" w:hAnsi="Arial"/>
          <w:b/>
          <w:color w:val="333333"/>
          <w:sz w:val="22"/>
        </w:rPr>
        <w:t>rastreabilidade automatizada</w:t>
      </w:r>
      <w:r>
        <w:rPr>
          <w:rFonts w:ascii="Arial" w:hAnsi="Arial"/>
          <w:b w:val="0"/>
          <w:color w:val="333333"/>
          <w:sz w:val="22"/>
        </w:rPr>
        <w:t xml:space="preserve"> (trilha auditável conectando requisito → decisão → Pull Request → commit → aprovação → deploy).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🔍 Exemplo detalhado: ao gerar o checklist do primeiro deploy em produção dos alertas de velocidade, o modelo recebe o contexto do bug S4-10 (43 veículos com rastreador incompatível) e cria um </w:t>
      </w:r>
      <w:r>
        <w:rPr>
          <w:rFonts w:ascii="Arial" w:hAnsi="Arial"/>
          <w:b/>
          <w:color w:val="333333"/>
          <w:sz w:val="22"/>
        </w:rPr>
        <w:t>bloqueador que não existiria em checklist genérico</w:t>
      </w:r>
      <w:r>
        <w:rPr>
          <w:rFonts w:ascii="Arial" w:hAnsi="Arial"/>
          <w:b w:val="0"/>
          <w:color w:val="333333"/>
          <w:sz w:val="22"/>
        </w:rPr>
        <w:t>: exigir indicação visual explícita no painel de que aqueles veículos não estão sendo monitorados — evitando que a ausência de alerta seja lida como "dentro do limite de velocidade" quando na verdade é "sem monitoramento".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Checklist organizado em três categorias: </w:t>
      </w:r>
      <w:r>
        <w:rPr>
          <w:rFonts w:ascii="Arial" w:hAnsi="Arial"/>
          <w:b/>
          <w:color w:val="333333"/>
          <w:sz w:val="22"/>
        </w:rPr>
        <w:t>bloqueadores de deploy</w:t>
      </w:r>
      <w:r>
        <w:rPr>
          <w:rFonts w:ascii="Arial" w:hAnsi="Arial"/>
          <w:b w:val="0"/>
          <w:color w:val="333333"/>
          <w:sz w:val="22"/>
        </w:rPr>
        <w:t xml:space="preserve"> (LGPD documentada para dado de localização, aprovações formais vinculadas, criptografia em trânsito/repouso, teste de carga), </w:t>
      </w:r>
      <w:r>
        <w:rPr>
          <w:rFonts w:ascii="Arial" w:hAnsi="Arial"/>
          <w:b/>
          <w:color w:val="333333"/>
          <w:sz w:val="22"/>
        </w:rPr>
        <w:t>verificações operacionais</w:t>
      </w:r>
      <w:r>
        <w:rPr>
          <w:rFonts w:ascii="Arial" w:hAnsi="Arial"/>
          <w:b w:val="0"/>
          <w:color w:val="333333"/>
          <w:sz w:val="22"/>
        </w:rPr>
        <w:t xml:space="preserve"> (plano de comunicação da limitação aos usuários, monitoramento pós-deploy, plano de rollback, gestão de segredos) e </w:t>
      </w:r>
      <w:r>
        <w:rPr>
          <w:rFonts w:ascii="Arial" w:hAnsi="Arial"/>
          <w:b/>
          <w:color w:val="333333"/>
          <w:sz w:val="22"/>
        </w:rPr>
        <w:t>registros obrigatórios de auditoria</w:t>
      </w:r>
      <w:r>
        <w:rPr>
          <w:rFonts w:ascii="Arial" w:hAnsi="Arial"/>
          <w:b w:val="0"/>
          <w:color w:val="333333"/>
          <w:sz w:val="22"/>
        </w:rPr>
        <w:t xml:space="preserve"> (documentação de tratamento de dado pessoal, bug registrado nas notas de release, commit/versão vinculados ao épico). Curadoria continua essencial: a IA identifica o risco corretamente, mas a estratégia de mitigação com melhor custo-benefício (ex.: comunicação + nota de release em vez de nova UI, para não expandir escopo de uma release já fechada) é decisão do gerente.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Danger.js/Danger Python</w:t>
      </w:r>
      <w:r>
        <w:rPr>
          <w:rFonts w:ascii="Arial" w:hAnsi="Arial"/>
          <w:b w:val="0"/>
          <w:color w:val="333333"/>
          <w:sz w:val="22"/>
        </w:rPr>
        <w:t xml:space="preserve"> transforma parte do checklist em regra executável no PR: vínculo obrigatório com o Jira, dupla aprovação para componente crítico (GPS), alerta de queda de cobertura de teste, alerta de PR grande. O modelo distingue </w:t>
      </w:r>
      <w:r>
        <w:rPr>
          <w:rFonts w:ascii="Arial" w:hAnsi="Arial"/>
          <w:b/>
          <w:color w:val="333333"/>
          <w:sz w:val="22"/>
        </w:rPr>
        <w:t>bloqueante</w:t>
      </w:r>
      <w:r>
        <w:rPr>
          <w:rFonts w:ascii="Arial" w:hAnsi="Arial"/>
          <w:b w:val="0"/>
          <w:color w:val="333333"/>
          <w:sz w:val="22"/>
        </w:rPr>
        <w:t xml:space="preserve"> (falta de Jira/aprovação) de </w:t>
      </w:r>
      <w:r>
        <w:rPr>
          <w:rFonts w:ascii="Arial" w:hAnsi="Arial"/>
          <w:b/>
          <w:color w:val="333333"/>
          <w:sz w:val="22"/>
        </w:rPr>
        <w:t>informativo</w:t>
      </w:r>
      <w:r>
        <w:rPr>
          <w:rFonts w:ascii="Arial" w:hAnsi="Arial"/>
          <w:b w:val="0"/>
          <w:color w:val="333333"/>
          <w:sz w:val="22"/>
        </w:rPr>
        <w:t xml:space="preserve"> (cobertura, tamanho) e é transparente sobre suas próprias limitações (não calcula cobertura sozinho — só interpreta relatório já produzido pelo CI). Boa prática de curadoria: extrair a lista de caminhos "críticos" do código para um </w:t>
      </w:r>
      <w:r>
        <w:rPr>
          <w:rFonts w:ascii="Arial" w:hAnsi="Arial"/>
          <w:b/>
          <w:color w:val="333333"/>
          <w:sz w:val="22"/>
        </w:rPr>
        <w:t>arquivo de configuração externo</w:t>
      </w:r>
      <w:r>
        <w:rPr>
          <w:rFonts w:ascii="Arial" w:hAnsi="Arial"/>
          <w:b w:val="0"/>
          <w:color w:val="333333"/>
          <w:sz w:val="22"/>
        </w:rPr>
        <w:t xml:space="preserve"> em vez de hardcode (ex.: heurística "contém 'gps' no caminho" é frágil — separar lógica de configuração deixa a regra sobreviver a refatoração).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09 — Automação de Ecossistema (Slack/Jira/Notion)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Ferramentas conectadas</w:t>
      </w:r>
      <w:r>
        <w:rPr>
          <w:rFonts w:ascii="Arial" w:hAnsi="Arial"/>
          <w:b w:val="0"/>
          <w:color w:val="333333"/>
          <w:sz w:val="22"/>
        </w:rPr>
        <w:t xml:space="preserve"> (webhook — compartilham evento, cópia cega de dado) vs. </w:t>
      </w:r>
      <w:r>
        <w:rPr>
          <w:rFonts w:ascii="Arial" w:hAnsi="Arial"/>
          <w:b/>
          <w:color w:val="333333"/>
          <w:sz w:val="22"/>
        </w:rPr>
        <w:t>ferramentas integradas</w:t>
      </w:r>
      <w:r>
        <w:rPr>
          <w:rFonts w:ascii="Arial" w:hAnsi="Arial"/>
          <w:b w:val="0"/>
          <w:color w:val="333333"/>
          <w:sz w:val="22"/>
        </w:rPr>
        <w:t xml:space="preserve"> (compartilham contexto — interpretam antes de agir). Um webhook tradicional cria card idêntico ao texto do Slack; o </w:t>
      </w:r>
      <w:r>
        <w:rPr>
          <w:rFonts w:ascii="Arial" w:hAnsi="Arial"/>
          <w:b/>
          <w:color w:val="333333"/>
          <w:sz w:val="22"/>
        </w:rPr>
        <w:t>Ecosystem Bot / Natural Language to Workflow</w:t>
      </w:r>
      <w:r>
        <w:rPr>
          <w:rFonts w:ascii="Arial" w:hAnsi="Arial"/>
          <w:b w:val="0"/>
          <w:color w:val="333333"/>
          <w:sz w:val="22"/>
        </w:rPr>
        <w:t xml:space="preserve"> interpreta a mensagem: identifica tipo (bug/feature/pergunta/decisão pendente), estima severidade, reconhece componente citado (sugere equipe responsável) e só então decide o artefato certo (card simples, incidente com notificação ao gestor, ou nada).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Regra fundamental: mesma regra do Meeting Digest — o modelo </w:t>
      </w:r>
      <w:r>
        <w:rPr>
          <w:rFonts w:ascii="Arial" w:hAnsi="Arial"/>
          <w:b/>
          <w:color w:val="333333"/>
          <w:sz w:val="22"/>
        </w:rPr>
        <w:t>nunca atribui responsável sem compromisso explícito</w:t>
      </w:r>
      <w:r>
        <w:rPr>
          <w:rFonts w:ascii="Arial" w:hAnsi="Arial"/>
          <w:b w:val="0"/>
          <w:color w:val="333333"/>
          <w:sz w:val="22"/>
        </w:rPr>
        <w:t>. "Alguém pode pegar isso?" mantém o campo vazio e registra necessidade de confirmação; "eu vejo isso hoje" atribui à primeira pessoa.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Casos de ambiguidade tratados explicitamente: mensagem em </w:t>
      </w:r>
      <w:r>
        <w:rPr>
          <w:rFonts w:ascii="Arial" w:hAnsi="Arial"/>
          <w:b/>
          <w:color w:val="333333"/>
          <w:sz w:val="22"/>
        </w:rPr>
        <w:t>thread</w:t>
      </w:r>
      <w:r>
        <w:rPr>
          <w:rFonts w:ascii="Arial" w:hAnsi="Arial"/>
          <w:b w:val="0"/>
          <w:color w:val="333333"/>
          <w:sz w:val="22"/>
        </w:rPr>
        <w:t xml:space="preserve"> (resposta curta como "está aprovado" só faz sentido recuperando as mensagens anteriores — mesmo princípio de recuperação de contexto de um RAG, aplicado à conversa), </w:t>
      </w:r>
      <w:r>
        <w:rPr>
          <w:rFonts w:ascii="Arial" w:hAnsi="Arial"/>
          <w:b/>
          <w:color w:val="333333"/>
          <w:sz w:val="22"/>
        </w:rPr>
        <w:t>múltiplas ações para pessoas diferentes</w:t>
      </w:r>
      <w:r>
        <w:rPr>
          <w:rFonts w:ascii="Arial" w:hAnsi="Arial"/>
          <w:b w:val="0"/>
          <w:color w:val="333333"/>
          <w:sz w:val="22"/>
        </w:rPr>
        <w:t xml:space="preserve"> numa única mensagem (gera um objeto por responsável, não um card genérico com duas tarefas), </w:t>
      </w:r>
      <w:r>
        <w:rPr>
          <w:rFonts w:ascii="Arial" w:hAnsi="Arial"/>
          <w:b/>
          <w:color w:val="333333"/>
          <w:sz w:val="22"/>
        </w:rPr>
        <w:t>pergunta disfarçada de ação</w:t>
      </w:r>
      <w:r>
        <w:rPr>
          <w:rFonts w:ascii="Arial" w:hAnsi="Arial"/>
          <w:b w:val="0"/>
          <w:color w:val="333333"/>
          <w:sz w:val="22"/>
        </w:rPr>
        <w:t xml:space="preserve"> ("alguém já verificou?" não vira card de investigação automaticamente), </w:t>
      </w:r>
      <w:r>
        <w:rPr>
          <w:rFonts w:ascii="Arial" w:hAnsi="Arial"/>
          <w:b/>
          <w:color w:val="333333"/>
          <w:sz w:val="22"/>
        </w:rPr>
        <w:t>decisão binária pendente</w:t>
      </w:r>
      <w:r>
        <w:rPr>
          <w:rFonts w:ascii="Arial" w:hAnsi="Arial"/>
          <w:b w:val="0"/>
          <w:color w:val="333333"/>
          <w:sz w:val="22"/>
        </w:rPr>
        <w:t xml:space="preserve"> (mensagem com duas alternativas de escopo/cronograma precisa preencher obrigatoriamente um campo </w:t>
      </w:r>
      <w:r>
        <w:rPr>
          <w:rFonts w:ascii="Courier New" w:hAnsi="Courier New"/>
          <w:color w:val="333333"/>
          <w:sz w:val="20"/>
        </w:rPr>
        <w:t>Action Required</w:t>
      </w:r>
      <w:r>
        <w:rPr>
          <w:rFonts w:ascii="Arial" w:hAnsi="Arial"/>
          <w:b w:val="0"/>
          <w:color w:val="333333"/>
          <w:sz w:val="22"/>
        </w:rPr>
        <w:t xml:space="preserve"> — nunca virar card operacional automático quando na verdade é decisão gerencial pendente), </w:t>
      </w:r>
      <w:r>
        <w:rPr>
          <w:rFonts w:ascii="Arial" w:hAnsi="Arial"/>
          <w:b/>
          <w:color w:val="333333"/>
          <w:sz w:val="22"/>
        </w:rPr>
        <w:t>jargão interno</w:t>
      </w:r>
      <w:r>
        <w:rPr>
          <w:rFonts w:ascii="Arial" w:hAnsi="Arial"/>
          <w:b w:val="0"/>
          <w:color w:val="333333"/>
          <w:sz w:val="22"/>
        </w:rPr>
        <w:t xml:space="preserve"> (glossário de termos como "P0" incorporado ao contexto do parser) e </w:t>
      </w:r>
      <w:r>
        <w:rPr>
          <w:rFonts w:ascii="Arial" w:hAnsi="Arial"/>
          <w:b/>
          <w:color w:val="333333"/>
          <w:sz w:val="22"/>
        </w:rPr>
        <w:t>mensagem bilíngue</w:t>
      </w:r>
      <w:r>
        <w:rPr>
          <w:rFonts w:ascii="Arial" w:hAnsi="Arial"/>
          <w:b w:val="0"/>
          <w:color w:val="333333"/>
          <w:sz w:val="22"/>
        </w:rPr>
        <w:t xml:space="preserve"> (aceita entrada mista PT/EN, mas padroniza saída em português).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Cuidados operacionais: sincronização </w:t>
      </w:r>
      <w:r>
        <w:rPr>
          <w:rFonts w:ascii="Arial" w:hAnsi="Arial"/>
          <w:b/>
          <w:color w:val="333333"/>
          <w:sz w:val="22"/>
        </w:rPr>
        <w:t>unidirecional</w:t>
      </w:r>
      <w:r>
        <w:rPr>
          <w:rFonts w:ascii="Arial" w:hAnsi="Arial"/>
          <w:b w:val="0"/>
          <w:color w:val="333333"/>
          <w:sz w:val="22"/>
        </w:rPr>
        <w:t xml:space="preserve"> quando o Jira é a fonte oficial (evita conflito de edição vinda do Slack); separar canal de colaboração de canal de notificação automática (senão o canal principal vira ruído ignorado); sempre ter procedimento manual de contingência (token expira, webhook cai); anexar sempre a mensagem original e o link da thread ao card (preserva contexto para investigação futura); registrar log estruturado de cada card criado automaticamente (data, canal, versão do prompt, resultado) — trilha de auditoria da própria automação.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Módulo 10 — Portfólio e OKRs com IA</w:t>
      </w:r>
    </w:p>
    <w:p>
      <w:pPr>
        <w:spacing w:after="160"/>
      </w:pPr>
      <w:r>
        <w:rPr>
          <w:rFonts w:ascii="Arial" w:hAnsi="Arial"/>
          <w:b/>
          <w:color w:val="333333"/>
          <w:sz w:val="22"/>
        </w:rPr>
        <w:t>Output</w:t>
      </w:r>
      <w:r>
        <w:rPr>
          <w:rFonts w:ascii="Arial" w:hAnsi="Arial"/>
          <w:b w:val="0"/>
          <w:color w:val="333333"/>
          <w:sz w:val="22"/>
        </w:rPr>
        <w:t xml:space="preserve"> (o que a equipe produz — funcionalidade, API, dashboard) vs. </w:t>
      </w:r>
      <w:r>
        <w:rPr>
          <w:rFonts w:ascii="Arial" w:hAnsi="Arial"/>
          <w:b/>
          <w:color w:val="333333"/>
          <w:sz w:val="22"/>
        </w:rPr>
        <w:t>outcome</w:t>
      </w:r>
      <w:r>
        <w:rPr>
          <w:rFonts w:ascii="Arial" w:hAnsi="Arial"/>
          <w:b w:val="0"/>
          <w:color w:val="333333"/>
          <w:sz w:val="22"/>
        </w:rPr>
        <w:t xml:space="preserve"> (o impacto real no negócio — retenção, custo, satisfação). Entregar todas as User Stories da sprint é output perfeito com outcome possivelmente nulo. Os </w:t>
      </w:r>
      <w:r>
        <w:rPr>
          <w:rFonts w:ascii="Arial" w:hAnsi="Arial"/>
          <w:b/>
          <w:color w:val="333333"/>
          <w:sz w:val="22"/>
        </w:rPr>
        <w:t>OKRs (Objectives and Key Results)</w:t>
      </w:r>
      <w:r>
        <w:rPr>
          <w:rFonts w:ascii="Arial" w:hAnsi="Arial"/>
          <w:b w:val="0"/>
          <w:color w:val="333333"/>
          <w:sz w:val="22"/>
        </w:rPr>
        <w:t xml:space="preserve"> conectam backlog a estratégia: Objective é qualitativo e inspirador (o quê); Key Results são sempre quantitativos, mensuráveis, com prazo e baseline (como comprovar que aconteceu).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🔑 Regra fundamental: o erro mais comum é escrever uma </w:t>
      </w:r>
      <w:r>
        <w:rPr>
          <w:rFonts w:ascii="Arial" w:hAnsi="Arial"/>
          <w:b/>
          <w:color w:val="333333"/>
          <w:sz w:val="22"/>
        </w:rPr>
        <w:t>tarefa</w:t>
      </w:r>
      <w:r>
        <w:rPr>
          <w:rFonts w:ascii="Arial" w:hAnsi="Arial"/>
          <w:b w:val="0"/>
          <w:color w:val="333333"/>
          <w:sz w:val="22"/>
        </w:rPr>
        <w:t xml:space="preserve"> como Key Result ("implementar o módulo X") em vez de um resultado de negócio ("reduzir sinistros em 20% até setembro"). Uma tarefa concluída não prova nada sobre outcome — só sobre entrega.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</w:t>
      </w:r>
      <w:r>
        <w:rPr>
          <w:rFonts w:ascii="Arial" w:hAnsi="Arial"/>
          <w:b/>
          <w:color w:val="333333"/>
          <w:sz w:val="22"/>
        </w:rPr>
        <w:t>OKR Aligner</w:t>
      </w:r>
      <w:r>
        <w:rPr>
          <w:rFonts w:ascii="Arial" w:hAnsi="Arial"/>
          <w:b w:val="0"/>
          <w:color w:val="333333"/>
          <w:sz w:val="22"/>
        </w:rPr>
        <w:t xml:space="preserve"> tem dois templates: (1) validação estrutural do próprio OKR (Objective é estado desejado, não tarefa? Key Result é mensurável, tem prazo, baseline e responsável?) e (2) alinhamento do backlog com a estratégia, classificando cada User Story em </w:t>
      </w:r>
      <w:r>
        <w:rPr>
          <w:rFonts w:ascii="Arial" w:hAnsi="Arial"/>
          <w:b/>
          <w:color w:val="333333"/>
          <w:sz w:val="22"/>
        </w:rPr>
        <w:t>diretamente alinhada</w:t>
      </w:r>
      <w:r>
        <w:rPr>
          <w:rFonts w:ascii="Arial" w:hAnsi="Arial"/>
          <w:b w:val="0"/>
          <w:color w:val="333333"/>
          <w:sz w:val="22"/>
        </w:rPr>
        <w:t xml:space="preserve"> (contribui mensuravelmente para um KR), </w:t>
      </w:r>
      <w:r>
        <w:rPr>
          <w:rFonts w:ascii="Arial" w:hAnsi="Arial"/>
          <w:b/>
          <w:color w:val="333333"/>
          <w:sz w:val="22"/>
        </w:rPr>
        <w:t>indiretamente alinhada</w:t>
      </w:r>
      <w:r>
        <w:rPr>
          <w:rFonts w:ascii="Arial" w:hAnsi="Arial"/>
          <w:b w:val="0"/>
          <w:color w:val="333333"/>
          <w:sz w:val="22"/>
        </w:rPr>
        <w:t xml:space="preserve"> (viabiliza outra iniciativa alinhada) ou </w:t>
      </w:r>
      <w:r>
        <w:rPr>
          <w:rFonts w:ascii="Arial" w:hAnsi="Arial"/>
          <w:b/>
          <w:color w:val="333333"/>
          <w:sz w:val="22"/>
        </w:rPr>
        <w:t>não alinhada</w:t>
      </w:r>
      <w:r>
        <w:rPr>
          <w:rFonts w:ascii="Arial" w:hAnsi="Arial"/>
          <w:b w:val="0"/>
          <w:color w:val="333333"/>
          <w:sz w:val="22"/>
        </w:rPr>
        <w:t xml:space="preserve"> (sem conexão visível — candidata a remoção, transferência para backlog de inovação, ou sinal de que os próprios OKRs precisam ser revisados).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>🔍 Exemplo detalhado: no case RouteWise, a redução de sinistros está em 8% quando a meta era 20% até setembro — o Key Result parece "razoavelmente indo bem" olhando isolado, mas projetando o ritmo restante contra o prazo, o modelo identifica risco real de não atingir a meta. Investigando a causa: a funcionalidade técnica já está pronta, mas só ~60% dos motoristas foram treinados — o limitador não é tecnológico, é adoção. A recomendação vira treinamento, não mais desenvolvimento.</w:t>
      </w: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⚠️ Sinal de alerta contra-intuitivo: quase todo Key Result batendo &gt;90% de conclusão não é sucesso — é sinal de meta conservadora demais. OKR usado para avaliação individual de desempenho produz o mesmo efeito perverso (equipe evita meta ambiciosa por medo de punição). OKR funciona melhor como instrumento de </w:t>
      </w:r>
      <w:r>
        <w:rPr>
          <w:rFonts w:ascii="Arial" w:hAnsi="Arial"/>
          <w:b/>
          <w:color w:val="333333"/>
          <w:sz w:val="22"/>
        </w:rPr>
        <w:t>aprendizado organizacional</w:t>
      </w:r>
      <w:r>
        <w:rPr>
          <w:rFonts w:ascii="Arial" w:hAnsi="Arial"/>
          <w:b w:val="0"/>
          <w:color w:val="333333"/>
          <w:sz w:val="22"/>
        </w:rPr>
        <w:t>, não de cobrança.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Sinais de que a cultura de OKR realmente pegou (não é só documento): a equipe questiona espontaneamente a qual objetivo uma nova demanda se conecta; métrica de negócio aparece nas conversas de cerimônia, não só Story Points; alinhamento estratégico vira filtro de priorização recorrente, não auditoria trimestral. Prática recomendada: check-in semanal de ~5 minutos, focado em visibilidade e remoção de bloqueio — não em cobrança de quem "falhou".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3. Detalhes de Implementação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módulo não usa projetos de código Java/Go — cada "ferramenta" é um </w:t>
      </w:r>
      <w:r>
        <w:rPr>
          <w:rFonts w:ascii="Arial" w:hAnsi="Arial"/>
          <w:b/>
          <w:color w:val="333333"/>
          <w:sz w:val="22"/>
        </w:rPr>
        <w:t>System Prompt</w:t>
      </w:r>
      <w:r>
        <w:rPr>
          <w:rFonts w:ascii="Arial" w:hAnsi="Arial"/>
          <w:b w:val="0"/>
          <w:color w:val="333333"/>
          <w:sz w:val="22"/>
        </w:rPr>
        <w:t xml:space="preserve"> (configurado no Google AI Studio, Gemini) mais, em alguns módulos, um script de apoio (JS/Python) ou um payload JSON de integração. Todas seguem o mesmo padrão arquitetural: entrada em linguagem natural ou dado semiestruturado → prompt com regras de comportamento explícitas (papel, formato de saída, protocolo de ambiguidade) → saída estruturada (Markdown com tabelas/JSON) pronta para revisão humana e integração com Jira/Slack/Notion.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3.1 Requirements Copilot (Módulo 01)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 que faz: recebe a transcrição de uma reunião de discovery e produz mapa de domínios com nível de confiança, épicos, User Stories com ator específico e critérios INVEST, critérios de aceite em Gherkin (sem termo subjetivo) e lista de perguntas em aberto.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Fluxo de dados: transcrição bruta (</w:t>
      </w:r>
      <w:r>
        <w:rPr>
          <w:rFonts w:ascii="Courier New" w:hAnsi="Courier New"/>
          <w:color w:val="333333"/>
          <w:sz w:val="20"/>
        </w:rPr>
        <w:t>.md</w:t>
      </w:r>
      <w:r>
        <w:rPr>
          <w:rFonts w:ascii="Arial" w:hAnsi="Arial"/>
          <w:b w:val="0"/>
          <w:color w:val="333333"/>
          <w:sz w:val="22"/>
        </w:rPr>
        <w:t>/</w:t>
      </w:r>
      <w:r>
        <w:rPr>
          <w:rFonts w:ascii="Courier New" w:hAnsi="Courier New"/>
          <w:color w:val="333333"/>
          <w:sz w:val="20"/>
        </w:rPr>
        <w:t>.wav</w:t>
      </w:r>
      <w:r>
        <w:rPr>
          <w:rFonts w:ascii="Arial" w:hAnsi="Arial"/>
          <w:b w:val="0"/>
          <w:color w:val="333333"/>
          <w:sz w:val="22"/>
        </w:rPr>
        <w:t>) → System Prompt (</w:t>
      </w:r>
      <w:r>
        <w:rPr>
          <w:rFonts w:ascii="Courier New" w:hAnsi="Courier New"/>
          <w:color w:val="333333"/>
          <w:sz w:val="20"/>
        </w:rPr>
        <w:t>requirements-copilot-system-prompt.md</w:t>
      </w:r>
      <w:r>
        <w:rPr>
          <w:rFonts w:ascii="Arial" w:hAnsi="Arial"/>
          <w:b w:val="0"/>
          <w:color w:val="333333"/>
          <w:sz w:val="22"/>
        </w:rPr>
        <w:t xml:space="preserve">, definição de papel "copiloto", modo completo com 9 seções vs. modo rápido com 3) → output em Markdown → importação manual revisada para </w:t>
      </w:r>
      <w:r>
        <w:rPr>
          <w:rFonts w:ascii="Courier New" w:hAnsi="Courier New"/>
          <w:color w:val="333333"/>
          <w:sz w:val="20"/>
        </w:rPr>
        <w:t>routewise-jira-import.csv</w:t>
      </w:r>
      <w:r>
        <w:rPr>
          <w:rFonts w:ascii="Arial" w:hAnsi="Arial"/>
          <w:b w:val="0"/>
          <w:color w:val="333333"/>
          <w:sz w:val="22"/>
        </w:rPr>
        <w:t>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Trecho do contrato (System Prompt): o prompt define explicitamente que o modelo "não é um transcrevedor, é um analista" e que seu trabalho é "capturar o que foi dito E o que foi implicado, sinalizar o que ficou ambíguo" — sem inventar parâmetro técnico não fornecido pelo stakeholder.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Como usar: colar no campo System Instructions do AI Studio, colar a transcrição como mensagem de usuário, comparar com </w:t>
      </w:r>
      <w:r>
        <w:rPr>
          <w:rFonts w:ascii="Courier New" w:hAnsi="Courier New"/>
          <w:color w:val="333333"/>
          <w:sz w:val="20"/>
        </w:rPr>
        <w:t>output-demo-m1.2-v1.0.md</w:t>
      </w:r>
      <w:r>
        <w:rPr>
          <w:rFonts w:ascii="Arial" w:hAnsi="Arial"/>
          <w:b w:val="0"/>
          <w:color w:val="333333"/>
          <w:sz w:val="22"/>
        </w:rPr>
        <w:t xml:space="preserve"> de referência.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3.2 Backlog Scorer (Módulo 02)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 que faz: aplica MoSCoW + RICE + WSJF simultaneamente sobre o backlog, usando contexto estratégico (OKR do projeto), restrição operacional (prazo de hardware) e regra de alerta (flag quando Confidence cai abaixo de limiar).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Fluxo de dados: </w:t>
      </w:r>
      <w:r>
        <w:rPr>
          <w:rFonts w:ascii="Courier New" w:hAnsi="Courier New"/>
          <w:color w:val="333333"/>
          <w:sz w:val="20"/>
        </w:rPr>
        <w:t>backlog-routewise-input.md</w:t>
      </w:r>
      <w:r>
        <w:rPr>
          <w:rFonts w:ascii="Arial" w:hAnsi="Arial"/>
          <w:b w:val="0"/>
          <w:color w:val="333333"/>
          <w:sz w:val="22"/>
        </w:rPr>
        <w:t xml:space="preserve"> (User Stories + contexto estratégico + restrições) → </w:t>
      </w:r>
      <w:r>
        <w:rPr>
          <w:rFonts w:ascii="Courier New" w:hAnsi="Courier New"/>
          <w:color w:val="333333"/>
          <w:sz w:val="20"/>
        </w:rPr>
        <w:t>backlog-scorer-prompt.md</w:t>
      </w:r>
      <w:r>
        <w:rPr>
          <w:rFonts w:ascii="Arial" w:hAnsi="Arial"/>
          <w:b w:val="0"/>
          <w:color w:val="333333"/>
          <w:sz w:val="22"/>
        </w:rPr>
        <w:t xml:space="preserve"> (temperatura baixa, ~0.2–0.3, para reduzir variação entre execuções) → </w:t>
      </w:r>
      <w:r>
        <w:rPr>
          <w:rFonts w:ascii="Courier New" w:hAnsi="Courier New"/>
          <w:color w:val="333333"/>
          <w:sz w:val="20"/>
        </w:rPr>
        <w:t>output-exemplo-scorer-m23.md</w:t>
      </w:r>
      <w:r>
        <w:rPr>
          <w:rFonts w:ascii="Arial" w:hAnsi="Arial"/>
          <w:b w:val="0"/>
          <w:color w:val="333333"/>
          <w:sz w:val="22"/>
        </w:rPr>
        <w:t xml:space="preserve"> (tabela de pontuação RICE/WSJF + flags de risco).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Configuração notável: temperatura reduzida é escolha deliberada — em análise que precisa ser auditável e comparável entre execuções, previsibilidade importa mais que criatividade.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3.3 Scheduling Prompt (Módulo 03)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 que faz: recebe backlog priorizado + composição da equipe (papel, especialização) + capacidade real (nominal × taxa de utilização) + calendário (feriados) + dependências técnicas/externas, e produz cronograma sprint a sprint com justificativa de sequenciamento, incluindo tarefas Enabler inferidas (não presentes no backlog original).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Fluxo de dados: </w:t>
      </w:r>
      <w:r>
        <w:rPr>
          <w:rFonts w:ascii="Courier New" w:hAnsi="Courier New"/>
          <w:color w:val="333333"/>
          <w:sz w:val="20"/>
        </w:rPr>
        <w:t>scheduling-routewise-input.md</w:t>
      </w:r>
      <w:r>
        <w:rPr>
          <w:rFonts w:ascii="Arial" w:hAnsi="Arial"/>
          <w:b w:val="0"/>
          <w:color w:val="333333"/>
          <w:sz w:val="22"/>
        </w:rPr>
        <w:t xml:space="preserve"> (equipe, capacidade, restrições, marcos) + backlog do Módulo 02 → </w:t>
      </w:r>
      <w:r>
        <w:rPr>
          <w:rFonts w:ascii="Courier New" w:hAnsi="Courier New"/>
          <w:color w:val="333333"/>
          <w:sz w:val="20"/>
        </w:rPr>
        <w:t>scheduling-prompt.md</w:t>
      </w:r>
      <w:r>
        <w:rPr>
          <w:rFonts w:ascii="Arial" w:hAnsi="Arial"/>
          <w:b w:val="0"/>
          <w:color w:val="333333"/>
          <w:sz w:val="22"/>
        </w:rPr>
        <w:t xml:space="preserve"> (temperatura ~0.3) → </w:t>
      </w:r>
      <w:r>
        <w:rPr>
          <w:rFonts w:ascii="Courier New" w:hAnsi="Courier New"/>
          <w:color w:val="333333"/>
          <w:sz w:val="20"/>
        </w:rPr>
        <w:t>output-exemplo-scheduling-m32.md</w:t>
      </w:r>
      <w:r>
        <w:rPr>
          <w:rFonts w:ascii="Arial" w:hAnsi="Arial"/>
          <w:b w:val="0"/>
          <w:color w:val="333333"/>
          <w:sz w:val="22"/>
        </w:rPr>
        <w:t xml:space="preserve"> (cronograma por sprint + capacidade calculada + análise What-If sob demanda).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3.4 Probability Forecast (Módulo 04)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 que faz: para cada User Story do MVP, recebe estimativa de três pontos (otimista/provável/pessimista) e restrição externa (lead time de fornecedor, tratado separadamente do esforço de dev); calcula distribuição PERT por história e roda simulação de Monte Carlo agregada.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Fluxo de dados: </w:t>
      </w:r>
      <w:r>
        <w:rPr>
          <w:rFonts w:ascii="Courier New" w:hAnsi="Courier New"/>
          <w:color w:val="333333"/>
          <w:sz w:val="20"/>
        </w:rPr>
        <w:t>probability-forecast-prompt.md</w:t>
      </w:r>
      <w:r>
        <w:rPr>
          <w:rFonts w:ascii="Arial" w:hAnsi="Arial"/>
          <w:b w:val="0"/>
          <w:color w:val="333333"/>
          <w:sz w:val="22"/>
        </w:rPr>
        <w:t xml:space="preserve"> (temperatura ~0.2) recebendo as estimativas → paralelamente, </w:t>
      </w:r>
      <w:r>
        <w:rPr>
          <w:rFonts w:ascii="Courier New" w:hAnsi="Courier New"/>
          <w:color w:val="333333"/>
          <w:sz w:val="20"/>
        </w:rPr>
        <w:t>monte-carlo-routewise.js</w:t>
      </w:r>
      <w:r>
        <w:rPr>
          <w:rFonts w:ascii="Arial" w:hAnsi="Arial"/>
          <w:b w:val="0"/>
          <w:color w:val="333333"/>
          <w:sz w:val="22"/>
        </w:rPr>
        <w:t>/</w:t>
      </w:r>
      <w:r>
        <w:rPr>
          <w:rFonts w:ascii="Courier New" w:hAnsi="Courier New"/>
          <w:color w:val="333333"/>
          <w:sz w:val="20"/>
        </w:rPr>
        <w:t>.py</w:t>
      </w:r>
      <w:r>
        <w:rPr>
          <w:rFonts w:ascii="Arial" w:hAnsi="Arial"/>
          <w:b w:val="0"/>
          <w:color w:val="333333"/>
          <w:sz w:val="22"/>
        </w:rPr>
        <w:t xml:space="preserve"> (script determinístico, não-LLM) executa a simulação real com função de distribuição </w:t>
      </w:r>
      <w:r>
        <w:rPr>
          <w:rFonts w:ascii="Arial" w:hAnsi="Arial"/>
          <w:b/>
          <w:color w:val="333333"/>
          <w:sz w:val="22"/>
        </w:rPr>
        <w:t>triangular</w:t>
      </w:r>
      <w:r>
        <w:rPr>
          <w:rFonts w:ascii="Arial" w:hAnsi="Arial"/>
          <w:b w:val="0"/>
          <w:color w:val="333333"/>
          <w:sz w:val="22"/>
        </w:rPr>
        <w:t xml:space="preserve"> — 10.000 iterações somando trilha de software e trilha de hardware, que só começa a contar a partir da semana de chegada do equipamento (constante </w:t>
      </w:r>
      <w:r>
        <w:rPr>
          <w:rFonts w:ascii="Courier New" w:hAnsi="Courier New"/>
          <w:color w:val="333333"/>
          <w:sz w:val="20"/>
        </w:rPr>
        <w:t>HARDWARE_SEMANA = 9</w:t>
      </w:r>
      <w:r>
        <w:rPr>
          <w:rFonts w:ascii="Arial" w:hAnsi="Arial"/>
          <w:b w:val="0"/>
          <w:color w:val="333333"/>
          <w:sz w:val="22"/>
        </w:rPr>
        <w:t>).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Trecho de código (JS) — amostragem triangular usada para sortear um valor de duração dentro de otimista/provável/pessimista em cada simulação: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function triangular(o, m, p)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const u = Math.random();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const fc = (m - o) / (p - o);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if (u &lt; fc)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  return o + Math.sqrt(u * (p - o) * (m - o));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}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return p - Math.sqrt((1 - u) * (p - o) * (p - m));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Arquitetura: script standalone (roda no console do navegador ou via </w:t>
      </w:r>
      <w:r>
        <w:rPr>
          <w:rFonts w:ascii="Courier New" w:hAnsi="Courier New"/>
          <w:color w:val="333333"/>
          <w:sz w:val="20"/>
        </w:rPr>
        <w:t>node</w:t>
      </w:r>
      <w:r>
        <w:rPr>
          <w:rFonts w:ascii="Arial" w:hAnsi="Arial"/>
          <w:b w:val="0"/>
          <w:color w:val="333333"/>
          <w:sz w:val="22"/>
        </w:rPr>
        <w:t>), sem dependência externa — separa deliberadamente o cálculo estatístico determinístico (script) da interpretação e comunicação por audiência (LLM), reforçando o mesmo princípio arquitetural do Módulo 08 (arquitetura de sistemas): usar componente determinístico para o que é determinístico, e reservar o modelo para interpretação e linguagem.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3.5 Risk Monitor (Módulo 05)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 que faz: recebe métricas históricas de várias sprints (Lead Time, Cycle Time, bugs abertos/resolvidos, itens planejados/entregues/bloqueados) extraídas do Jira e produz um cockpit de riscos por componente, com plano de mitigação e critério de sucesso mensurável.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Fluxo de dados: </w:t>
      </w:r>
      <w:r>
        <w:rPr>
          <w:rFonts w:ascii="Courier New" w:hAnsi="Courier New"/>
          <w:color w:val="333333"/>
          <w:sz w:val="20"/>
        </w:rPr>
        <w:t>risk-monitor-data-exemplo.csv</w:t>
      </w:r>
      <w:r>
        <w:rPr>
          <w:rFonts w:ascii="Arial" w:hAnsi="Arial"/>
          <w:b w:val="0"/>
          <w:color w:val="333333"/>
          <w:sz w:val="22"/>
        </w:rPr>
        <w:t xml:space="preserve"> (série histórica por sprint) + </w:t>
      </w:r>
      <w:r>
        <w:rPr>
          <w:rFonts w:ascii="Courier New" w:hAnsi="Courier New"/>
          <w:color w:val="333333"/>
          <w:sz w:val="20"/>
        </w:rPr>
        <w:t>jira-estado-board.md</w:t>
      </w:r>
      <w:r>
        <w:rPr>
          <w:rFonts w:ascii="Arial" w:hAnsi="Arial"/>
          <w:b w:val="0"/>
          <w:color w:val="333333"/>
          <w:sz w:val="22"/>
        </w:rPr>
        <w:t xml:space="preserve"> (snapshot do board) → </w:t>
      </w:r>
      <w:r>
        <w:rPr>
          <w:rFonts w:ascii="Courier New" w:hAnsi="Courier New"/>
          <w:color w:val="333333"/>
          <w:sz w:val="20"/>
        </w:rPr>
        <w:t>risk-monitor-prompt.md</w:t>
      </w:r>
      <w:r>
        <w:rPr>
          <w:rFonts w:ascii="Arial" w:hAnsi="Arial"/>
          <w:b w:val="0"/>
          <w:color w:val="333333"/>
          <w:sz w:val="22"/>
        </w:rPr>
        <w:t xml:space="preserve"> → </w:t>
      </w:r>
      <w:r>
        <w:rPr>
          <w:rFonts w:ascii="Courier New" w:hAnsi="Courier New"/>
          <w:color w:val="333333"/>
          <w:sz w:val="20"/>
        </w:rPr>
        <w:t>output-exemplo-riskmonitor-m52.md</w:t>
      </w:r>
      <w:r>
        <w:rPr>
          <w:rFonts w:ascii="Arial" w:hAnsi="Arial"/>
          <w:b w:val="0"/>
          <w:color w:val="333333"/>
          <w:sz w:val="22"/>
        </w:rPr>
        <w:t xml:space="preserve"> (cockpit + plano de ação).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3.6 Meeting Digest (Módulo 06)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 que faz: recebe transcrição de reunião (Sprint Review) e produz resumo executivo, tabela de ações (responsável/prazo quando explícitos), decisões documentadas, riscos/impedimentos e perguntas em aberto — mais um payload JSON pronto para integração.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Fluxo de dados: </w:t>
      </w:r>
      <w:r>
        <w:rPr>
          <w:rFonts w:ascii="Courier New" w:hAnsi="Courier New"/>
          <w:color w:val="333333"/>
          <w:sz w:val="20"/>
        </w:rPr>
        <w:t>transcricao-sprint-review-s2.md</w:t>
      </w:r>
      <w:r>
        <w:rPr>
          <w:rFonts w:ascii="Arial" w:hAnsi="Arial"/>
          <w:b w:val="0"/>
          <w:color w:val="333333"/>
          <w:sz w:val="22"/>
        </w:rPr>
        <w:t xml:space="preserve"> → </w:t>
      </w:r>
      <w:r>
        <w:rPr>
          <w:rFonts w:ascii="Courier New" w:hAnsi="Courier New"/>
          <w:color w:val="333333"/>
          <w:sz w:val="20"/>
        </w:rPr>
        <w:t>meeting-digest-prompt.md</w:t>
      </w:r>
      <w:r>
        <w:rPr>
          <w:rFonts w:ascii="Arial" w:hAnsi="Arial"/>
          <w:b w:val="0"/>
          <w:color w:val="333333"/>
          <w:sz w:val="22"/>
        </w:rPr>
        <w:t xml:space="preserve"> (pipeline conceitual: transcrição → síntese semântica → extração estruturada) → </w:t>
      </w:r>
      <w:r>
        <w:rPr>
          <w:rFonts w:ascii="Courier New" w:hAnsi="Courier New"/>
          <w:color w:val="333333"/>
          <w:sz w:val="20"/>
        </w:rPr>
        <w:t>output-digest-backup-sprint-review-m62.md</w:t>
      </w:r>
      <w:r>
        <w:rPr>
          <w:rFonts w:ascii="Arial" w:hAnsi="Arial"/>
          <w:b w:val="0"/>
          <w:color w:val="333333"/>
          <w:sz w:val="22"/>
        </w:rPr>
        <w:t xml:space="preserve"> (Markdown) + payload JSON com campos </w:t>
      </w:r>
      <w:r>
        <w:rPr>
          <w:rFonts w:ascii="Courier New" w:hAnsi="Courier New"/>
          <w:color w:val="333333"/>
          <w:sz w:val="20"/>
        </w:rPr>
        <w:t>título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responsável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prioridade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prazo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descrição</w:t>
      </w:r>
      <w:r>
        <w:rPr>
          <w:rFonts w:ascii="Arial" w:hAnsi="Arial"/>
          <w:b w:val="0"/>
          <w:color w:val="333333"/>
          <w:sz w:val="22"/>
        </w:rPr>
        <w:t xml:space="preserve"> por ação, pronto para Jira/Zapier/Make.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3.7 Status Report (Módulo 07)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 que faz: recebe indicadores consolidados de uma sprint encerrada e gera três versões do mesmo relatório (técnica, gerencial, executiva) a partir do mesmo dataset, variando só a instrução de audiência no prompt.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Fluxo de dados: dados da Sprint 4 (Velocity, Lead Time, bugs, bloqueio) → </w:t>
      </w:r>
      <w:r>
        <w:rPr>
          <w:rFonts w:ascii="Courier New" w:hAnsi="Courier New"/>
          <w:color w:val="333333"/>
          <w:sz w:val="20"/>
        </w:rPr>
        <w:t>status-report-prompt.md</w:t>
      </w:r>
      <w:r>
        <w:rPr>
          <w:rFonts w:ascii="Arial" w:hAnsi="Arial"/>
          <w:b w:val="0"/>
          <w:color w:val="333333"/>
          <w:sz w:val="22"/>
        </w:rPr>
        <w:t xml:space="preserve"> (temperatura ~0.3, instrução de audiência como parâmetro) → </w:t>
      </w:r>
      <w:r>
        <w:rPr>
          <w:rFonts w:ascii="Courier New" w:hAnsi="Courier New"/>
          <w:color w:val="333333"/>
          <w:sz w:val="20"/>
        </w:rPr>
        <w:t>output-exemplo-status-report-m72.md</w:t>
      </w:r>
      <w:r>
        <w:rPr>
          <w:rFonts w:ascii="Arial" w:hAnsi="Arial"/>
          <w:b w:val="0"/>
          <w:color w:val="333333"/>
          <w:sz w:val="22"/>
        </w:rPr>
        <w:t xml:space="preserve"> (as três versões lado a lado).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3.8 Compliance Checklist + Danger (Módulo 08)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 que faz: gera checklist de compliance contextualizado (bloqueadores/operacional/auditoria) para um evento específico (ex.: deploy em produção) e, separadamente, gera o arquivo de regras executáveis para o pipeline.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Fluxo de dados: contexto do deploy (</w:t>
      </w:r>
      <w:r>
        <w:rPr>
          <w:rFonts w:ascii="Courier New" w:hAnsi="Courier New"/>
          <w:color w:val="333333"/>
          <w:sz w:val="20"/>
        </w:rPr>
        <w:t>pr-mock-routewise.json</w:t>
      </w:r>
      <w:r>
        <w:rPr>
          <w:rFonts w:ascii="Arial" w:hAnsi="Arial"/>
          <w:b w:val="0"/>
          <w:color w:val="333333"/>
          <w:sz w:val="22"/>
        </w:rPr>
        <w:t xml:space="preserve">, </w:t>
      </w:r>
      <w:r>
        <w:rPr>
          <w:rFonts w:ascii="Courier New" w:hAnsi="Courier New"/>
          <w:color w:val="333333"/>
          <w:sz w:val="20"/>
        </w:rPr>
        <w:t>pr-mock-falhas.json</w:t>
      </w:r>
      <w:r>
        <w:rPr>
          <w:rFonts w:ascii="Arial" w:hAnsi="Arial"/>
          <w:b w:val="0"/>
          <w:color w:val="333333"/>
          <w:sz w:val="22"/>
        </w:rPr>
        <w:t xml:space="preserve">) → </w:t>
      </w:r>
      <w:r>
        <w:rPr>
          <w:rFonts w:ascii="Courier New" w:hAnsi="Courier New"/>
          <w:color w:val="333333"/>
          <w:sz w:val="20"/>
        </w:rPr>
        <w:t>compliance-checklist-prompt.md</w:t>
      </w:r>
      <w:r>
        <w:rPr>
          <w:rFonts w:ascii="Arial" w:hAnsi="Arial"/>
          <w:b w:val="0"/>
          <w:color w:val="333333"/>
          <w:sz w:val="22"/>
        </w:rPr>
        <w:t xml:space="preserve"> → </w:t>
      </w:r>
      <w:r>
        <w:rPr>
          <w:rFonts w:ascii="Courier New" w:hAnsi="Courier New"/>
          <w:color w:val="333333"/>
          <w:sz w:val="20"/>
        </w:rPr>
        <w:t>output-exemplo-compliance-m82.md</w:t>
      </w:r>
      <w:r>
        <w:rPr>
          <w:rFonts w:ascii="Arial" w:hAnsi="Arial"/>
          <w:b w:val="0"/>
          <w:color w:val="333333"/>
          <w:sz w:val="22"/>
        </w:rPr>
        <w:t xml:space="preserve"> (checklist) e </w:t>
      </w:r>
      <w:r>
        <w:rPr>
          <w:rFonts w:ascii="Courier New" w:hAnsi="Courier New"/>
          <w:color w:val="333333"/>
          <w:sz w:val="20"/>
        </w:rPr>
        <w:t>output-exemplo-dangerfile-m82.md</w:t>
      </w:r>
      <w:r>
        <w:rPr>
          <w:rFonts w:ascii="Arial" w:hAnsi="Arial"/>
          <w:b w:val="0"/>
          <w:color w:val="333333"/>
          <w:sz w:val="22"/>
        </w:rPr>
        <w:t xml:space="preserve"> → </w:t>
      </w:r>
      <w:r>
        <w:rPr>
          <w:rFonts w:ascii="Courier New" w:hAnsi="Courier New"/>
          <w:color w:val="333333"/>
          <w:sz w:val="20"/>
        </w:rPr>
        <w:t>danger-config-template.js</w:t>
      </w:r>
      <w:r>
        <w:rPr>
          <w:rFonts w:ascii="Arial" w:hAnsi="Arial"/>
          <w:b w:val="0"/>
          <w:color w:val="333333"/>
          <w:sz w:val="22"/>
        </w:rPr>
        <w:t xml:space="preserve"> / </w:t>
      </w:r>
      <w:r>
        <w:rPr>
          <w:rFonts w:ascii="Courier New" w:hAnsi="Courier New"/>
          <w:color w:val="333333"/>
          <w:sz w:val="20"/>
        </w:rPr>
        <w:t>danger-config-routewise.py</w:t>
      </w:r>
      <w:r>
        <w:rPr>
          <w:rFonts w:ascii="Arial" w:hAnsi="Arial"/>
          <w:b w:val="0"/>
          <w:color w:val="333333"/>
          <w:sz w:val="22"/>
        </w:rPr>
        <w:t xml:space="preserve"> (regras executáveis reais).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Trecho de código (conceito replicado em JS e Python) — regra bloqueante vinculando PR a item do Jira: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// DangerFile.js (gerado a partir do prompt, depois versionado no repo)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const jiraPattern = /[A-Z]+-\d+/;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if (!jiraPattern.test(danger.github.pr.title + danger.github.pr.body)) {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 xml:space="preserve">  fail("PR deve referenciar um identificador do Jira (ex.: RW-123) no título ou descrição.");</w:t>
      </w:r>
    </w:p>
    <w:p>
      <w:pPr>
        <w:spacing w:before="20" w:after="20"/>
        <w:ind w:left="360"/>
        <w:shd w:val="clear" w:fill="F0F0F0"/>
      </w:pPr>
      <w:r>
        <w:rPr>
          <w:rFonts w:ascii="Courier New" w:hAnsi="Courier New"/>
          <w:color w:val="333333"/>
          <w:sz w:val="18"/>
        </w:rPr>
        <w:t>}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Boa prática de curadoria aplicada: caminhos de arquivo "críticos" (ex.: módulo de GPS) extraídos para um arquivo de configuração externo em vez de hardcoded na regra — separa lógica (estável) de parâmetro (muda com a estrutura do projeto).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3.9 Ecosystem Bot / NL to Workflow (Módulo 09)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O que faz: recebe mensagem em linguagem natural (Slack) e produz objeto estruturado classificando tipo (bug/feature/pergunta/decisão pendente), severidade, componente sugerido e campo </w:t>
      </w:r>
      <w:r>
        <w:rPr>
          <w:rFonts w:ascii="Courier New" w:hAnsi="Courier New"/>
          <w:color w:val="333333"/>
          <w:sz w:val="20"/>
        </w:rPr>
        <w:t>Action Required</w:t>
      </w:r>
      <w:r>
        <w:rPr>
          <w:rFonts w:ascii="Arial" w:hAnsi="Arial"/>
          <w:b w:val="0"/>
          <w:color w:val="333333"/>
          <w:sz w:val="22"/>
        </w:rPr>
        <w:t xml:space="preserve"> quando a mensagem depende de decisão humana — pronto para criar card no Jira.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 xml:space="preserve">Fluxo de dados: mensagem de exemplo → </w:t>
      </w:r>
      <w:r>
        <w:rPr>
          <w:rFonts w:ascii="Courier New" w:hAnsi="Courier New"/>
          <w:color w:val="333333"/>
          <w:sz w:val="20"/>
        </w:rPr>
        <w:t>nl-to-workflow-prompt.md</w:t>
      </w:r>
      <w:r>
        <w:rPr>
          <w:rFonts w:ascii="Arial" w:hAnsi="Arial"/>
          <w:b w:val="0"/>
          <w:color w:val="333333"/>
          <w:sz w:val="22"/>
        </w:rPr>
        <w:t xml:space="preserve"> (temperatura ~0.3) → </w:t>
      </w:r>
      <w:r>
        <w:rPr>
          <w:rFonts w:ascii="Courier New" w:hAnsi="Courier New"/>
          <w:color w:val="333333"/>
          <w:sz w:val="20"/>
        </w:rPr>
        <w:t>output-exemplo-nlworkflow-m92.md</w:t>
      </w:r>
      <w:r>
        <w:rPr>
          <w:rFonts w:ascii="Arial" w:hAnsi="Arial"/>
          <w:b w:val="0"/>
          <w:color w:val="333333"/>
          <w:sz w:val="22"/>
        </w:rPr>
        <w:t xml:space="preserve"> (JSON estruturado) → referência de integração real em </w:t>
      </w:r>
      <w:r>
        <w:rPr>
          <w:rFonts w:ascii="Courier New" w:hAnsi="Courier New"/>
          <w:color w:val="333333"/>
          <w:sz w:val="20"/>
        </w:rPr>
        <w:t>ecosystem-bot-template.js</w:t>
      </w:r>
      <w:r>
        <w:rPr>
          <w:rFonts w:ascii="Arial" w:hAnsi="Arial"/>
          <w:b w:val="0"/>
          <w:color w:val="333333"/>
          <w:sz w:val="22"/>
        </w:rPr>
        <w:t xml:space="preserve"> e blueprint de automação (</w:t>
      </w:r>
      <w:r>
        <w:rPr>
          <w:rFonts w:ascii="Courier New" w:hAnsi="Courier New"/>
          <w:color w:val="333333"/>
          <w:sz w:val="20"/>
        </w:rPr>
        <w:t>make-blueprint-m9.json</w:t>
      </w:r>
      <w:r>
        <w:rPr>
          <w:rFonts w:ascii="Arial" w:hAnsi="Arial"/>
          <w:b w:val="0"/>
          <w:color w:val="333333"/>
          <w:sz w:val="22"/>
        </w:rPr>
        <w:t>, para plataforma Make/Zapier).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3.10 OKR Aligner (Módulo 10)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O que faz: dois templates — (1) valida a qualidade estrutural de um conjunto de Objectives/Key Results (mensurável, prazo, baseline, responsável); (2) classifica cada User Story do backlog quanto ao alinhamento com os OKRs vigentes (direto/indireto/não alinhado), com recomendação por categoria.</w:t>
      </w:r>
    </w:p>
    <w:p>
      <w:pPr>
        <w:spacing w:after="160"/>
      </w:pPr>
      <w:r>
        <w:rPr>
          <w:rFonts w:ascii="Arial" w:hAnsi="Arial"/>
          <w:b w:val="0"/>
          <w:color w:val="333333"/>
          <w:sz w:val="22"/>
        </w:rPr>
        <w:t>Fluxo de dados: OKRs do projeto + backlog completo → prompt do OKR Aligner → classificação por história + relatório de progresso projetado do Key Result (ritmo atual vs. meta e prazo).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4. Analogias Java/Spring Boot e Go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Conceito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Equivalente Java/Spring Boot</w:t>
            </w:r>
          </w:p>
        </w:tc>
        <w:tc>
          <w:tcPr>
            <w:tcW w:type="dxa" w:w="288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Equivalente Go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System Prompt como contrato de comportamento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Uma interface Java bem documentada com Javadoc explícito de pré-condições e pós-condições — o "contrato" que qualquer implementação (humana ou não) deve respeitar, análogo ao MCP Server restringindo ferramentas de um agente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Um </w:t>
            </w:r>
            <w:r>
              <w:rPr>
                <w:rFonts w:ascii="Courier New" w:hAnsi="Courier New"/>
                <w:color w:val="333333"/>
                <w:sz w:val="20"/>
              </w:rPr>
              <w:t>interface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Go pequeno e explícito — a "restrição de comportamento" vem da assinatura mínima exposta, não de anotação; o prompt cumpre o mesmo papel de "reduzir a superfície de variação" que uma interface enxuta cumpre em Go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Protocolo de ambiguidade (nunca inventar valor ausente)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Um </w:t>
            </w:r>
            <w:r>
              <w:rPr>
                <w:rFonts w:ascii="Courier New" w:hAnsi="Courier New"/>
                <w:color w:val="333333"/>
                <w:sz w:val="20"/>
              </w:rPr>
              <w:t>@RequestBody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com Bean Validation (</w:t>
            </w:r>
            <w:r>
              <w:rPr>
                <w:rFonts w:ascii="Courier New" w:hAnsi="Courier New"/>
                <w:color w:val="333333"/>
                <w:sz w:val="20"/>
              </w:rPr>
              <w:t>@NotNull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, </w:t>
            </w:r>
            <w:r>
              <w:rPr>
                <w:rFonts w:ascii="Courier New" w:hAnsi="Courier New"/>
                <w:color w:val="333333"/>
                <w:sz w:val="20"/>
              </w:rPr>
              <w:t>@Positive</w:t>
            </w:r>
            <w:r>
              <w:rPr>
                <w:rFonts w:ascii="Arial" w:hAnsi="Arial"/>
                <w:b w:val="0"/>
                <w:color w:val="333333"/>
                <w:sz w:val="22"/>
              </w:rPr>
              <w:t>) rejeitando a requisição em vez de aplicar um valor default silencioso quando um campo obrigatório não veio preenchido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Um </w:t>
            </w:r>
            <w:r>
              <w:rPr>
                <w:rFonts w:ascii="Courier New" w:hAnsi="Courier New"/>
                <w:color w:val="333333"/>
                <w:sz w:val="20"/>
              </w:rPr>
              <w:t>struct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sem valor default mascarado — em vez de aceitar o zero value (</w:t>
            </w:r>
            <w:r>
              <w:rPr>
                <w:rFonts w:ascii="Courier New" w:hAnsi="Courier New"/>
                <w:color w:val="333333"/>
                <w:sz w:val="20"/>
              </w:rPr>
              <w:t>0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, </w:t>
            </w:r>
            <w:r>
              <w:rPr>
                <w:rFonts w:ascii="Courier New" w:hAnsi="Courier New"/>
                <w:color w:val="333333"/>
                <w:sz w:val="20"/>
              </w:rPr>
              <w:t>""</w:t>
            </w:r>
            <w:r>
              <w:rPr>
                <w:rFonts w:ascii="Arial" w:hAnsi="Arial"/>
                <w:b w:val="0"/>
                <w:color w:val="333333"/>
                <w:sz w:val="22"/>
              </w:rPr>
              <w:t>) como se fosse intencional, o código Go idiomático usa um ponteiro (</w:t>
            </w:r>
            <w:r>
              <w:rPr>
                <w:rFonts w:ascii="Courier New" w:hAnsi="Courier New"/>
                <w:color w:val="333333"/>
                <w:sz w:val="20"/>
              </w:rPr>
              <w:t>*int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) ou um </w:t>
            </w:r>
            <w:r>
              <w:rPr>
                <w:rFonts w:ascii="Courier New" w:hAnsi="Courier New"/>
                <w:color w:val="333333"/>
                <w:sz w:val="20"/>
              </w:rPr>
              <w:t>ok bool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de retorno para distinguir "ausente" de "zero", o mesmo espírito de nunca confundir "não informado" com um valor válido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Separar cálculo determinístico (Monte Carlo) de interpretação (LLM)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Um </w:t>
            </w:r>
            <w:r>
              <w:rPr>
                <w:rFonts w:ascii="Courier New" w:hAnsi="Courier New"/>
                <w:color w:val="333333"/>
                <w:sz w:val="20"/>
              </w:rPr>
              <w:t>@Service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de domínio (</w:t>
            </w:r>
            <w:r>
              <w:rPr>
                <w:rFonts w:ascii="Courier New" w:hAnsi="Courier New"/>
                <w:color w:val="333333"/>
                <w:sz w:val="20"/>
              </w:rPr>
              <w:t>ForecastService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, puro, testável com JUnit) chamado por um </w:t>
            </w:r>
            <w:r>
              <w:rPr>
                <w:rFonts w:ascii="Courier New" w:hAnsi="Courier New"/>
                <w:color w:val="333333"/>
                <w:sz w:val="20"/>
              </w:rPr>
              <w:t>@RestController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que só formata a resposta — a lógica de negócio determinística fica isolada da camada de apresentação/interpretação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Um pacote </w:t>
            </w:r>
            <w:r>
              <w:rPr>
                <w:rFonts w:ascii="Courier New" w:hAnsi="Courier New"/>
                <w:color w:val="333333"/>
                <w:sz w:val="20"/>
              </w:rPr>
              <w:t>forecast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sem nenhuma dependência de I/O, testável com </w:t>
            </w:r>
            <w:r>
              <w:rPr>
                <w:rFonts w:ascii="Courier New" w:hAnsi="Courier New"/>
                <w:color w:val="333333"/>
                <w:sz w:val="20"/>
              </w:rPr>
              <w:t>go test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puro, chamado por uma camada externa (CLI ou handler HTTP) que só traduz entrada/saída — mesmo princípio de isolar o núcleo determinístico do que é variável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Regras de governança executadas no pipeline (Danger.js)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Um </w:t>
            </w:r>
            <w:r>
              <w:rPr>
                <w:rFonts w:ascii="Courier New" w:hAnsi="Courier New"/>
                <w:color w:val="333333"/>
                <w:sz w:val="20"/>
              </w:rPr>
              <w:t>@ControllerAdvice</w:t>
            </w:r>
            <w:r>
              <w:rPr>
                <w:rFonts w:ascii="Arial" w:hAnsi="Arial"/>
                <w:b w:val="0"/>
                <w:color w:val="333333"/>
                <w:sz w:val="22"/>
              </w:rPr>
              <w:t>/interceptor que valida toda requisição antes de chegar ao controller — regra centralizada, aplicada uniformemente, sem depender de cada desenvolvedor lembrar de checá-la manualmente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Um middleware Go (</w:t>
            </w:r>
            <w:r>
              <w:rPr>
                <w:rFonts w:ascii="Courier New" w:hAnsi="Courier New"/>
                <w:color w:val="333333"/>
                <w:sz w:val="20"/>
              </w:rPr>
              <w:t>func(next http.Handler) http.Handler</w:t>
            </w:r>
            <w:r>
              <w:rPr>
                <w:rFonts w:ascii="Arial" w:hAnsi="Arial"/>
                <w:b w:val="0"/>
                <w:color w:val="333333"/>
                <w:sz w:val="22"/>
              </w:rPr>
              <w:t>) que intercepta e valida antes de repassar adiante — mesmo padrão de "gate" centralizado, aplicado de forma consistente independente de quem escreveu o handler final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Classificação de mensagem em categoria com ação condicional (Ecosystem Bot)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Um </w:t>
            </w:r>
            <w:r>
              <w:rPr>
                <w:rFonts w:ascii="Courier New" w:hAnsi="Courier New"/>
                <w:color w:val="333333"/>
                <w:sz w:val="20"/>
              </w:rPr>
              <w:t>enum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Java (</w:t>
            </w:r>
            <w:r>
              <w:rPr>
                <w:rFonts w:ascii="Courier New" w:hAnsi="Courier New"/>
                <w:color w:val="333333"/>
                <w:sz w:val="20"/>
              </w:rPr>
              <w:t>TipoMensagem { BUG, FEATURE, PERGUNTA, DECISAO_PENDENTE }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) usado num </w:t>
            </w:r>
            <w:r>
              <w:rPr>
                <w:rFonts w:ascii="Courier New" w:hAnsi="Courier New"/>
                <w:color w:val="333333"/>
                <w:sz w:val="20"/>
              </w:rPr>
              <w:t>switch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exaustivo no </w:t>
            </w:r>
            <w:r>
              <w:rPr>
                <w:rFonts w:ascii="Courier New" w:hAnsi="Courier New"/>
                <w:color w:val="333333"/>
                <w:sz w:val="20"/>
              </w:rPr>
              <w:t>@Service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de roteamento — o compilador força tratar todos os casos</w:t>
            </w:r>
          </w:p>
        </w:tc>
        <w:tc>
          <w:tcPr>
            <w:tcW w:type="dxa" w:w="288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 xml:space="preserve">Um tipo </w:t>
            </w:r>
            <w:r>
              <w:rPr>
                <w:rFonts w:ascii="Courier New" w:hAnsi="Courier New"/>
                <w:color w:val="333333"/>
                <w:sz w:val="20"/>
              </w:rPr>
              <w:t>string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nomeado com constantes (</w:t>
            </w:r>
            <w:r>
              <w:rPr>
                <w:rFonts w:ascii="Courier New" w:hAnsi="Courier New"/>
                <w:color w:val="333333"/>
                <w:sz w:val="20"/>
              </w:rPr>
              <w:t>TipoMensagem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) e um </w:t>
            </w:r>
            <w:r>
              <w:rPr>
                <w:rFonts w:ascii="Courier New" w:hAnsi="Courier New"/>
                <w:color w:val="333333"/>
                <w:sz w:val="20"/>
              </w:rPr>
              <w:t>switch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sem </w:t>
            </w:r>
            <w:r>
              <w:rPr>
                <w:rFonts w:ascii="Courier New" w:hAnsi="Courier New"/>
                <w:color w:val="333333"/>
                <w:sz w:val="20"/>
              </w:rPr>
              <w:t>default</w:t>
            </w:r>
            <w:r>
              <w:rPr>
                <w:rFonts w:ascii="Arial" w:hAnsi="Arial"/>
                <w:b w:val="0"/>
                <w:color w:val="333333"/>
                <w:sz w:val="22"/>
              </w:rPr>
              <w:t xml:space="preserve"> silencioso — Go não tem enum nativo nem exaustividade garantida pelo compilador, então a boa prática é um teste que falha se um novo valor não for tratado, compensando o que a linguagem não garante estruturalmente</w:t>
            </w:r>
          </w:p>
        </w:tc>
      </w:tr>
    </w:tbl>
    <w:p>
      <w:pPr>
        <w:spacing w:after="80"/>
      </w:pPr>
    </w:p>
    <w:p>
      <w:pPr>
        <w:spacing w:before="120" w:after="120"/>
        <w:ind w:left="360" w:right="360"/>
        <w:shd w:val="clear" w:fill="F5F5F5"/>
        <w:pBdr>
          <w:left w:val="single" w:color="2E75B6" w:sz="4" w:space="10"/>
        </w:pBdr>
      </w:pPr>
      <w:r>
        <w:rPr>
          <w:rFonts w:ascii="Arial" w:hAnsi="Arial"/>
          <w:b w:val="0"/>
          <w:color w:val="333333"/>
          <w:sz w:val="22"/>
        </w:rPr>
        <w:t xml:space="preserve">💡 Analogia arquitetural completa: o pipeline de dez ferramentas do RouteWise se comporta como uma cadeia de </w:t>
      </w:r>
      <w:r>
        <w:rPr>
          <w:rFonts w:ascii="Courier New" w:hAnsi="Courier New"/>
          <w:color w:val="333333"/>
          <w:sz w:val="20"/>
        </w:rPr>
        <w:t>@Service</w:t>
      </w:r>
      <w:r>
        <w:rPr>
          <w:rFonts w:ascii="Arial" w:hAnsi="Arial"/>
          <w:b w:val="0"/>
          <w:color w:val="333333"/>
          <w:sz w:val="22"/>
        </w:rPr>
        <w:t>s encadeados num Spring Boot bem desenhado — cada um consome a saída do anterior (</w:t>
      </w:r>
      <w:r>
        <w:rPr>
          <w:rFonts w:ascii="Courier New" w:hAnsi="Courier New"/>
          <w:color w:val="333333"/>
          <w:sz w:val="20"/>
        </w:rPr>
        <w:t>RequirementsService</w:t>
      </w:r>
      <w:r>
        <w:rPr>
          <w:rFonts w:ascii="Arial" w:hAnsi="Arial"/>
          <w:b w:val="0"/>
          <w:color w:val="333333"/>
          <w:sz w:val="22"/>
        </w:rPr>
        <w:t xml:space="preserve"> → </w:t>
      </w:r>
      <w:r>
        <w:rPr>
          <w:rFonts w:ascii="Courier New" w:hAnsi="Courier New"/>
          <w:color w:val="333333"/>
          <w:sz w:val="20"/>
        </w:rPr>
        <w:t>PrioritizationService</w:t>
      </w:r>
      <w:r>
        <w:rPr>
          <w:rFonts w:ascii="Arial" w:hAnsi="Arial"/>
          <w:b w:val="0"/>
          <w:color w:val="333333"/>
          <w:sz w:val="22"/>
        </w:rPr>
        <w:t xml:space="preserve"> → </w:t>
      </w:r>
      <w:r>
        <w:rPr>
          <w:rFonts w:ascii="Courier New" w:hAnsi="Courier New"/>
          <w:color w:val="333333"/>
          <w:sz w:val="20"/>
        </w:rPr>
        <w:t>SchedulingService</w:t>
      </w:r>
      <w:r>
        <w:rPr>
          <w:rFonts w:ascii="Arial" w:hAnsi="Arial"/>
          <w:b w:val="0"/>
          <w:color w:val="333333"/>
          <w:sz w:val="22"/>
        </w:rPr>
        <w:t xml:space="preserve"> → ...) e nenhum conhece detalhe interno do anterior, só seu contrato de saída. Em Go, o mesmo pipeline seria uma sequência de funções puras encadeadas explicitamente numa função orquestradora (</w:t>
      </w:r>
      <w:r>
        <w:rPr>
          <w:rFonts w:ascii="Courier New" w:hAnsi="Courier New"/>
          <w:color w:val="333333"/>
          <w:sz w:val="20"/>
        </w:rPr>
        <w:t>main</w:t>
      </w:r>
      <w:r>
        <w:rPr>
          <w:rFonts w:ascii="Arial" w:hAnsi="Arial"/>
          <w:b w:val="0"/>
          <w:color w:val="333333"/>
          <w:sz w:val="22"/>
        </w:rPr>
        <w:t xml:space="preserve"> ou um </w:t>
      </w:r>
      <w:r>
        <w:rPr>
          <w:rFonts w:ascii="Courier New" w:hAnsi="Courier New"/>
          <w:color w:val="333333"/>
          <w:sz w:val="20"/>
        </w:rPr>
        <w:t>Pipeline.Run()</w:t>
      </w:r>
      <w:r>
        <w:rPr>
          <w:rFonts w:ascii="Arial" w:hAnsi="Arial"/>
          <w:b w:val="0"/>
          <w:color w:val="333333"/>
          <w:sz w:val="22"/>
        </w:rPr>
        <w:t>), sem container de injeção de dependência — a composição é código visível, não configuração implícita. Em ambos os casos, o ponto central é o mesmo: cada "ferramenta" (endpoint, função, prompt) tem entrada e saída estruturadas e testáveis isoladamente, e a curadoria humana entra exatamente nos pontos de decisão que nenhum enum, validação ou regra consegue substituir.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5. Escalabilidade e Produção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Em produção, os "System Prompts" viram configuração versionada (não texto solto colado manualmente no AI Studio a cada uso) — o próprio Módulo 08 já trata prompt como código no contexto de arquitetura; aqui, o mesmo raciocínio vale para o prompt de gestão: versionar, revisar por PR, testar contra casos de regressão antes de trocar.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O Monte Carlo do módulo roda em script standalone (browser/Node); em escala, isso vira um serviço batch agendado (ex.: recalcular a previsão a cada fechamento de sprint), com o resultado persistido e comparado à previsão anterior — permitindo detectar deriva real de previsibilidade ao longo do projeto.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A automação de ecossistema (Módulo 09) depende de integração real com API do Slack/Jira — em produção isso exige tratamento de rate limit, token com expiração e rotina de resiliência (fila de retry) além do parsing em si; o módulo já recomenda sempre manter um procedimento manual de contingência para quando a automação cai.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 xml:space="preserve">Governança como Código (Módulo 08) escala melhor quando a lógica dos checks vive fora do prompt: o prompt gera a </w:t>
      </w:r>
      <w:r>
        <w:rPr>
          <w:rFonts w:ascii="Arial" w:hAnsi="Arial"/>
          <w:i/>
          <w:color w:val="333333"/>
          <w:sz w:val="22"/>
        </w:rPr>
        <w:t>primeira versão</w:t>
      </w:r>
      <w:r>
        <w:rPr>
          <w:rFonts w:ascii="Arial" w:hAnsi="Arial"/>
          <w:b w:val="0"/>
          <w:color w:val="333333"/>
          <w:sz w:val="22"/>
        </w:rPr>
        <w:t xml:space="preserve"> das regras, mas o </w:t>
      </w:r>
      <w:r>
        <w:rPr>
          <w:rFonts w:ascii="Courier New" w:hAnsi="Courier New"/>
          <w:color w:val="333333"/>
          <w:sz w:val="20"/>
        </w:rPr>
        <w:t>DangerFile</w:t>
      </w:r>
      <w:r>
        <w:rPr>
          <w:rFonts w:ascii="Arial" w:hAnsi="Arial"/>
          <w:b w:val="0"/>
          <w:color w:val="333333"/>
          <w:sz w:val="22"/>
        </w:rPr>
        <w:t xml:space="preserve"> versionado e revisado por PR é o artefato de produção — o prompt não deveria ser reexecutado a cada PR, e sim usado para evoluir a regra quando o contexto do projeto muda.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Relatórios adaptativos (Módulo 07) escalam para portfólio empilhando uma segunda rodada de sumarização sobre os Executive Summaries de cada projeto — o mesmo prompt aplicado em dois níveis (por projeto, depois por portfólio) evita que a diretoria receba dezenas de relatórios isolados.</w:t>
      </w:r>
    </w:p>
    <w:p>
      <w:pPr>
        <w:pStyle w:val="ListBullet"/>
        <w:spacing w:after="80"/>
      </w:pPr>
      <w:r>
        <w:rPr>
          <w:rFonts w:ascii="Arial" w:hAnsi="Arial"/>
          <w:b w:val="0"/>
          <w:color w:val="333333"/>
          <w:sz w:val="22"/>
        </w:rPr>
        <w:t>Cockpit de riscos (Módulo 05) e OKR Aligner (Módulo 10) dependem de calibração contínua com o histórico real da equipe — limiar copiado de outro time ou de benchmark genérico produz alerta ruidoso (falso positivo) ou omisso (falso negativo); a recalibração periódica é parte do processo de produção, não um ajuste único.</w:t>
      </w:r>
    </w:p>
    <w:p>
      <w:pPr>
        <w:pStyle w:val="Heading2"/>
        <w:spacing w:before="360" w:after="160"/>
      </w:pPr>
      <w:r>
        <w:rPr>
          <w:rFonts w:ascii="Arial" w:hAnsi="Arial"/>
          <w:b/>
          <w:color w:val="2E74B5"/>
          <w:sz w:val="28"/>
        </w:rPr>
        <w:t>6. Conexões entre Módulos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Módulo anterior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Conexão com este módulo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Módulos 01–07 da pós (fundamentos de LLM, RAG, MCP, agentes, ferramentas para DevOps e UX)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Conceitos de prompt estruturado, protocolo de ambiguidade e classificação semântica reaparecem aqui aplicados ao domínio de gestão, não de código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Módulo 08 da pós (Arquitetura de Sistemas com IA)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 princípio de "separar componente determinístico de componente probabilístico" (Monte Carlo em script vs. interpretação em LLM) é o mesmo do framework das três perguntas do Módulo 08; Status Report Adaptativo por audiência já antecipa a lógica de Intent-Based Routing e Confidence Threshold vista lá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Dentro do próprio Módulo 07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Cada um dos dez módulos alimenta o seguinte: requisitos → priorização → cronograma → previsão probabilística → monitoramento de risco → atas → relatórios → governança → automação de ecossistema → OKRs, fechando o ciclo ao verificar se todo o esforço produziu outcome real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Arial" w:hAnsi="Arial"/>
          <w:b/>
          <w:color w:val="1F4D78"/>
          <w:sz w:val="24"/>
        </w:rPr>
        <w:t>Glossário do Módulo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4320"/>
      </w:tblGrid>
      <w:tr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Termo</w:t>
            </w:r>
          </w:p>
        </w:tc>
        <w:tc>
          <w:tcPr>
            <w:tcW w:type="dxa" w:w="4320"/>
            <w:shd w:val="clear" w:fill="D6E4F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/>
                <w:color w:val="333333"/>
                <w:sz w:val="22"/>
              </w:rPr>
              <w:t>Definição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HIPPO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Highest Paid Person's Opinion — priorização decidida por hierarquia, não por dado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RICE / WSJF / MoSCoW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Frameworks de priorização — retorno sobre esforço, custo do atraso, e filtro de escopo, respectivamente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Planning Fallacy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Viés cognitivo (Kahneman/Tversky) de subestimar sistematicamente tempo e custo, mesmo com experiência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Inside View / Outside View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Estimar pela percepção interna do projeto vs. pelo histórico de projetos comparáveis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PERT / Monte Carlo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Distribuição ponderada de três estimativas / simulação agregada de milhares de cenários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P50 / P85 / P95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Percentis de probabilidade de conclusão até determinada data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AIOps de projeto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Aplicação de observabilidade contínua (originalmente de infraestrutura) a métricas de fluxo de projeto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Lead Time / Cycle Time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Tempo total no fluxo desde o backlog / tempo efetivo em desenvolvimento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Scope Creep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Expansão gradual e não formalizada do escopo via pequenas alterações sucessivas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Síntese semântica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Interpretar intenção e compromisso numa conversa, não só transcrever palavras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Governança como Código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Regras de conformidade descritas e executadas automaticamente no pipeline, não em checklist manual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Ferramentas conectadas vs. integradas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Compartilhar evento bruto (webhook) vs. compartilhar contexto interpretado antes de agir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Output vs. Outcome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 que a equipe produz vs. o impacto real no indicador de negócio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OKR (Objective / Key Result)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Estado qualitativo desejado / indicador quantitativo, mensurável, com prazo e baseline, que comprova o objetivo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Action Required</w:t>
            </w:r>
          </w:p>
        </w:tc>
        <w:tc>
          <w:tcPr>
            <w:tcW w:type="dxa" w:w="4320"/>
            <w:shd w:val="clear" w:fill="FFFFFF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/>
            <w:r>
              <w:rPr>
                <w:rFonts w:ascii="Arial" w:hAnsi="Arial"/>
                <w:b w:val="0"/>
                <w:color w:val="333333"/>
                <w:sz w:val="22"/>
              </w:rPr>
              <w:t>Campo explícito que sinaliza decisão pendente de julgamento humano, impedindo automação de uma escolha gerencial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