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Ferramentas de IA para UX &amp; UI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Álvaro Camillo Neto · Rafael Mattos Moreira — Resumo de estudo técnico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1. Visão Geral do Módulo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constrói a jornada completa do </w:t>
      </w:r>
      <w:r>
        <w:rPr>
          <w:rFonts w:ascii="Arial" w:hAnsi="Arial"/>
          <w:b/>
          <w:color w:val="333333"/>
          <w:sz w:val="22"/>
        </w:rPr>
        <w:t>engenheiro AI-Native</w:t>
      </w:r>
      <w:r>
        <w:rPr>
          <w:rFonts w:ascii="Arial" w:hAnsi="Arial"/>
          <w:b w:val="0"/>
          <w:color w:val="333333"/>
          <w:sz w:val="22"/>
        </w:rPr>
        <w:t xml:space="preserve">: começa no refinamento de requisitos e UX assistido por IA (sem código), avança para desenvolvimento front-end AI-Native com agentes locais (Angular + MCP), evolui para orquestração enterprise de múltiplos agentes (monorepo Nx, Spec-Driven Development, execução paralela e na nuvem), aprofunda QA AI-Native (três estratégias de teste E2E com trade-offs distintos) e fecha integrando a LLM como componente arquitetural real da aplicação (GenKit + Gemini no BragBot). O fio condutor: a IA acelera cada etapa, mas exige cada vez </w:t>
      </w:r>
      <w:r>
        <w:rPr>
          <w:rFonts w:ascii="Arial" w:hAnsi="Arial"/>
          <w:b/>
          <w:color w:val="333333"/>
          <w:sz w:val="22"/>
        </w:rPr>
        <w:t>mais</w:t>
      </w:r>
      <w:r>
        <w:rPr>
          <w:rFonts w:ascii="Arial" w:hAnsi="Arial"/>
          <w:b w:val="0"/>
          <w:color w:val="333333"/>
          <w:sz w:val="22"/>
        </w:rPr>
        <w:t xml:space="preserve"> — não menos — disciplina de engenharia: contexto estruturado, especificação, validação e revisão humana.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2. Conceitos Fundamentais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01 — Engenharia de Requisitos e Design de Sistemas com IA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Requisito bruto raramente contempla o que realmente importa para qualidade: </w:t>
      </w:r>
      <w:r>
        <w:rPr>
          <w:rFonts w:ascii="Arial" w:hAnsi="Arial"/>
          <w:b/>
          <w:color w:val="333333"/>
          <w:sz w:val="22"/>
        </w:rPr>
        <w:t>edge cases</w:t>
      </w:r>
      <w:r>
        <w:rPr>
          <w:rFonts w:ascii="Arial" w:hAnsi="Arial"/>
          <w:b w:val="0"/>
          <w:color w:val="333333"/>
          <w:sz w:val="22"/>
        </w:rPr>
        <w:t>, ambiguidades e estados de interface. A IA funciona como "segunda camada de pensamento crítico" quando configurada com papel explícito (arquiteto sênior, especialista em UX, engenheiro de qualidade) — a mesma pergunta produz análise completamente diferente conforme o papel atribuído.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Estrutura de prompt profissional, recorrente em todo o módulo:</w:t>
      </w:r>
      <w:r>
        <w:rPr>
          <w:rFonts w:ascii="Arial" w:hAnsi="Arial"/>
          <w:b w:val="0"/>
          <w:color w:val="333333"/>
          <w:sz w:val="22"/>
        </w:rPr>
        <w:t xml:space="preserve"> papel → objetivo → regras → formato de saída. Quanto mais esse padrão é seguido, menor a ambiguidade e maior a qualidade da resposta.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Documentação de fluxo com </w:t>
      </w:r>
      <w:r>
        <w:rPr>
          <w:rFonts w:ascii="Arial" w:hAnsi="Arial"/>
          <w:b/>
          <w:color w:val="333333"/>
          <w:sz w:val="22"/>
        </w:rPr>
        <w:t>Mermaid</w:t>
      </w:r>
      <w:r>
        <w:rPr>
          <w:rFonts w:ascii="Arial" w:hAnsi="Arial"/>
          <w:b w:val="0"/>
          <w:color w:val="333333"/>
          <w:sz w:val="22"/>
        </w:rPr>
        <w:t xml:space="preserve"> (diagramas como código, versionáveis no Git, renderizados nativamente em GitHub/VS Code) resolve o problema histórico de diagramas desatualizados — qualquer nova regra vira algumas linhas de texto, não redesenho manual. Fluxo funcional ≠ arquitetura: o diagrama mapeia jornada e estado, não componentes de sistema (embora sirva de base para isso depois).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UX Writing/microcopy</w:t>
      </w:r>
      <w:r>
        <w:rPr>
          <w:rFonts w:ascii="Arial" w:hAnsi="Arial"/>
          <w:b w:val="0"/>
          <w:color w:val="333333"/>
          <w:sz w:val="22"/>
        </w:rPr>
        <w:t xml:space="preserve"> tratado como ativo técnico reutilizável, não texto solto: mensagens centralizadas em arquivos estruturados (JSON, i18n), nunca hardcoded no componente. Princípios reforçados pela IA quando o papel é definido como especialista em UX Writing: não culpar o usuário ("dados inválidos" → "verifique os dados informados"), orientar a próxima ação, manter padronização semântica (um termo por conceito).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Sanitização de datasets</w:t>
      </w:r>
      <w:r>
        <w:rPr>
          <w:rFonts w:ascii="Arial" w:hAnsi="Arial"/>
          <w:b w:val="0"/>
          <w:color w:val="333333"/>
          <w:sz w:val="22"/>
        </w:rPr>
        <w:t xml:space="preserve"> — feedback real de usuário (reviews, tickets) chega desorganizado e frequentemente contém </w:t>
      </w:r>
      <w:r>
        <w:rPr>
          <w:rFonts w:ascii="Arial" w:hAnsi="Arial"/>
          <w:b/>
          <w:color w:val="333333"/>
          <w:sz w:val="22"/>
        </w:rPr>
        <w:t>PII</w:t>
      </w:r>
      <w:r>
        <w:rPr>
          <w:rFonts w:ascii="Arial" w:hAnsi="Arial"/>
          <w:b w:val="0"/>
          <w:color w:val="333333"/>
          <w:sz w:val="22"/>
        </w:rPr>
        <w:t xml:space="preserve"> (CPF, telefone, endereço). O papel do agente aqui é engenheiro de dados + especialista em LGPD: remover PII preservando valor analítico (não apagar o feedback inteiro, só a informação sensível), filtrar ruído semanticamente (spam, teste interno, reclamação fora de escopo) — algo que filtro tradicional baseado em regex não consegue fazer tão bem quanto uma LLM com contexto.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Prompt as Code</w:t>
      </w:r>
      <w:r>
        <w:rPr>
          <w:rFonts w:ascii="Arial" w:hAnsi="Arial"/>
          <w:b w:val="0"/>
          <w:color w:val="333333"/>
          <w:sz w:val="22"/>
        </w:rPr>
        <w:t xml:space="preserve"> — um prompt que gera valor real precisa ser tratado como ativo do projeto: versionado, organizado em pastas por propósito, documentado. Sem isso, cada pessoa reinventa o mesmo prompt e não existe rastreabilidade nem governança sobre as decisões técnicas embutidas nele.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02 — O Ecossistema AI-Native no Frontend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MCP (Model Context Protocol)</w:t>
      </w:r>
      <w:r>
        <w:rPr>
          <w:rFonts w:ascii="Arial" w:hAnsi="Arial"/>
          <w:b w:val="0"/>
          <w:color w:val="333333"/>
          <w:sz w:val="22"/>
        </w:rPr>
        <w:t xml:space="preserve"> conecta o agente a documentação/boas práticas atualizadas de um framework específico (ex.: MCP do Angular) — resolve o problema de o modelo sugerir padrões desatualizados, já que frameworks evoluem mais rápido que o corte de treinamento do modelo.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Design tokens</w:t>
      </w:r>
      <w:r>
        <w:rPr>
          <w:rFonts w:ascii="Arial" w:hAnsi="Arial"/>
          <w:b w:val="0"/>
          <w:color w:val="333333"/>
          <w:sz w:val="22"/>
        </w:rPr>
        <w:t>: menor unidade reutilizável de um sistema visual (cor, fonte, espaçamento), nomeada semanticamente ("cor primária", não "azul") para sobreviver a mudança de marca. Restrição recorrente em todos os prompts de estilização: proibir cor hexadecimal absoluta — o agente deve consumir exclusivamente os tokens já definidos.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Acessibilidade (WCAG)</w:t>
      </w:r>
      <w:r>
        <w:rPr>
          <w:rFonts w:ascii="Arial" w:hAnsi="Arial"/>
          <w:b w:val="0"/>
          <w:color w:val="333333"/>
          <w:sz w:val="22"/>
        </w:rPr>
        <w:t xml:space="preserve"> incorporada desde o nascimento dos componentes, não corrigida depois (mais barato construir certo do que corrigir depois): propriedades ARIA (semântica para leitores de tela), navegação por teclado (fechamento via ESC), gerenciamento de foco. Boa acessibilidade é frequentemente </w:t>
      </w:r>
      <w:r>
        <w:rPr>
          <w:rFonts w:ascii="Arial" w:hAnsi="Arial"/>
          <w:b/>
          <w:color w:val="333333"/>
          <w:sz w:val="22"/>
        </w:rPr>
        <w:t>invisível visualmente</w:t>
      </w:r>
      <w:r>
        <w:rPr>
          <w:rFonts w:ascii="Arial" w:hAnsi="Arial"/>
          <w:b w:val="0"/>
          <w:color w:val="333333"/>
          <w:sz w:val="22"/>
        </w:rPr>
        <w:t>, mas transforma a experiência de quem depende de tecnologia assistiva.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Prompt Garden</w:t>
      </w:r>
      <w:r>
        <w:rPr>
          <w:rFonts w:ascii="Arial" w:hAnsi="Arial"/>
          <w:b w:val="0"/>
          <w:color w:val="333333"/>
          <w:sz w:val="22"/>
        </w:rPr>
        <w:t>: biblioteca versionada de prompts especializados reutilizáveis da equipe (geração de componente acessível, criação de tokens, refinamento de requisito) — extensão direta do conceito de Prompt as Code.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Multimodalidade</w:t>
      </w:r>
      <w:r>
        <w:rPr>
          <w:rFonts w:ascii="Arial" w:hAnsi="Arial"/>
          <w:b w:val="0"/>
          <w:color w:val="333333"/>
          <w:sz w:val="22"/>
        </w:rPr>
        <w:t xml:space="preserve"> (imagem → código): ferramentas como </w:t>
      </w:r>
      <w:r>
        <w:rPr>
          <w:rFonts w:ascii="Arial" w:hAnsi="Arial"/>
          <w:b/>
          <w:color w:val="333333"/>
          <w:sz w:val="22"/>
        </w:rPr>
        <w:t>Stitch</w:t>
      </w:r>
      <w:r>
        <w:rPr>
          <w:rFonts w:ascii="Arial" w:hAnsi="Arial"/>
          <w:b w:val="0"/>
          <w:color w:val="333333"/>
          <w:sz w:val="22"/>
        </w:rPr>
        <w:t xml:space="preserve"> geram protótipo visual a partir de descrição textual (estrutura real de HTML/CSS, não só mockup estático); modelos multimodais interpretam </w:t>
      </w:r>
      <w:r>
        <w:rPr>
          <w:rFonts w:ascii="Arial" w:hAnsi="Arial"/>
          <w:b/>
          <w:color w:val="333333"/>
          <w:sz w:val="22"/>
        </w:rPr>
        <w:t>imagem do Figma</w:t>
      </w:r>
      <w:r>
        <w:rPr>
          <w:rFonts w:ascii="Arial" w:hAnsi="Arial"/>
          <w:b w:val="0"/>
          <w:color w:val="333333"/>
          <w:sz w:val="22"/>
        </w:rPr>
        <w:t xml:space="preserve"> diretamente e geram componente integrado à stack real do projeto. Em ambos os casos, o protótipo bruto </w:t>
      </w:r>
      <w:r>
        <w:rPr>
          <w:rFonts w:ascii="Arial" w:hAnsi="Arial"/>
          <w:b/>
          <w:color w:val="333333"/>
          <w:sz w:val="22"/>
        </w:rPr>
        <w:t>não deve</w:t>
      </w:r>
      <w:r>
        <w:rPr>
          <w:rFonts w:ascii="Arial" w:hAnsi="Arial"/>
          <w:b w:val="0"/>
          <w:color w:val="333333"/>
          <w:sz w:val="22"/>
        </w:rPr>
        <w:t xml:space="preserve"> ser copiado cegamente — precisa ser refatorado/adaptado à arquitetura e ao design system já existente do projeto.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</w:t>
      </w:r>
      <w:r>
        <w:rPr>
          <w:rFonts w:ascii="Arial" w:hAnsi="Arial"/>
          <w:b/>
          <w:color w:val="333333"/>
          <w:sz w:val="22"/>
        </w:rPr>
        <w:t>IA acelera, mas não elimina revisão técnica.</w:t>
      </w:r>
      <w:r>
        <w:rPr>
          <w:rFonts w:ascii="Arial" w:hAnsi="Arial"/>
          <w:b w:val="0"/>
          <w:color w:val="333333"/>
          <w:sz w:val="22"/>
        </w:rPr>
        <w:t xml:space="preserve"> Problemas de contraste, responsividade e import esquecido continuam aparecendo mesmo com geração assistida — e frequentemente só são detectados por inspeção visual manual (DevTools, teste em mobile), porque muitos problemas de front-end não aparecem em compilação bem-sucedida.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03 — Orquestração de Agentes Locais e Nuvem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Monorepo (Nx)</w:t>
      </w:r>
      <w:r>
        <w:rPr>
          <w:rFonts w:ascii="Arial" w:hAnsi="Arial"/>
          <w:b w:val="0"/>
          <w:color w:val="333333"/>
          <w:sz w:val="22"/>
        </w:rPr>
        <w:t xml:space="preserve"> ≠ monólito: monorepo é organização de código (múltiplas aplicações independentes no mesmo repositório); monólito é estratégia de deploy/arquitetura. O ganho principal aqui é </w:t>
      </w:r>
      <w:r>
        <w:rPr>
          <w:rFonts w:ascii="Arial" w:hAnsi="Arial"/>
          <w:b/>
          <w:color w:val="333333"/>
          <w:sz w:val="22"/>
        </w:rPr>
        <w:t>contrato compartilhado</w:t>
      </w:r>
      <w:r>
        <w:rPr>
          <w:rFonts w:ascii="Arial" w:hAnsi="Arial"/>
          <w:b w:val="0"/>
          <w:color w:val="333333"/>
          <w:sz w:val="22"/>
        </w:rPr>
        <w:t xml:space="preserve"> entre front-end e back-end via biblioteca comum de tipos — elimina duplicação e divergência de DTO entre camadas.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Spec-Driven Development (OpenSpec)</w:t>
      </w:r>
      <w:r>
        <w:rPr>
          <w:rFonts w:ascii="Arial" w:hAnsi="Arial"/>
          <w:b w:val="0"/>
          <w:color w:val="333333"/>
          <w:sz w:val="22"/>
        </w:rPr>
        <w:t xml:space="preserve">: em vez de prompt improvisado para features inteiras, gera três artefatos — </w:t>
      </w:r>
      <w:r>
        <w:rPr>
          <w:rFonts w:ascii="Courier New" w:hAnsi="Courier New"/>
          <w:color w:val="333333"/>
          <w:sz w:val="20"/>
        </w:rPr>
        <w:t>proposal.md</w:t>
      </w:r>
      <w:r>
        <w:rPr>
          <w:rFonts w:ascii="Arial" w:hAnsi="Arial"/>
          <w:b w:val="0"/>
          <w:color w:val="333333"/>
          <w:sz w:val="22"/>
        </w:rPr>
        <w:t xml:space="preserve"> (o quê), </w:t>
      </w:r>
      <w:r>
        <w:rPr>
          <w:rFonts w:ascii="Courier New" w:hAnsi="Courier New"/>
          <w:color w:val="333333"/>
          <w:sz w:val="20"/>
        </w:rPr>
        <w:t>design.md</w:t>
      </w:r>
      <w:r>
        <w:rPr>
          <w:rFonts w:ascii="Arial" w:hAnsi="Arial"/>
          <w:b w:val="0"/>
          <w:color w:val="333333"/>
          <w:sz w:val="22"/>
        </w:rPr>
        <w:t xml:space="preserve"> (como), </w:t>
      </w:r>
      <w:r>
        <w:rPr>
          <w:rFonts w:ascii="Courier New" w:hAnsi="Courier New"/>
          <w:color w:val="333333"/>
          <w:sz w:val="20"/>
        </w:rPr>
        <w:t>tasks.md</w:t>
      </w:r>
      <w:r>
        <w:rPr>
          <w:rFonts w:ascii="Arial" w:hAnsi="Arial"/>
          <w:b w:val="0"/>
          <w:color w:val="333333"/>
          <w:sz w:val="22"/>
        </w:rPr>
        <w:t xml:space="preserve"> (plano operacional dividido por camada). A especificação funciona como "memória evolutiva" do projeto quando arquivada (</w:t>
      </w:r>
      <w:r>
        <w:rPr>
          <w:rFonts w:ascii="Courier New" w:hAnsi="Courier New"/>
          <w:color w:val="333333"/>
          <w:sz w:val="20"/>
        </w:rPr>
        <w:t>archive</w:t>
      </w:r>
      <w:r>
        <w:rPr>
          <w:rFonts w:ascii="Arial" w:hAnsi="Arial"/>
          <w:b w:val="0"/>
          <w:color w:val="333333"/>
          <w:sz w:val="22"/>
        </w:rPr>
        <w:t>) após implementação — futuras specs herdam contexto de decisões anteriores automaticamente.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Regra fundamental: quanto mais complexa a feature, mais perigoso depender de prompt genérico — o risco de alucinação, inconsistência arquitetural e requisito implícito inventado cresce proporcionalmente. Especificação estruturada é o que torna geração assistida por IA previsível em escala.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Execução paralela com Git WorkTree</w:t>
      </w:r>
      <w:r>
        <w:rPr>
          <w:rFonts w:ascii="Arial" w:hAnsi="Arial"/>
          <w:b w:val="0"/>
          <w:color w:val="333333"/>
          <w:sz w:val="22"/>
        </w:rPr>
        <w:t>: múltiplos workspaces físicos apontando para branches diferentes do mesmo repositório — resolve o problema de colisão quando vários agentes trabalham simultaneamente (um por front-end, outro por back-end), sem duplicar o repositório inteiro. Cada agente aplica só o subconjunto de tasks relevante ao seu domínio (</w:t>
      </w:r>
      <w:r>
        <w:rPr>
          <w:rFonts w:ascii="Courier New" w:hAnsi="Courier New"/>
          <w:color w:val="333333"/>
          <w:sz w:val="20"/>
        </w:rPr>
        <w:t>apply --filter backend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Gerenciamento estratégico de modelo</w:t>
      </w:r>
      <w:r>
        <w:rPr>
          <w:rFonts w:ascii="Arial" w:hAnsi="Arial"/>
          <w:b w:val="0"/>
          <w:color w:val="333333"/>
          <w:sz w:val="22"/>
        </w:rPr>
        <w:t>: modelo mais forte para raciocínio/arquitetura, modelo mais barato para execução repetitiva — decisão de custo real em uso profissional de IA.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Agentes assíncronos na nuvem (Google Jules)</w:t>
      </w:r>
      <w:r>
        <w:rPr>
          <w:rFonts w:ascii="Arial" w:hAnsi="Arial"/>
          <w:b w:val="0"/>
          <w:color w:val="333333"/>
          <w:sz w:val="22"/>
        </w:rPr>
        <w:t>: diferente do agente local (para quando a máquina desliga), o agente na nuvem sobe VM própria, clona repositório, implementa, testa e abre Pull Request — deve ser tratado exatamente como "outro desenvolvedor": nunca acesso irrestrito a produção/main, sempre fluxo de branch → PR → revisão → merge.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04 — Automação E2E e QA AI-Native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Três estratégias de teste E2E com IA, cada uma com trade-off diferente — não existe solução universal: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Estratégia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Vantagem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Desvantagem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OpenSpec + Cypress tradicional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Barato, roda em CI/CD sem IA contínua, rápido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Fragilidade a mudança de seletor/classe (</w:t>
            </w:r>
            <w:r>
              <w:rPr>
                <w:rFonts w:ascii="Arial" w:hAnsi="Arial"/>
                <w:b/>
                <w:color w:val="333333"/>
                <w:sz w:val="22"/>
              </w:rPr>
              <w:t>flaky tests</w:t>
            </w:r>
            <w:r>
              <w:rPr>
                <w:rFonts w:ascii="Arial" w:hAnsi="Arial"/>
                <w:b w:val="0"/>
                <w:color w:val="333333"/>
                <w:sz w:val="22"/>
              </w:rPr>
              <w:t>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Cypress </w:t>
            </w:r>
            <w:r>
              <w:rPr>
                <w:rFonts w:ascii="Courier New" w:hAnsi="Courier New"/>
                <w:color w:val="333333"/>
                <w:sz w:val="20"/>
              </w:rPr>
              <w:t>cy.prompt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(self-healing)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Automação semântica, autocorreção quando seletor muda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Lock-in na nuvem Cypress, custo de plataforma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Playwright MCP (agente autônomo)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Máxima flexibilidade, serve também para RPA em sistemas sem API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Consumo contínuo de tokens, mais lento, mais caro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self-healing</w:t>
      </w:r>
      <w:r>
        <w:rPr>
          <w:rFonts w:ascii="Arial" w:hAnsi="Arial"/>
          <w:b w:val="0"/>
          <w:color w:val="333333"/>
          <w:sz w:val="22"/>
        </w:rPr>
        <w:t xml:space="preserve"> não é mágica — por trás, o </w:t>
      </w:r>
      <w:r>
        <w:rPr>
          <w:rFonts w:ascii="Courier New" w:hAnsi="Courier New"/>
          <w:color w:val="333333"/>
          <w:sz w:val="20"/>
        </w:rPr>
        <w:t>cy.prompt</w:t>
      </w:r>
      <w:r>
        <w:rPr>
          <w:rFonts w:ascii="Arial" w:hAnsi="Arial"/>
          <w:b w:val="0"/>
          <w:color w:val="333333"/>
          <w:sz w:val="22"/>
        </w:rPr>
        <w:t xml:space="preserve"> continua gerando código Cypress tradicional (</w:t>
      </w:r>
      <w:r>
        <w:rPr>
          <w:rFonts w:ascii="Courier New" w:hAnsi="Courier New"/>
          <w:color w:val="333333"/>
          <w:sz w:val="20"/>
        </w:rPr>
        <w:t>get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type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click</w:t>
      </w:r>
      <w:r>
        <w:rPr>
          <w:rFonts w:ascii="Arial" w:hAnsi="Arial"/>
          <w:b w:val="0"/>
          <w:color w:val="333333"/>
          <w:sz w:val="22"/>
        </w:rPr>
        <w:t>); a IA só reinterpreta a interface quando o seletor original desaparece, criando um novo caminho válido. Entender isso evita tratar a ferramenta como caixa-preta.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Instrumentalização do front-end</w:t>
      </w:r>
      <w:r>
        <w:rPr>
          <w:rFonts w:ascii="Arial" w:hAnsi="Arial"/>
          <w:b w:val="0"/>
          <w:color w:val="333333"/>
          <w:sz w:val="22"/>
        </w:rPr>
        <w:t xml:space="preserve"> (</w:t>
      </w:r>
      <w:r>
        <w:rPr>
          <w:rFonts w:ascii="Courier New" w:hAnsi="Courier New"/>
          <w:color w:val="333333"/>
          <w:sz w:val="20"/>
        </w:rPr>
        <w:t>data-cy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data-testid</w:t>
      </w:r>
      <w:r>
        <w:rPr>
          <w:rFonts w:ascii="Arial" w:hAnsi="Arial"/>
          <w:b w:val="0"/>
          <w:color w:val="333333"/>
          <w:sz w:val="22"/>
        </w:rPr>
        <w:t>) reduz fragilidade sem depender de IA proprietária — atributo estável desacoplado de classe CSS/texto visual, boa prática independente da estratégia de teste escolhida.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Especificação (OpenSpec) também se aplica a </w:t>
      </w:r>
      <w:r>
        <w:rPr>
          <w:rFonts w:ascii="Arial" w:hAnsi="Arial"/>
          <w:b/>
          <w:color w:val="333333"/>
          <w:sz w:val="22"/>
        </w:rPr>
        <w:t>testes</w:t>
      </w:r>
      <w:r>
        <w:rPr>
          <w:rFonts w:ascii="Arial" w:hAnsi="Arial"/>
          <w:b w:val="0"/>
          <w:color w:val="333333"/>
          <w:sz w:val="22"/>
        </w:rPr>
        <w:t>, não só features — a mesma disciplina de proposal/design/tasks gera cenários de sucesso e erro estruturados (implicitamente em formato Dado/Quando/Então).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05 — Integração de Lógica de IA no Cliente e no Servidor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Mudança de paradigma central do módulo: a IA deixa de ser ferramenta </w:t>
      </w:r>
      <w:r>
        <w:rPr>
          <w:rFonts w:ascii="Arial" w:hAnsi="Arial"/>
          <w:b/>
          <w:color w:val="333333"/>
          <w:sz w:val="22"/>
        </w:rPr>
        <w:t>usada pelo desenvolvedor</w:t>
      </w:r>
      <w:r>
        <w:rPr>
          <w:rFonts w:ascii="Arial" w:hAnsi="Arial"/>
          <w:b w:val="0"/>
          <w:color w:val="333333"/>
          <w:sz w:val="22"/>
        </w:rPr>
        <w:t xml:space="preserve"> e passa a ser </w:t>
      </w:r>
      <w:r>
        <w:rPr>
          <w:rFonts w:ascii="Arial" w:hAnsi="Arial"/>
          <w:b/>
          <w:color w:val="333333"/>
          <w:sz w:val="22"/>
        </w:rPr>
        <w:t>componente da arquitetura da aplicação</w:t>
      </w:r>
      <w:r>
        <w:rPr>
          <w:rFonts w:ascii="Arial" w:hAnsi="Arial"/>
          <w:b w:val="0"/>
          <w:color w:val="333333"/>
          <w:sz w:val="22"/>
        </w:rPr>
        <w:t xml:space="preserve"> (BragBot: transforma rascunho informal de conquista profissional em documento executivo estruturado via Gemini).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GenKit</w:t>
      </w:r>
      <w:r>
        <w:rPr>
          <w:rFonts w:ascii="Arial" w:hAnsi="Arial"/>
          <w:b w:val="0"/>
          <w:color w:val="333333"/>
          <w:sz w:val="22"/>
        </w:rPr>
        <w:t xml:space="preserve"> (framework do Google, mas </w:t>
      </w:r>
      <w:r>
        <w:rPr>
          <w:rFonts w:ascii="Arial" w:hAnsi="Arial"/>
          <w:b/>
          <w:color w:val="333333"/>
          <w:sz w:val="22"/>
        </w:rPr>
        <w:t>agnóstico de modelo</w:t>
      </w:r>
      <w:r>
        <w:rPr>
          <w:rFonts w:ascii="Arial" w:hAnsi="Arial"/>
          <w:b w:val="0"/>
          <w:color w:val="333333"/>
          <w:sz w:val="22"/>
        </w:rPr>
        <w:t xml:space="preserve"> via plugins — Gemini, OpenAI, outros) é uma camada de abstração para não acoplar a aplicação a um fornecedor específico de LLM — mesmo princípio de ORM abstraindo banco de dados. Fornece: definição de </w:t>
      </w:r>
      <w:r>
        <w:rPr>
          <w:rFonts w:ascii="Arial" w:hAnsi="Arial"/>
          <w:b/>
          <w:color w:val="333333"/>
          <w:sz w:val="22"/>
        </w:rPr>
        <w:t>flows</w:t>
      </w:r>
      <w:r>
        <w:rPr>
          <w:rFonts w:ascii="Arial" w:hAnsi="Arial"/>
          <w:b w:val="0"/>
          <w:color w:val="333333"/>
          <w:sz w:val="22"/>
        </w:rPr>
        <w:t xml:space="preserve"> (função assíncrona estruturada = prompt + modelo + schema + validação + tracing, tudo encapsulado), Dev UI (testar flow isoladamente, sem subir a aplicação inteira, visualizando prompt/schema/output/trace), MCP próprio.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Zod</w:t>
      </w:r>
      <w:r>
        <w:rPr>
          <w:rFonts w:ascii="Arial" w:hAnsi="Arial"/>
          <w:b w:val="0"/>
          <w:color w:val="333333"/>
          <w:sz w:val="22"/>
        </w:rPr>
        <w:t xml:space="preserve"> valida o contrato de saída da LLM </w:t>
      </w:r>
      <w:r>
        <w:rPr>
          <w:rFonts w:ascii="Arial" w:hAnsi="Arial"/>
          <w:b/>
          <w:color w:val="333333"/>
          <w:sz w:val="22"/>
        </w:rPr>
        <w:t>em tempo de execução</w:t>
      </w:r>
      <w:r>
        <w:rPr>
          <w:rFonts w:ascii="Arial" w:hAnsi="Arial"/>
          <w:b w:val="0"/>
          <w:color w:val="333333"/>
          <w:sz w:val="22"/>
        </w:rPr>
        <w:t xml:space="preserve"> (TypeScript sozinho só garante tipo em compilação, não garante que o dado </w:t>
      </w:r>
      <w:r>
        <w:rPr>
          <w:rFonts w:ascii="Arial" w:hAnsi="Arial"/>
          <w:i/>
          <w:color w:val="333333"/>
          <w:sz w:val="22"/>
        </w:rPr>
        <w:t>real</w:t>
      </w:r>
      <w:r>
        <w:rPr>
          <w:rFonts w:ascii="Arial" w:hAnsi="Arial"/>
          <w:b w:val="0"/>
          <w:color w:val="333333"/>
          <w:sz w:val="22"/>
        </w:rPr>
        <w:t xml:space="preserve"> — vindo de uma LLM não determinística — respeita a forma esperada). Detalhe importante: os </w:t>
      </w:r>
      <w:r>
        <w:rPr>
          <w:rFonts w:ascii="Courier New" w:hAnsi="Courier New"/>
          <w:color w:val="333333"/>
          <w:sz w:val="20"/>
        </w:rPr>
        <w:t>describe()</w:t>
      </w:r>
      <w:r>
        <w:rPr>
          <w:rFonts w:ascii="Arial" w:hAnsi="Arial"/>
          <w:b w:val="0"/>
          <w:color w:val="333333"/>
          <w:sz w:val="22"/>
        </w:rPr>
        <w:t xml:space="preserve"> do schema Zod não servem só para validação — o GenKit os usa para </w:t>
      </w:r>
      <w:r>
        <w:rPr>
          <w:rFonts w:ascii="Arial" w:hAnsi="Arial"/>
          <w:b/>
          <w:color w:val="333333"/>
          <w:sz w:val="22"/>
        </w:rPr>
        <w:t>construir o próprio prompt</w:t>
      </w:r>
      <w:r>
        <w:rPr>
          <w:rFonts w:ascii="Arial" w:hAnsi="Arial"/>
          <w:b w:val="0"/>
          <w:color w:val="333333"/>
          <w:sz w:val="22"/>
        </w:rPr>
        <w:t xml:space="preserve"> enviado ao modelo, funcionando como documentação semântica que orienta a geração.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Temperatura</w:t>
      </w:r>
      <w:r>
        <w:rPr>
          <w:rFonts w:ascii="Arial" w:hAnsi="Arial"/>
          <w:b w:val="0"/>
          <w:color w:val="333333"/>
          <w:sz w:val="22"/>
        </w:rPr>
        <w:t>: controla criatividade/imprevisibilidade da resposta — mais alta, mais variação; mais baixa, mais consistência. Escolhida conforme o caso de uso (BragBot usa temperatura intermediária, equilibrando alguma naturalidade com profissionalismo).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BFF (Backend For Frontend)</w:t>
      </w:r>
      <w:r>
        <w:rPr>
          <w:rFonts w:ascii="Arial" w:hAnsi="Arial"/>
          <w:b w:val="0"/>
          <w:color w:val="333333"/>
          <w:sz w:val="22"/>
        </w:rPr>
        <w:t>: camada intermediária especializada em servir a interface, encapsulando regra de negócio e protegendo credencial — no laboratório, simplificado como "micro-BFF" (servidor SSR do Angular fazendo dupla função de front e back, decisão consciente para reduzir complexidade e manter o foco didático no GenKit, não a arquitetura ideal de produção).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⚠️ Mesmo com prompt e schema corretos, o comportamento observado (ex.: resposta parcialmente na língua errada apesar da instrução de preservar idioma do input) reforça que </w:t>
      </w:r>
      <w:r>
        <w:rPr>
          <w:rFonts w:ascii="Arial" w:hAnsi="Arial"/>
          <w:b/>
          <w:color w:val="333333"/>
          <w:sz w:val="22"/>
        </w:rPr>
        <w:t>LLM não é determinística</w:t>
      </w:r>
      <w:r>
        <w:rPr>
          <w:rFonts w:ascii="Arial" w:hAnsi="Arial"/>
          <w:b w:val="0"/>
          <w:color w:val="333333"/>
          <w:sz w:val="22"/>
        </w:rPr>
        <w:t xml:space="preserve"> — engenharia de prompt continua sendo processo iterativo mesmo dentro de framework estruturado, e a observabilidade (Dev UI, tracing) é o que permite diagnosticar esse tipo de comportamento inconsistente.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3. Detalhes de Implementação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Os dois projetos principais do módulo (</w:t>
      </w:r>
      <w:r>
        <w:rPr>
          <w:rFonts w:ascii="Arial" w:hAnsi="Arial"/>
          <w:b/>
          <w:color w:val="333333"/>
          <w:sz w:val="22"/>
        </w:rPr>
        <w:t>BragBot</w:t>
      </w:r>
      <w:r>
        <w:rPr>
          <w:rFonts w:ascii="Arial" w:hAnsi="Arial"/>
          <w:b w:val="0"/>
          <w:color w:val="333333"/>
          <w:sz w:val="22"/>
        </w:rPr>
        <w:t xml:space="preserve"> — módulo 05, e </w:t>
      </w:r>
      <w:r>
        <w:rPr>
          <w:rFonts w:ascii="Arial" w:hAnsi="Arial"/>
          <w:b/>
          <w:color w:val="333333"/>
          <w:sz w:val="22"/>
        </w:rPr>
        <w:t>CFP Platform</w:t>
      </w:r>
      <w:r>
        <w:rPr>
          <w:rFonts w:ascii="Arial" w:hAnsi="Arial"/>
          <w:b w:val="0"/>
          <w:color w:val="333333"/>
          <w:sz w:val="22"/>
        </w:rPr>
        <w:t xml:space="preserve"> — módulos 03/04) têm apenas a </w:t>
      </w:r>
      <w:r>
        <w:rPr>
          <w:rFonts w:ascii="Arial" w:hAnsi="Arial"/>
          <w:b/>
          <w:color w:val="333333"/>
          <w:sz w:val="22"/>
        </w:rPr>
        <w:t>lógica de backend</w:t>
      </w:r>
      <w:r>
        <w:rPr>
          <w:rFonts w:ascii="Arial" w:hAnsi="Arial"/>
          <w:b w:val="0"/>
          <w:color w:val="333333"/>
          <w:sz w:val="22"/>
        </w:rPr>
        <w:t xml:space="preserve"> portada para Java/Go — a UI Angular permanece fora de escopo dos ports, conforme a skill do repositório usada para gerar essas versões.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3.1 Brag Bot API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expõe </w:t>
      </w:r>
      <w:r>
        <w:rPr>
          <w:rFonts w:ascii="Courier New" w:hAnsi="Courier New"/>
          <w:color w:val="333333"/>
          <w:sz w:val="20"/>
        </w:rPr>
        <w:t>POST /api/brag</w:t>
      </w:r>
      <w:r>
        <w:rPr>
          <w:rFonts w:ascii="Arial" w:hAnsi="Arial"/>
          <w:b w:val="0"/>
          <w:color w:val="333333"/>
          <w:sz w:val="22"/>
        </w:rPr>
        <w:t>, recebendo um rascunho informal (</w:t>
      </w:r>
      <w:r>
        <w:rPr>
          <w:rFonts w:ascii="Courier New" w:hAnsi="Courier New"/>
          <w:color w:val="333333"/>
          <w:sz w:val="20"/>
        </w:rPr>
        <w:t>definition</w:t>
      </w:r>
      <w:r>
        <w:rPr>
          <w:rFonts w:ascii="Arial" w:hAnsi="Arial"/>
          <w:b w:val="0"/>
          <w:color w:val="333333"/>
          <w:sz w:val="22"/>
        </w:rPr>
        <w:t>) e devolvendo um Brag Document estruturado (</w:t>
      </w:r>
      <w:r>
        <w:rPr>
          <w:rFonts w:ascii="Courier New" w:hAnsi="Courier New"/>
          <w:color w:val="333333"/>
          <w:sz w:val="20"/>
        </w:rPr>
        <w:t>title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context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actionTaken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businessImpact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metrics[]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technologiesUsed[]</w:t>
      </w:r>
      <w:r>
        <w:rPr>
          <w:rFonts w:ascii="Arial" w:hAnsi="Arial"/>
          <w:b w:val="0"/>
          <w:color w:val="333333"/>
          <w:sz w:val="22"/>
        </w:rPr>
        <w:t>) gerado pelo Gemini.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Fluxo de dados: requisição → validação (</w:t>
      </w:r>
      <w:r>
        <w:rPr>
          <w:rFonts w:ascii="Courier New" w:hAnsi="Courier New"/>
          <w:color w:val="333333"/>
          <w:sz w:val="20"/>
        </w:rPr>
        <w:t>definition</w:t>
      </w:r>
      <w:r>
        <w:rPr>
          <w:rFonts w:ascii="Arial" w:hAnsi="Arial"/>
          <w:b w:val="0"/>
          <w:color w:val="333333"/>
          <w:sz w:val="22"/>
        </w:rPr>
        <w:t xml:space="preserve"> não vazio, senão </w:t>
      </w:r>
      <w:r>
        <w:rPr>
          <w:rFonts w:ascii="Courier New" w:hAnsi="Courier New"/>
          <w:color w:val="333333"/>
          <w:sz w:val="20"/>
        </w:rPr>
        <w:t>400</w:t>
      </w:r>
      <w:r>
        <w:rPr>
          <w:rFonts w:ascii="Arial" w:hAnsi="Arial"/>
          <w:b w:val="0"/>
          <w:color w:val="333333"/>
          <w:sz w:val="22"/>
        </w:rPr>
        <w:t>) → chamada REST direta à API do Gemini (</w:t>
      </w:r>
      <w:r>
        <w:rPr>
          <w:rFonts w:ascii="Courier New" w:hAnsi="Courier New"/>
          <w:color w:val="333333"/>
          <w:sz w:val="20"/>
        </w:rPr>
        <w:t>gemini/client.go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responseMimeType: application/json</w:t>
      </w:r>
      <w:r>
        <w:rPr>
          <w:rFonts w:ascii="Arial" w:hAnsi="Arial"/>
          <w:b w:val="0"/>
          <w:color w:val="333333"/>
          <w:sz w:val="22"/>
        </w:rPr>
        <w:t xml:space="preserve">) → parse manual tolerante dos campos esperados (sem validação de schema automática como no GenKit original) → </w:t>
      </w:r>
      <w:r>
        <w:rPr>
          <w:rFonts w:ascii="Courier New" w:hAnsi="Courier New"/>
          <w:color w:val="333333"/>
          <w:sz w:val="20"/>
        </w:rPr>
        <w:t>id</w:t>
      </w:r>
      <w:r>
        <w:rPr>
          <w:rFonts w:ascii="Arial" w:hAnsi="Arial"/>
          <w:b w:val="0"/>
          <w:color w:val="333333"/>
          <w:sz w:val="22"/>
        </w:rPr>
        <w:t xml:space="preserve"> gerado no servidor (</w:t>
      </w:r>
      <w:r>
        <w:rPr>
          <w:rFonts w:ascii="Courier New" w:hAnsi="Courier New"/>
          <w:color w:val="333333"/>
          <w:sz w:val="20"/>
        </w:rPr>
        <w:t>uuid.New()</w:t>
      </w:r>
      <w:r>
        <w:rPr>
          <w:rFonts w:ascii="Arial" w:hAnsi="Arial"/>
          <w:b w:val="0"/>
          <w:color w:val="333333"/>
          <w:sz w:val="22"/>
        </w:rPr>
        <w:t>) → resposta.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chamada direta à API do Gemini, substituindo a abstração do GenKit: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(c *GeminiClient) GenerateBrag(definition string) (*BragDocument, error)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reqBody := buildPrompt(definition) // mesma persona, objetivo e regras 1-4 do flow original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resp, err := c.post("/models/gemini-2.5-flash:generateContent", reqBody)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err != nil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nil, err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var doc BragDocument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err := json.Unmarshal(resp.Text, &amp;doc); err != nil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nil, fmt.Errorf("resposta não é JSON válido: %w", err)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doc.ID = uuid.New().String()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&amp;doc, nil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mesmo prompt, mesmo schema de saída, mesma temperatura (0.8) e mesmo modelo (</w:t>
      </w:r>
      <w:r>
        <w:rPr>
          <w:rFonts w:ascii="Courier New" w:hAnsi="Courier New"/>
          <w:color w:val="333333"/>
          <w:sz w:val="20"/>
        </w:rPr>
        <w:t>gemini-2.5-flash</w:t>
      </w:r>
      <w:r>
        <w:rPr>
          <w:rFonts w:ascii="Arial" w:hAnsi="Arial"/>
          <w:b w:val="0"/>
          <w:color w:val="333333"/>
          <w:sz w:val="22"/>
        </w:rPr>
        <w:t>) do original TypeScript — a diferença arquitetural é que Go não tem o equivalente ao GenKit, então a validação estrutural (que no original é automática via Zod) vira leitura tolerante manual dos campos.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</w:t>
      </w:r>
      <w:r>
        <w:rPr>
          <w:rFonts w:ascii="Arial" w:hAnsi="Arial"/>
          <w:b w:val="0"/>
          <w:color w:val="333333"/>
          <w:sz w:val="22"/>
        </w:rPr>
        <w:t xml:space="preserve"> (com </w:t>
      </w:r>
      <w:r>
        <w:rPr>
          <w:rFonts w:ascii="Courier New" w:hAnsi="Courier New"/>
          <w:color w:val="333333"/>
          <w:sz w:val="20"/>
        </w:rPr>
        <w:t>GEMINI_API_KEY</w:t>
      </w:r>
      <w:r>
        <w:rPr>
          <w:rFonts w:ascii="Arial" w:hAnsi="Arial"/>
          <w:b w:val="0"/>
          <w:color w:val="333333"/>
          <w:sz w:val="22"/>
        </w:rPr>
        <w:t xml:space="preserve">) e </w:t>
      </w:r>
      <w:r>
        <w:rPr>
          <w:rFonts w:ascii="Courier New" w:hAnsi="Courier New"/>
          <w:color w:val="333333"/>
          <w:sz w:val="20"/>
        </w:rPr>
        <w:t>go run .</w:t>
      </w:r>
      <w:r>
        <w:rPr>
          <w:rFonts w:ascii="Arial" w:hAnsi="Arial"/>
          <w:b w:val="0"/>
          <w:color w:val="333333"/>
          <w:sz w:val="22"/>
        </w:rPr>
        <w:t xml:space="preserve">; </w:t>
      </w:r>
      <w:r>
        <w:rPr>
          <w:rFonts w:ascii="Courier New" w:hAnsi="Courier New"/>
          <w:color w:val="333333"/>
          <w:sz w:val="20"/>
        </w:rPr>
        <w:t>go test ./...</w:t>
      </w:r>
      <w:r>
        <w:rPr>
          <w:rFonts w:ascii="Arial" w:hAnsi="Arial"/>
          <w:b w:val="0"/>
          <w:color w:val="333333"/>
          <w:sz w:val="22"/>
        </w:rPr>
        <w:t xml:space="preserve"> para os testes.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3.2 Brag Bot API — Java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que faz: mesmo endpoint e contrato que a versão Go — porta espelhada para comparação entre linguagens sobre o mesmo domínio (transformação de texto informal em documento estruturado via LLM).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onde Go faz chamada REST direta e parse manual, a versão Java tipicamente usa um HTTP client + Jackson para desserialização, mantendo mesma persona/regras de prompt e mesmo schema de saída — evidenciando que a ausência de um framework equivalente ao GenKit nessas linguagens obriga a reimplementar manualmente o que ele automatiza (parsing, validação, retry).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3.3 CFP Platform API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backend mínimo do sistema de Call for Papers (módulos 03/04) — dois recursos, </w:t>
      </w:r>
      <w:r>
        <w:rPr>
          <w:rFonts w:ascii="Courier New" w:hAnsi="Courier New"/>
          <w:color w:val="333333"/>
          <w:sz w:val="20"/>
        </w:rPr>
        <w:t>events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Courier New" w:hAnsi="Courier New"/>
          <w:color w:val="333333"/>
          <w:sz w:val="20"/>
        </w:rPr>
        <w:t>speakers</w:t>
      </w:r>
      <w:r>
        <w:rPr>
          <w:rFonts w:ascii="Arial" w:hAnsi="Arial"/>
          <w:b w:val="0"/>
          <w:color w:val="333333"/>
          <w:sz w:val="22"/>
        </w:rPr>
        <w:t>, com CRUD simples em memória.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</w:t>
      </w:r>
      <w:r>
        <w:rPr>
          <w:rFonts w:ascii="Courier New" w:hAnsi="Courier New"/>
          <w:color w:val="333333"/>
          <w:sz w:val="20"/>
        </w:rPr>
        <w:t>POST /api/events</w:t>
      </w:r>
      <w:r>
        <w:rPr>
          <w:rFonts w:ascii="Arial" w:hAnsi="Arial"/>
          <w:b w:val="0"/>
          <w:color w:val="333333"/>
          <w:sz w:val="22"/>
        </w:rPr>
        <w:t xml:space="preserve"> (nome, endereço, capacidade, data) e </w:t>
      </w:r>
      <w:r>
        <w:rPr>
          <w:rFonts w:ascii="Courier New" w:hAnsi="Courier New"/>
          <w:color w:val="333333"/>
          <w:sz w:val="20"/>
        </w:rPr>
        <w:t>POST /api/speakers</w:t>
      </w:r>
      <w:r>
        <w:rPr>
          <w:rFonts w:ascii="Arial" w:hAnsi="Arial"/>
          <w:b w:val="0"/>
          <w:color w:val="333333"/>
          <w:sz w:val="22"/>
        </w:rPr>
        <w:t xml:space="preserve"> (nome, email, título da palestra, </w:t>
      </w:r>
      <w:r>
        <w:rPr>
          <w:rFonts w:ascii="Courier New" w:hAnsi="Courier New"/>
          <w:color w:val="333333"/>
          <w:sz w:val="20"/>
        </w:rPr>
        <w:t>isGDE</w:t>
      </w:r>
      <w:r>
        <w:rPr>
          <w:rFonts w:ascii="Arial" w:hAnsi="Arial"/>
          <w:b w:val="0"/>
          <w:color w:val="333333"/>
          <w:sz w:val="22"/>
        </w:rPr>
        <w:t xml:space="preserve">) → validação manual em </w:t>
      </w:r>
      <w:r>
        <w:rPr>
          <w:rFonts w:ascii="Courier New" w:hAnsi="Courier New"/>
          <w:color w:val="333333"/>
          <w:sz w:val="20"/>
        </w:rPr>
        <w:t>dto.Validate()</w:t>
      </w:r>
      <w:r>
        <w:rPr>
          <w:rFonts w:ascii="Arial" w:hAnsi="Arial"/>
          <w:b w:val="0"/>
          <w:color w:val="333333"/>
          <w:sz w:val="22"/>
        </w:rPr>
        <w:t xml:space="preserve"> (campo de texto não vazio, e-mail com formato válido, capacidade numérica positiva) → armazenamento em memória protegido por </w:t>
      </w:r>
      <w:r>
        <w:rPr>
          <w:rFonts w:ascii="Courier New" w:hAnsi="Courier New"/>
          <w:color w:val="333333"/>
          <w:sz w:val="20"/>
        </w:rPr>
        <w:t>sync.Mutex</w:t>
      </w:r>
      <w:r>
        <w:rPr>
          <w:rFonts w:ascii="Arial" w:hAnsi="Arial"/>
          <w:b w:val="0"/>
          <w:color w:val="333333"/>
          <w:sz w:val="22"/>
        </w:rPr>
        <w:t xml:space="preserve"> (Go atende requisição concorrentemente, diferente do Node.js single-threaded do NestJS original) → </w:t>
      </w:r>
      <w:r>
        <w:rPr>
          <w:rFonts w:ascii="Courier New" w:hAnsi="Courier New"/>
          <w:color w:val="333333"/>
          <w:sz w:val="20"/>
        </w:rPr>
        <w:t>GET</w:t>
      </w:r>
      <w:r>
        <w:rPr>
          <w:rFonts w:ascii="Arial" w:hAnsi="Arial"/>
          <w:b w:val="0"/>
          <w:color w:val="333333"/>
          <w:sz w:val="22"/>
        </w:rPr>
        <w:t xml:space="preserve"> para listagem.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Trecho de código (Go) — geração de ID curto não criptográfico, mesmo propósito do </w:t>
      </w:r>
      <w:r>
        <w:rPr>
          <w:rFonts w:ascii="Courier New" w:hAnsi="Courier New"/>
          <w:color w:val="333333"/>
          <w:sz w:val="20"/>
        </w:rPr>
        <w:t>Math.random().toString(36)</w:t>
      </w:r>
      <w:r>
        <w:rPr>
          <w:rFonts w:ascii="Arial" w:hAnsi="Arial"/>
          <w:b w:val="0"/>
          <w:color w:val="333333"/>
          <w:sz w:val="22"/>
        </w:rPr>
        <w:t xml:space="preserve"> original: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shortID() string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uuid.New().String()[:7] // equivalente a Math.random().toString(36).substring(2, 9)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Arquitetura: </w:t>
      </w:r>
      <w:r>
        <w:rPr>
          <w:rFonts w:ascii="Courier New" w:hAnsi="Courier New"/>
          <w:color w:val="333333"/>
          <w:sz w:val="20"/>
        </w:rPr>
        <w:t>net/http</w:t>
      </w:r>
      <w:r>
        <w:rPr>
          <w:rFonts w:ascii="Arial" w:hAnsi="Arial"/>
          <w:b w:val="0"/>
          <w:color w:val="333333"/>
          <w:sz w:val="22"/>
        </w:rPr>
        <w:t xml:space="preserve"> com </w:t>
      </w:r>
      <w:r>
        <w:rPr>
          <w:rFonts w:ascii="Courier New" w:hAnsi="Courier New"/>
          <w:color w:val="333333"/>
          <w:sz w:val="20"/>
        </w:rPr>
        <w:t>http.ServeMux</w:t>
      </w:r>
      <w:r>
        <w:rPr>
          <w:rFonts w:ascii="Arial" w:hAnsi="Arial"/>
          <w:b w:val="0"/>
          <w:color w:val="333333"/>
          <w:sz w:val="22"/>
        </w:rPr>
        <w:t xml:space="preserve"> (Go 1.22+) no lugar de NestJS com </w:t>
      </w:r>
      <w:r>
        <w:rPr>
          <w:rFonts w:ascii="Courier New" w:hAnsi="Courier New"/>
          <w:color w:val="333333"/>
          <w:sz w:val="20"/>
        </w:rPr>
        <w:t>@Controller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class-validator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ValidationPipe</w:t>
      </w:r>
      <w:r>
        <w:rPr>
          <w:rFonts w:ascii="Arial" w:hAnsi="Arial"/>
          <w:b w:val="0"/>
          <w:color w:val="333333"/>
          <w:sz w:val="22"/>
        </w:rPr>
        <w:t xml:space="preserve"> — mesmo prefixo </w:t>
      </w:r>
      <w:r>
        <w:rPr>
          <w:rFonts w:ascii="Courier New" w:hAnsi="Courier New"/>
          <w:color w:val="333333"/>
          <w:sz w:val="20"/>
        </w:rPr>
        <w:t>/api</w:t>
      </w:r>
      <w:r>
        <w:rPr>
          <w:rFonts w:ascii="Arial" w:hAnsi="Arial"/>
          <w:b w:val="0"/>
          <w:color w:val="333333"/>
          <w:sz w:val="22"/>
        </w:rPr>
        <w:t>, mesmos campos e mesma regra de validação, porém checada manualmente em vez de decorada.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 &amp;&amp; go run .</w:t>
      </w:r>
      <w:r>
        <w:rPr>
          <w:rFonts w:ascii="Arial" w:hAnsi="Arial"/>
          <w:b w:val="0"/>
          <w:color w:val="333333"/>
          <w:sz w:val="22"/>
        </w:rPr>
        <w:t>; porta padrão 3000.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3.4 CFP Platform API — Java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que faz: mesmos dois recursos (events, speakers) e mesmas rotas que a versão Go, evidenciando o mesmo contrato mínimo sustentando o front-end Angular original em Spring Boot.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4. Analogias Java/Spring Boot e 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Conceito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Java/Spring Boot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Go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GenKit como abstração de fornecedor de LLM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Uma interface </w:t>
            </w:r>
            <w:r>
              <w:rPr>
                <w:rFonts w:ascii="Courier New" w:hAnsi="Courier New"/>
                <w:color w:val="333333"/>
                <w:sz w:val="20"/>
              </w:rPr>
              <w:t>LlmProvider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com implementações </w:t>
            </w:r>
            <w:r>
              <w:rPr>
                <w:rFonts w:ascii="Courier New" w:hAnsi="Courier New"/>
                <w:color w:val="333333"/>
                <w:sz w:val="20"/>
              </w:rPr>
              <w:t>GeminiProvider</w:t>
            </w:r>
            <w:r>
              <w:rPr>
                <w:rFonts w:ascii="Arial" w:hAnsi="Arial"/>
                <w:b w:val="0"/>
                <w:color w:val="333333"/>
                <w:sz w:val="22"/>
              </w:rPr>
              <w:t>/</w:t>
            </w:r>
            <w:r>
              <w:rPr>
                <w:rFonts w:ascii="Courier New" w:hAnsi="Courier New"/>
                <w:color w:val="333333"/>
                <w:sz w:val="20"/>
              </w:rPr>
              <w:t>OpenAiProvider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injetadas via </w:t>
            </w:r>
            <w:r>
              <w:rPr>
                <w:rFonts w:ascii="Courier New" w:hAnsi="Courier New"/>
                <w:color w:val="333333"/>
                <w:sz w:val="20"/>
              </w:rPr>
              <w:t>@Qualifier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o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de negócio depende só da interface, nunca do SDK concreto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Uma </w:t>
            </w:r>
            <w:r>
              <w:rPr>
                <w:rFonts w:ascii="Courier New" w:hAnsi="Courier New"/>
                <w:color w:val="333333"/>
                <w:sz w:val="20"/>
              </w:rPr>
              <w:t>interface LlmClient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implementada por </w:t>
            </w:r>
            <w:r>
              <w:rPr>
                <w:rFonts w:ascii="Courier New" w:hAnsi="Courier New"/>
                <w:color w:val="333333"/>
                <w:sz w:val="20"/>
              </w:rPr>
              <w:t>GeminiClient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trocar de fornecedor é trocar a implementação injetada no construtor, sem tocar no handler HTTP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Flow do GenKit (prompt + schema + validação encapsulados)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método de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anotado que já embute chamada ao provedor, </w:t>
            </w:r>
            <w:r>
              <w:rPr>
                <w:rFonts w:ascii="Courier New" w:hAnsi="Courier New"/>
                <w:color w:val="333333"/>
                <w:sz w:val="20"/>
              </w:rPr>
              <w:t>@Valid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no DTO de retorno e log estruturado — uma "unidade operacional" só, testável isoladamente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Uma função que recebe input, monta o prompt, chama o client e retorna um struct já validado — sem framework, mas com a mesma responsabilidade concentrada numa única unidade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Validação de schema com Zod em runtime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Bean Validation (</w:t>
            </w:r>
            <w:r>
              <w:rPr>
                <w:rFonts w:ascii="Courier New" w:hAnsi="Courier New"/>
                <w:color w:val="333333"/>
                <w:sz w:val="20"/>
              </w:rPr>
              <w:t>@NotBlank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333333"/>
                <w:sz w:val="20"/>
              </w:rPr>
              <w:t>@Email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validando o DTO desserializado, mesmo vindo de fonte não confiável (like uma resposta de LLM)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dto.Validate()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manual, chamado explicitamente após o </w:t>
            </w:r>
            <w:r>
              <w:rPr>
                <w:rFonts w:ascii="Courier New" w:hAnsi="Courier New"/>
                <w:color w:val="333333"/>
                <w:sz w:val="20"/>
              </w:rPr>
              <w:t>json.Unmarshal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Go não tem anotação declarativa, então a validação é código explícito, como visto no CFP Platform Go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 fornecendo contexto/documentação atualizada a um agente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Aproximável a um </w:t>
            </w:r>
            <w:r>
              <w:rPr>
                <w:rFonts w:ascii="Courier New" w:hAnsi="Courier New"/>
                <w:color w:val="333333"/>
                <w:sz w:val="20"/>
              </w:rPr>
              <w:t>@ConfigurationProperties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carregando metadado de versão/documentação de uma dependência em tempo de build — não é exato, mas a ideia de "contexto estruturado carregado explicitamente" é a mesma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Não há analogia direta nativa; o mais próximo é gerar </w:t>
            </w:r>
            <w:r>
              <w:rPr>
                <w:rFonts w:ascii="Courier New" w:hAnsi="Courier New"/>
                <w:color w:val="333333"/>
                <w:sz w:val="20"/>
              </w:rPr>
              <w:t>godoc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versionado e apontar explicitamente o agente para ele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Spec-Driven Development (proposal/design/tasks)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Documentos de design técnico (RFC interno) versionados junto ao código, referenciados no PR — a spec como artefato de primeira classe, não só comentário de commit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Mesmo princípio — arquivos Markdown versionados no repositório, sem ferramenta nativa Go equivalente ao OpenSpec, mas replicável como convenção de projeto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Git WorkTree para isolamento de agentes paralelos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Múltiplos checkouts físicos do mesmo repositório, cada um numa branch — Java/Maven não tem particularidade aqui, o mecanismo é do Git, não da linguagem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Mesmo mecanismo Git, independente da linguagem — cada workspace roda </w:t>
            </w:r>
            <w:r>
              <w:rPr>
                <w:rFonts w:ascii="Courier New" w:hAnsi="Courier New"/>
                <w:color w:val="333333"/>
                <w:sz w:val="20"/>
              </w:rPr>
              <w:t>go build</w:t>
            </w:r>
            <w:r>
              <w:rPr>
                <w:rFonts w:ascii="Arial" w:hAnsi="Arial"/>
                <w:b w:val="0"/>
                <w:color w:val="333333"/>
                <w:sz w:val="22"/>
              </w:rPr>
              <w:t>/</w:t>
            </w:r>
            <w:r>
              <w:rPr>
                <w:rFonts w:ascii="Courier New" w:hAnsi="Courier New"/>
                <w:color w:val="333333"/>
                <w:sz w:val="20"/>
              </w:rPr>
              <w:t>go test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isoladamente no seu diretório físico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Analogia arquitetural completa: pensar o BragBot como um pipeline de processamento de pedido ajuda a situar as duas linguagens. Em Java/Spring, o "flow" do GenKit seria um </w:t>
      </w:r>
      <w:r>
        <w:rPr>
          <w:rFonts w:ascii="Courier New" w:hAnsi="Courier New"/>
          <w:color w:val="333333"/>
          <w:sz w:val="20"/>
        </w:rPr>
        <w:t>@Service</w:t>
      </w:r>
      <w:r>
        <w:rPr>
          <w:rFonts w:ascii="Arial" w:hAnsi="Arial"/>
          <w:b w:val="0"/>
          <w:color w:val="333333"/>
          <w:sz w:val="22"/>
        </w:rPr>
        <w:t xml:space="preserve"> (</w:t>
      </w:r>
      <w:r>
        <w:rPr>
          <w:rFonts w:ascii="Courier New" w:hAnsi="Courier New"/>
          <w:color w:val="333333"/>
          <w:sz w:val="20"/>
        </w:rPr>
        <w:t>BragGeneratorService</w:t>
      </w:r>
      <w:r>
        <w:rPr>
          <w:rFonts w:ascii="Arial" w:hAnsi="Arial"/>
          <w:b w:val="0"/>
          <w:color w:val="333333"/>
          <w:sz w:val="22"/>
        </w:rPr>
        <w:t xml:space="preserve">) chamado por um </w:t>
      </w:r>
      <w:r>
        <w:rPr>
          <w:rFonts w:ascii="Courier New" w:hAnsi="Courier New"/>
          <w:color w:val="333333"/>
          <w:sz w:val="20"/>
        </w:rPr>
        <w:t>@RestController</w:t>
      </w:r>
      <w:r>
        <w:rPr>
          <w:rFonts w:ascii="Arial" w:hAnsi="Arial"/>
          <w:b w:val="0"/>
          <w:color w:val="333333"/>
          <w:sz w:val="22"/>
        </w:rPr>
        <w:t xml:space="preserve"> fino, com o provedor de LLM injetado por interface e o schema de saída validado via Bean Validation antes de retornar — a "abstração de fornecedor" nasce naturalmente da injeção de dependência do Spring. Em Go, como visto nos ports reais deste módulo, a mesma responsabilidade vira uma função explícita (</w:t>
      </w:r>
      <w:r>
        <w:rPr>
          <w:rFonts w:ascii="Courier New" w:hAnsi="Courier New"/>
          <w:color w:val="333333"/>
          <w:sz w:val="20"/>
        </w:rPr>
        <w:t>GenerateBrag</w:t>
      </w:r>
      <w:r>
        <w:rPr>
          <w:rFonts w:ascii="Arial" w:hAnsi="Arial"/>
          <w:b w:val="0"/>
          <w:color w:val="333333"/>
          <w:sz w:val="22"/>
        </w:rPr>
        <w:t xml:space="preserve">) chamando um </w:t>
      </w:r>
      <w:r>
        <w:rPr>
          <w:rFonts w:ascii="Courier New" w:hAnsi="Courier New"/>
          <w:color w:val="333333"/>
          <w:sz w:val="20"/>
        </w:rPr>
        <w:t>client</w:t>
      </w:r>
      <w:r>
        <w:rPr>
          <w:rFonts w:ascii="Arial" w:hAnsi="Arial"/>
          <w:b w:val="0"/>
          <w:color w:val="333333"/>
          <w:sz w:val="22"/>
        </w:rPr>
        <w:t xml:space="preserve"> concreto — sem contêiner de DI, a troca de fornecedor exige trocar manualmente qual struct implementa a interface no </w:t>
      </w:r>
      <w:r>
        <w:rPr>
          <w:rFonts w:ascii="Courier New" w:hAnsi="Courier New"/>
          <w:color w:val="333333"/>
          <w:sz w:val="20"/>
        </w:rPr>
        <w:t>main</w:t>
      </w:r>
      <w:r>
        <w:rPr>
          <w:rFonts w:ascii="Arial" w:hAnsi="Arial"/>
          <w:b w:val="0"/>
          <w:color w:val="333333"/>
          <w:sz w:val="22"/>
        </w:rPr>
        <w:t>, mas o princípio de isolar "o que gera o Brag Document" de "como a requisição HTTP chega" é idêntico nas duas linguagens.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5. Escalabilidade e Produção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 "micro-BFF" do BragBot (Angular SSR fazendo também de backend) é uma simplificação didática deliberada — em produção real, o próprio material aponta a arquitetura ideal como Angular separado + backend dedicado (NestJS/Spring/Go) + microserviço de IA isolado, evitando acoplar renderização de página e chamada a LLM no mesmo processo.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MCP (Angular, Nx, Playwright, GenKit) reduz tentativa-e-erro do agente e, com isso, consumo de token — em uso profissional de IA, isso é economia real, não só qualidade: token não é gratuito em escala.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A escolha entre as três estratégias de teste E2E (Cypress tradicional, Cypress self-healing, Playwright MCP) não precisa ser exclusiva — smoke test rápido em Cypress tradicional, fluxo frágil/mutável em self-healing, e RPA de sistema legado sem API em Playwright MCP podem coexistir na mesma organização.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Orquestração paralela com WorkTree e múltiplos agentes escala o desenvolvimento, mas exige que a especificação (OpenSpec) já tenha dividido claramente as tasks por domínio — sem essa divisão prévia, paralelizar agentes só reproduz o mesmo risco de colisão que teria com desenvolvedores humanos sem planejamento.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Agentes assíncronos na nuvem (Jules/Devin) escalam capacidade de desenvolvimento sem depender da máquina local ligada, mas exigem a mesma disciplina de segredo/CI que qualquer pipeline: nunca credencial em script, sempre via secrets do provedor.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Zod + describe() como fonte do prompt (GenKit) significa que o contrato de dados e a instrução ao modelo nunca divergem — mudar o schema já atualiza automaticamente o que é pedido à LLM, reduzindo uma classe inteira de bug de dessincronia entre documentação e comportamento real.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6. Conexões entre Módulos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anterior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Conexão com este módulo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Módulos 01–04, 06, 07 da pós (fundamentos de LLM, APIs, MCP, agentes, DevOps, gestão de projetos)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MCP, Spec-Driven Development e arquitetura multiagente reaparecem aqui aplicados especificamente ao domínio de front-end/UX, com as mesmas garantias de contexto estruturado e Human in the Loop já vistas nos outros domínios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08 da pós (Arquitetura de Sistemas com IA)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GenKit + Zod + flows reproduzem exatamente o padrão de "contrato validado + observabilidade + Approval Gate implícito" do framework de decisão do Módulo 08 — aqui aplicado à integração de LLM como componente arquitetural real, não como copiloto de desenvolvimento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Dentro do próprio Módulo 05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Cada módulo constrói sobre o anterior: requisitos/UX Writing (01) → componentes AI-Native com MCP (02) → orquestração enterprise com múltiplos agentes (03) → QA AI-Native validando o que foi construído (04) → IA como componente arquitetural real no BragBot (05), fechando o ciclo do "engenheiro AI-Native"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Glossário do Módulo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Termo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Definição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Edge case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Situação extrema/pouco óbvia que impacta comportamento do sistema, raramente presente no requisito bruto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UX Writing / microcopy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Comunicação projetada da interface (mensagens de erro, sucesso, orientação), tratada como ativo técnico reutilizável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PII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Personally Identifiable Information — dado que permite identificar um indivíduo, removido na sanitização sem perder valor analítico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Prompt as Code / Prompt Garden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Disciplina de versionar e organizar prompts como artefato técnico / biblioteca compartilhada desses prompts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MCP (Model Context Protocol)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Protocolo que conecta um agente a servidor especializado com documentação/ferramentas atualizadas de um framework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Design token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Menor unidade reutilizável de um sistema visual, nomeada semanticamente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Monorepo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Organização de múltiplos projetos independentes num único repositório (≠ monólito, que é estratégia de deploy)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Spec-Driven Development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Desenvolvimento guiado por especificação estruturada (proposal/design/tasks) em vez de prompt improvisado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Git WorkTree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Múltiplos workspaces físicos apontando para branches diferentes do mesmo repositório, usados para isolar agentes paralelos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Flaky test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Teste E2E frágil que quebra por mudança não funcional (classe CSS, texto), não por regressão real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Self-healing (testes)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Capacidade de um teste semântico se reinterpretar e continuar funcionando quando o seletor original muda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RPA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Robotic Process Automation — automação de tarefa repetitiva via manipulação de interface, sem depender de API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GenKit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Framework do Google, agnóstico de modelo, para orquestrar chamadas a LLM (flows, schemas, observabilidade)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Flow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Unidade operacional do GenKit — função assíncrona encapsulando prompt, modelo, schema e validação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Zod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Biblioteca de validação de schema TypeScript em tempo de execução, usada pelo GenKit para validar saída da LLM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BFF (Backend For Frontend)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Camada intermediária que expõe API adaptada às necessidades de uma interface específica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