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Fundamentos de IA e LLMs para Programadores</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Erick Wendel · Rafael Mattos Moreira — Resumo de estudo técnico · 2026</w:t>
      </w:r>
    </w:p>
    <w:p>
      <w:pPr>
        <w:spacing w:after="120"/>
      </w:pPr>
    </w:p>
    <w:p>
      <w:pPr>
        <w:pStyle w:val="Heading2"/>
        <w:spacing w:before="360" w:after="160"/>
      </w:pPr>
      <w:r>
        <w:rPr>
          <w:rFonts w:ascii="Arial" w:hAnsi="Arial"/>
          <w:b/>
          <w:color w:val="2E74B5"/>
          <w:sz w:val="28"/>
        </w:rPr>
        <w:t>1. Visão Geral do Módulo</w:t>
      </w:r>
    </w:p>
    <w:p>
      <w:pPr>
        <w:spacing w:after="160"/>
      </w:pPr>
      <w:r>
        <w:rPr>
          <w:rFonts w:ascii="Arial" w:hAnsi="Arial"/>
          <w:b w:val="0"/>
          <w:color w:val="333333"/>
          <w:sz w:val="22"/>
        </w:rPr>
        <w:t xml:space="preserve">Módulo introdutório da pós, com 10 submódulos que constroem a base conceitual antes dos módulos mais avançados de agentes, MCP e arquitetura: começa distinguindo Machine Learning, Deep Learning e IA na prática (redes neurais treinadas do zero com TensorFlow.js), avança para sistema de recomendação completo no navegador, depois para uma IA que joga um jogo sozinha usando detecção de objetos (YOLO), explora algoritmos genéticos e os fundamentos internos de LLMs (tokenização, embeddings, transformers, attention), aprofunda Web AI multimodal rodando localmente no navegador, formaliza engenharia de prompt (estrutura anti-alucinação, JSON Prompt, TOON), apresenta ferramentas de produtividade (Cursor/Windsurf/VS Code, agentes de IA), MCP aplicado a automação real de desenvolvedor (testes, navegação web, documentação atualizada, telemetria), compara modelo aberto vs. fechado (Ollama, OpenRouter), e fecha construindo o primeiro RAG do zero com embeddings e Neo4j. O curso é deliberadamente </w:t>
      </w:r>
      <w:r>
        <w:rPr>
          <w:rFonts w:ascii="Arial" w:hAnsi="Arial"/>
          <w:b/>
          <w:color w:val="333333"/>
          <w:sz w:val="22"/>
        </w:rPr>
        <w:t>prático e em JavaScript</w:t>
      </w:r>
      <w:r>
        <w:rPr>
          <w:rFonts w:ascii="Arial" w:hAnsi="Arial"/>
          <w:b w:val="0"/>
          <w:color w:val="333333"/>
          <w:sz w:val="22"/>
        </w:rPr>
        <w:t xml:space="preserve"> (não voltado a cientista de dados), com mais de 12 projetos hands-on.</w:t>
      </w:r>
    </w:p>
    <w:p>
      <w:pPr>
        <w:pStyle w:val="Heading2"/>
        <w:spacing w:before="360" w:after="160"/>
      </w:pPr>
      <w:r>
        <w:rPr>
          <w:rFonts w:ascii="Arial" w:hAnsi="Arial"/>
          <w:b/>
          <w:color w:val="2E74B5"/>
          <w:sz w:val="28"/>
        </w:rPr>
        <w:t>2. Conceitos Fundamentais</w:t>
      </w:r>
    </w:p>
    <w:p>
      <w:pPr>
        <w:pStyle w:val="Heading3"/>
        <w:spacing w:before="200" w:after="80"/>
      </w:pPr>
      <w:r>
        <w:rPr>
          <w:rFonts w:ascii="Arial" w:hAnsi="Arial"/>
          <w:b/>
          <w:color w:val="1F4D78"/>
          <w:sz w:val="24"/>
        </w:rPr>
        <w:t>Módulo 01 — Introdução ao Curso</w:t>
      </w:r>
    </w:p>
    <w:p>
      <w:pPr>
        <w:spacing w:after="160"/>
      </w:pPr>
      <w:r>
        <w:rPr>
          <w:rFonts w:ascii="Arial" w:hAnsi="Arial"/>
          <w:b w:val="0"/>
          <w:color w:val="333333"/>
          <w:sz w:val="22"/>
        </w:rPr>
        <w:t xml:space="preserve">Curso voltado a </w:t>
      </w:r>
      <w:r>
        <w:rPr>
          <w:rFonts w:ascii="Arial" w:hAnsi="Arial"/>
          <w:b/>
          <w:color w:val="333333"/>
          <w:sz w:val="22"/>
        </w:rPr>
        <w:t>desenvolvedor</w:t>
      </w:r>
      <w:r>
        <w:rPr>
          <w:rFonts w:ascii="Arial" w:hAnsi="Arial"/>
          <w:b w:val="0"/>
          <w:color w:val="333333"/>
          <w:sz w:val="22"/>
        </w:rPr>
        <w:t>, não cientista de dados — foco em usar IA no dia a dia (conceito, boa prática, ferramenta acessível, aplicação no navegador ou local), não em matemática/estatística/infraestrutura complexa. Recomendação central: aprender exige prática (adaptar exemplo a contexto diferente, criar projeto no GitHub, compartilhar com a comunidade), não só assistir aula.</w:t>
      </w:r>
    </w:p>
    <w:p>
      <w:pPr>
        <w:spacing w:after="160"/>
      </w:pPr>
      <w:r>
        <w:rPr>
          <w:rFonts w:ascii="Arial" w:hAnsi="Arial"/>
          <w:b/>
          <w:color w:val="333333"/>
          <w:sz w:val="22"/>
        </w:rPr>
        <w:t>Por que JavaScript</w:t>
      </w:r>
      <w:r>
        <w:rPr>
          <w:rFonts w:ascii="Arial" w:hAnsi="Arial"/>
          <w:b w:val="0"/>
          <w:color w:val="333333"/>
          <w:sz w:val="22"/>
        </w:rPr>
        <w:t>: é a linguagem reconhecida nativamente pelos navegadores — qualquer desenvolvedor eventualmente interage com ela. Isso permite rodar IA diretamente no navegador (Web AI, Web 4.0), sem custo adicional de servidor, usando API nativa para processar áudio/vídeo/imagem/interface inteligente — vantagem que quem só integra API de terceiro não tem.</w:t>
      </w:r>
    </w:p>
    <w:p>
      <w:pPr>
        <w:pStyle w:val="Heading3"/>
        <w:spacing w:before="200" w:after="80"/>
      </w:pPr>
      <w:r>
        <w:rPr>
          <w:rFonts w:ascii="Arial" w:hAnsi="Arial"/>
          <w:b/>
          <w:color w:val="1F4D78"/>
          <w:sz w:val="24"/>
        </w:rPr>
        <w:t>Módulo 02 — Machine Learning, Deep Learning e IA: a base de tudo</w:t>
      </w:r>
    </w:p>
    <w:p>
      <w:pPr>
        <w:spacing w:after="160"/>
      </w:pPr>
      <w:r>
        <w:rPr>
          <w:rFonts w:ascii="Arial" w:hAnsi="Arial"/>
          <w:b w:val="0"/>
          <w:color w:val="333333"/>
          <w:sz w:val="22"/>
        </w:rPr>
        <w:t xml:space="preserve">Desmistificação de termos: </w:t>
      </w:r>
      <w:r>
        <w:rPr>
          <w:rFonts w:ascii="Arial" w:hAnsi="Arial"/>
          <w:b/>
          <w:color w:val="333333"/>
          <w:sz w:val="22"/>
        </w:rPr>
        <w:t>IA</w:t>
      </w:r>
      <w:r>
        <w:rPr>
          <w:rFonts w:ascii="Arial" w:hAnsi="Arial"/>
          <w:b w:val="0"/>
          <w:color w:val="333333"/>
          <w:sz w:val="22"/>
        </w:rPr>
        <w:t xml:space="preserve"> é qualquer sistema que aprende com dado para executar tarefa (nomenclatura como "neurônio"/"rede neural" é inspirada no cérebro, mas o mecanismo é matemático/estatístico). </w:t>
      </w:r>
      <w:r>
        <w:rPr>
          <w:rFonts w:ascii="Arial" w:hAnsi="Arial"/>
          <w:b/>
          <w:color w:val="333333"/>
          <w:sz w:val="22"/>
        </w:rPr>
        <w:t>Machine Learning</w:t>
      </w:r>
      <w:r>
        <w:rPr>
          <w:rFonts w:ascii="Arial" w:hAnsi="Arial"/>
          <w:b w:val="0"/>
          <w:color w:val="333333"/>
          <w:sz w:val="22"/>
        </w:rPr>
        <w:t xml:space="preserve"> é a subárea focada em algoritmo que identifica padrão e faz previsão a partir de dado, substituindo regra manual por modelo que aprende com exemplo. </w:t>
      </w:r>
      <w:r>
        <w:rPr>
          <w:rFonts w:ascii="Arial" w:hAnsi="Arial"/>
          <w:b/>
          <w:color w:val="333333"/>
          <w:sz w:val="22"/>
        </w:rPr>
        <w:t>Deep Learning</w:t>
      </w:r>
      <w:r>
        <w:rPr>
          <w:rFonts w:ascii="Arial" w:hAnsi="Arial"/>
          <w:b w:val="0"/>
          <w:color w:val="333333"/>
          <w:sz w:val="22"/>
        </w:rPr>
        <w:t xml:space="preserve"> é especialização que usa rede neural profunda (várias camadas empilhadas) para tarefa complexa (imagem, voz, movimento) — capaz de aprender padrão cada vez mais abstrato.</w:t>
      </w:r>
    </w:p>
    <w:p>
      <w:pPr>
        <w:spacing w:before="120" w:after="120"/>
        <w:ind w:left="360" w:right="360"/>
        <w:shd w:val="clear" w:fill="F5F5F5"/>
        <w:pBdr>
          <w:left w:val="single" w:color="2E75B6" w:sz="4" w:space="10"/>
        </w:pBdr>
      </w:pPr>
      <w:r>
        <w:rPr>
          <w:rFonts w:ascii="Arial" w:hAnsi="Arial"/>
          <w:b w:val="0"/>
          <w:color w:val="333333"/>
          <w:sz w:val="22"/>
        </w:rPr>
        <w:t>🔑 Regra fundamental: solução baseada em regra manual (ex.: calibrar sensor, ajustar regra fixa para detectar gesto) é limitada e pouco robusta — com Deep Learning, basta coletar exemplo real, rotular e treinar; o sistema aprende padrão temporal, reduzindo necessidade de ajuste fino manual.</w:t>
      </w:r>
    </w:p>
    <w:p>
      <w:pPr>
        <w:spacing w:after="160"/>
      </w:pPr>
      <w:r>
        <w:rPr>
          <w:rFonts w:ascii="Arial" w:hAnsi="Arial"/>
          <w:b/>
          <w:color w:val="333333"/>
          <w:sz w:val="22"/>
        </w:rPr>
        <w:t>TensorFlow.js</w:t>
      </w:r>
      <w:r>
        <w:rPr>
          <w:rFonts w:ascii="Arial" w:hAnsi="Arial"/>
          <w:b w:val="0"/>
          <w:color w:val="333333"/>
          <w:sz w:val="22"/>
        </w:rPr>
        <w:t xml:space="preserve"> roda ML/DL diretamente no navegador, sem back-end — inclusive permitindo portar modelo treinado em Python para o navegador ou Node.js. </w:t>
      </w:r>
      <w:r>
        <w:rPr>
          <w:rFonts w:ascii="Arial" w:hAnsi="Arial"/>
          <w:b/>
          <w:color w:val="333333"/>
          <w:sz w:val="22"/>
        </w:rPr>
        <w:t>Transfer learning</w:t>
      </w:r>
      <w:r>
        <w:rPr>
          <w:rFonts w:ascii="Arial" w:hAnsi="Arial"/>
          <w:b w:val="0"/>
          <w:color w:val="333333"/>
          <w:sz w:val="22"/>
        </w:rPr>
        <w:t xml:space="preserve"> (transferência de aprendizado): usar modelo já treinado como base e refiná-lo com dado novo, reduzindo necessidade de grande volume de dado próprio.</w:t>
      </w:r>
    </w:p>
    <w:p>
      <w:pPr>
        <w:spacing w:after="160"/>
      </w:pPr>
      <w:r>
        <w:rPr>
          <w:rFonts w:ascii="Arial" w:hAnsi="Arial"/>
          <w:b/>
          <w:color w:val="333333"/>
          <w:sz w:val="22"/>
        </w:rPr>
        <w:t>Teachable Machine</w:t>
      </w:r>
      <w:r>
        <w:rPr>
          <w:rFonts w:ascii="Arial" w:hAnsi="Arial"/>
          <w:b w:val="0"/>
          <w:color w:val="333333"/>
          <w:sz w:val="22"/>
        </w:rPr>
        <w:t xml:space="preserve"> (ferramenta gratuita do Google): treina modelo simples (imagem, áudio, webcam) sem código, exportável em HTML — demonstra </w:t>
      </w:r>
      <w:r>
        <w:rPr>
          <w:rFonts w:ascii="Arial" w:hAnsi="Arial"/>
          <w:b/>
          <w:color w:val="333333"/>
          <w:sz w:val="22"/>
        </w:rPr>
        <w:t>generalização</w:t>
      </w:r>
      <w:r>
        <w:rPr>
          <w:rFonts w:ascii="Arial" w:hAnsi="Arial"/>
          <w:b w:val="0"/>
          <w:color w:val="333333"/>
          <w:sz w:val="22"/>
        </w:rPr>
        <w:t xml:space="preserve"> (prever corretamente dado nunca visto, desde que o exemplo de treino seja representativo) e transfer learning na prática, inclusive com base real do Kaggle.</w:t>
      </w:r>
    </w:p>
    <w:p>
      <w:pPr>
        <w:spacing w:after="160"/>
      </w:pPr>
      <w:r>
        <w:rPr>
          <w:rFonts w:ascii="Arial" w:hAnsi="Arial"/>
          <w:b/>
          <w:color w:val="333333"/>
          <w:sz w:val="22"/>
        </w:rPr>
        <w:t>Redes neurais</w:t>
      </w:r>
      <w:r>
        <w:rPr>
          <w:rFonts w:ascii="Arial" w:hAnsi="Arial"/>
          <w:b w:val="0"/>
          <w:color w:val="333333"/>
          <w:sz w:val="22"/>
        </w:rPr>
        <w:t xml:space="preserve">: dado precisa virar </w:t>
      </w:r>
      <w:r>
        <w:rPr>
          <w:rFonts w:ascii="Arial" w:hAnsi="Arial"/>
          <w:b/>
          <w:color w:val="333333"/>
          <w:sz w:val="22"/>
        </w:rPr>
        <w:t>tensor</w:t>
      </w:r>
      <w:r>
        <w:rPr>
          <w:rFonts w:ascii="Arial" w:hAnsi="Arial"/>
          <w:b w:val="0"/>
          <w:color w:val="333333"/>
          <w:sz w:val="22"/>
        </w:rPr>
        <w:t xml:space="preserve"> (representação numérica) — categoria vira </w:t>
      </w:r>
      <w:r>
        <w:rPr>
          <w:rFonts w:ascii="Arial" w:hAnsi="Arial"/>
          <w:b/>
          <w:color w:val="333333"/>
          <w:sz w:val="22"/>
        </w:rPr>
        <w:t>one-hot encoding</w:t>
      </w:r>
      <w:r>
        <w:rPr>
          <w:rFonts w:ascii="Arial" w:hAnsi="Arial"/>
          <w:b w:val="0"/>
          <w:color w:val="333333"/>
          <w:sz w:val="22"/>
        </w:rPr>
        <w:t xml:space="preserve"> (vetor com posição 1 na categoria correspondente), valor contínuo (ex.: idade) é </w:t>
      </w:r>
      <w:r>
        <w:rPr>
          <w:rFonts w:ascii="Arial" w:hAnsi="Arial"/>
          <w:b/>
          <w:color w:val="333333"/>
          <w:sz w:val="22"/>
        </w:rPr>
        <w:t>normalizado</w:t>
      </w:r>
      <w:r>
        <w:rPr>
          <w:rFonts w:ascii="Arial" w:hAnsi="Arial"/>
          <w:b w:val="0"/>
          <w:color w:val="333333"/>
          <w:sz w:val="22"/>
        </w:rPr>
        <w:t xml:space="preserve"> para intervalo 0-1 (evitando peso desproporcional no treinamento). Rede formada por camada de entrada, camada(s) oculta(s), camada de saída — cada neurônio combina valor recebido, aplica função de ativação, retorna novo valor; conexões ajustadas por </w:t>
      </w:r>
      <w:r>
        <w:rPr>
          <w:rFonts w:ascii="Arial" w:hAnsi="Arial"/>
          <w:b/>
          <w:color w:val="333333"/>
          <w:sz w:val="22"/>
        </w:rPr>
        <w:t>pesos</w:t>
      </w:r>
      <w:r>
        <w:rPr>
          <w:rFonts w:ascii="Arial" w:hAnsi="Arial"/>
          <w:b w:val="0"/>
          <w:color w:val="333333"/>
          <w:sz w:val="22"/>
        </w:rPr>
        <w:t xml:space="preserve"> durante o treino. </w:t>
      </w:r>
      <w:r>
        <w:rPr>
          <w:rFonts w:ascii="Arial" w:hAnsi="Arial"/>
          <w:b/>
          <w:color w:val="333333"/>
          <w:sz w:val="22"/>
        </w:rPr>
        <w:t>Treinar</w:t>
      </w:r>
      <w:r>
        <w:rPr>
          <w:rFonts w:ascii="Arial" w:hAnsi="Arial"/>
          <w:b w:val="0"/>
          <w:color w:val="333333"/>
          <w:sz w:val="22"/>
        </w:rPr>
        <w:t xml:space="preserve"> = mostrar exemplo rotulado repetidamente, comparando saída gerada com saída esperada, ajustando peso para reduzir erro.</w:t>
      </w:r>
    </w:p>
    <w:p>
      <w:pPr>
        <w:spacing w:after="160"/>
      </w:pPr>
      <w:r>
        <w:rPr>
          <w:rFonts w:ascii="Arial" w:hAnsi="Arial"/>
          <w:b w:val="0"/>
          <w:color w:val="333333"/>
          <w:sz w:val="22"/>
        </w:rPr>
        <w:t>Prática: rede sequencial simples (camada oculta com ReLU, camada de saída com Softmax — probabilidade normalizada por categoria), compilada com otimizador Adam e função de perda Categorical Cross Entropy, treinada por epochs com shuffle. Testando com dado novo (normalizado com a mesma fórmula do treino), a rede associa o novo caso à categoria de perfil semelhante, com confiança variando conforme a proximidade do padrão aprendido.</w:t>
      </w:r>
    </w:p>
    <w:p>
      <w:pPr>
        <w:pStyle w:val="Heading3"/>
        <w:spacing w:before="200" w:after="80"/>
      </w:pPr>
      <w:r>
        <w:rPr>
          <w:rFonts w:ascii="Arial" w:hAnsi="Arial"/>
          <w:b/>
          <w:color w:val="1F4D78"/>
          <w:sz w:val="24"/>
        </w:rPr>
        <w:t>Módulo 03 — Deep Learning: Sistemas de Recomendação na Prática</w:t>
      </w:r>
    </w:p>
    <w:p>
      <w:pPr>
        <w:spacing w:after="160"/>
      </w:pPr>
      <w:r>
        <w:rPr>
          <w:rFonts w:ascii="Arial" w:hAnsi="Arial"/>
          <w:b w:val="0"/>
          <w:color w:val="333333"/>
          <w:sz w:val="22"/>
        </w:rPr>
        <w:t xml:space="preserve">Projeto completo de recomendação </w:t>
      </w:r>
      <w:r>
        <w:rPr>
          <w:rFonts w:ascii="Arial" w:hAnsi="Arial"/>
          <w:b/>
          <w:color w:val="333333"/>
          <w:sz w:val="22"/>
        </w:rPr>
        <w:t>100% no navegador</w:t>
      </w:r>
      <w:r>
        <w:rPr>
          <w:rFonts w:ascii="Arial" w:hAnsi="Arial"/>
          <w:b w:val="0"/>
          <w:color w:val="333333"/>
          <w:sz w:val="22"/>
        </w:rPr>
        <w:t xml:space="preserve">: ordenar lista de produtos pela probabilidade de compra por um cliente, mesmo sem histórico próprio (baseando-se em perfil semelhante). Web Worker roda o treinamento em thread separada (sem travar a interface), com painel </w:t>
      </w:r>
      <w:r>
        <w:rPr>
          <w:rFonts w:ascii="Courier New" w:hAnsi="Courier New"/>
          <w:color w:val="333333"/>
          <w:sz w:val="20"/>
        </w:rPr>
        <w:t>tfvis</w:t>
      </w:r>
      <w:r>
        <w:rPr>
          <w:rFonts w:ascii="Arial" w:hAnsi="Arial"/>
          <w:b w:val="0"/>
          <w:color w:val="333333"/>
          <w:sz w:val="22"/>
        </w:rPr>
        <w:t xml:space="preserve"> visualizando perda/acurácia em tempo real.</w:t>
      </w:r>
    </w:p>
    <w:p>
      <w:pPr>
        <w:spacing w:after="160"/>
      </w:pPr>
      <w:r>
        <w:rPr>
          <w:rFonts w:ascii="Arial" w:hAnsi="Arial"/>
          <w:b/>
          <w:color w:val="333333"/>
          <w:sz w:val="22"/>
        </w:rPr>
        <w:t>Codificação com pesos por atributo</w:t>
      </w:r>
      <w:r>
        <w:rPr>
          <w:rFonts w:ascii="Arial" w:hAnsi="Arial"/>
          <w:b w:val="0"/>
          <w:color w:val="333333"/>
          <w:sz w:val="22"/>
        </w:rPr>
        <w:t xml:space="preserve">: cada produto vira vetor combinando preço/idade média dos compradores (normalizados) + categoria/cor (one-hot encoding), aplicando </w:t>
      </w:r>
      <w:r>
        <w:rPr>
          <w:rFonts w:ascii="Arial" w:hAnsi="Arial"/>
          <w:b/>
          <w:color w:val="333333"/>
          <w:sz w:val="22"/>
        </w:rPr>
        <w:t>peso diferente por atributo</w:t>
      </w:r>
      <w:r>
        <w:rPr>
          <w:rFonts w:ascii="Arial" w:hAnsi="Arial"/>
          <w:b w:val="0"/>
          <w:color w:val="333333"/>
          <w:sz w:val="22"/>
        </w:rPr>
        <w:t xml:space="preserve"> (ex.: categoria com peso mais alto — prioridade na recomendação — seguida de cor, preço, idade) para refletir relevância na decisão da rede. Usuário é codificado empilhando (</w:t>
      </w:r>
      <w:r>
        <w:rPr>
          <w:rFonts w:ascii="Courier New" w:hAnsi="Courier New"/>
          <w:color w:val="333333"/>
          <w:sz w:val="20"/>
        </w:rPr>
        <w:t>tf.stack</w:t>
      </w:r>
      <w:r>
        <w:rPr>
          <w:rFonts w:ascii="Arial" w:hAnsi="Arial"/>
          <w:b w:val="0"/>
          <w:color w:val="333333"/>
          <w:sz w:val="22"/>
        </w:rPr>
        <w:t xml:space="preserve">) os vetores dos produtos comprados e tirando a </w:t>
      </w:r>
      <w:r>
        <w:rPr>
          <w:rFonts w:ascii="Arial" w:hAnsi="Arial"/>
          <w:b/>
          <w:color w:val="333333"/>
          <w:sz w:val="22"/>
        </w:rPr>
        <w:t>média</w:t>
      </w:r>
      <w:r>
        <w:rPr>
          <w:rFonts w:ascii="Arial" w:hAnsi="Arial"/>
          <w:b w:val="0"/>
          <w:color w:val="333333"/>
          <w:sz w:val="22"/>
        </w:rPr>
        <w:t>, representando o perfil de compra.</w:t>
      </w:r>
    </w:p>
    <w:p>
      <w:pPr>
        <w:spacing w:after="160"/>
      </w:pPr>
      <w:r>
        <w:rPr>
          <w:rFonts w:ascii="Arial" w:hAnsi="Arial"/>
          <w:b w:val="0"/>
          <w:color w:val="333333"/>
          <w:sz w:val="22"/>
        </w:rPr>
        <w:t xml:space="preserve">Dados de treino combinam vetor de usuário + vetor de produto por par, com rótulo 1 (comprou) ou 0 (não comprou) — rede com camadas 128→64→32 (ReLU) e saída sigmoid (probabilidade 0-1 de compra). Usuário </w:t>
      </w:r>
      <w:r>
        <w:rPr>
          <w:rFonts w:ascii="Arial" w:hAnsi="Arial"/>
          <w:b/>
          <w:color w:val="333333"/>
          <w:sz w:val="22"/>
        </w:rPr>
        <w:t>sem histórico</w:t>
      </w:r>
      <w:r>
        <w:rPr>
          <w:rFonts w:ascii="Arial" w:hAnsi="Arial"/>
          <w:b w:val="0"/>
          <w:color w:val="333333"/>
          <w:sz w:val="22"/>
        </w:rPr>
        <w:t>: vetor com só a idade normalizada, demais atributos zerados — permite recomendação plausível baseada em padrão de idade semelhante.</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comparar todo usuário com todo produto é inviável em escala real (milhões de registro) — a solução apontada é </w:t>
      </w:r>
      <w:r>
        <w:rPr>
          <w:rFonts w:ascii="Arial" w:hAnsi="Arial"/>
          <w:b/>
          <w:color w:val="333333"/>
          <w:sz w:val="22"/>
        </w:rPr>
        <w:t>banco de dados vetorial</w:t>
      </w:r>
      <w:r>
        <w:rPr>
          <w:rFonts w:ascii="Arial" w:hAnsi="Arial"/>
          <w:b w:val="0"/>
          <w:color w:val="333333"/>
          <w:sz w:val="22"/>
        </w:rPr>
        <w:t xml:space="preserve"> (Pinecone, ChromaDB, extensão do PostgreSQL), buscando os "top N" mais próximos em vez de comparar exaustivamente, otimizando performance para produção.</w:t>
      </w:r>
    </w:p>
    <w:p>
      <w:pPr>
        <w:pStyle w:val="Heading3"/>
        <w:spacing w:before="200" w:after="80"/>
      </w:pPr>
      <w:r>
        <w:rPr>
          <w:rFonts w:ascii="Arial" w:hAnsi="Arial"/>
          <w:b/>
          <w:color w:val="1F4D78"/>
          <w:sz w:val="24"/>
        </w:rPr>
        <w:t>Módulo 04 — Web Machine Learning: Como Vencer Qualquer Jogo</w:t>
      </w:r>
    </w:p>
    <w:p>
      <w:pPr>
        <w:spacing w:after="160"/>
      </w:pPr>
      <w:r>
        <w:rPr>
          <w:rFonts w:ascii="Arial" w:hAnsi="Arial"/>
          <w:b w:val="0"/>
          <w:color w:val="333333"/>
          <w:sz w:val="22"/>
        </w:rPr>
        <w:t xml:space="preserve">Mudança de foco: em vez de treinar do zero, </w:t>
      </w:r>
      <w:r>
        <w:rPr>
          <w:rFonts w:ascii="Arial" w:hAnsi="Arial"/>
          <w:b/>
          <w:color w:val="333333"/>
          <w:sz w:val="22"/>
        </w:rPr>
        <w:t>integrar modelo pronto</w:t>
      </w:r>
      <w:r>
        <w:rPr>
          <w:rFonts w:ascii="Arial" w:hAnsi="Arial"/>
          <w:b w:val="0"/>
          <w:color w:val="333333"/>
          <w:sz w:val="22"/>
        </w:rPr>
        <w:t xml:space="preserve"> — construção de uma IA que joga Duck Hunt sozinha usando </w:t>
      </w:r>
      <w:r>
        <w:rPr>
          <w:rFonts w:ascii="Arial" w:hAnsi="Arial"/>
          <w:b/>
          <w:color w:val="333333"/>
          <w:sz w:val="22"/>
        </w:rPr>
        <w:t>YOLO</w:t>
      </w:r>
      <w:r>
        <w:rPr>
          <w:rFonts w:ascii="Arial" w:hAnsi="Arial"/>
          <w:b w:val="0"/>
          <w:color w:val="333333"/>
          <w:sz w:val="22"/>
        </w:rPr>
        <w:t xml:space="preserve"> (You Only Look Once, modelo de detecção de objetos, originalmente treinado em Python/PyTorch, convertido para TensorFlow.js e executado no navegador). O modelo reconhece 80+ categorias; os patos do jogo foram classificados como "kite" (pipa) — classificação imperfeita, mas suficiente para o objetivo.</w:t>
      </w:r>
    </w:p>
    <w:p>
      <w:pPr>
        <w:spacing w:after="160"/>
      </w:pPr>
      <w:r>
        <w:rPr>
          <w:rFonts w:ascii="Arial" w:hAnsi="Arial"/>
          <w:b w:val="0"/>
          <w:color w:val="333333"/>
          <w:sz w:val="22"/>
        </w:rPr>
        <w:t>Arquitetura: thread principal captura a tela (</w:t>
      </w:r>
      <w:r>
        <w:rPr>
          <w:rFonts w:ascii="Courier New" w:hAnsi="Courier New"/>
          <w:color w:val="333333"/>
          <w:sz w:val="20"/>
        </w:rPr>
        <w:t>createImageBitmap</w:t>
      </w:r>
      <w:r>
        <w:rPr>
          <w:rFonts w:ascii="Arial" w:hAnsi="Arial"/>
          <w:b w:val="0"/>
          <w:color w:val="333333"/>
          <w:sz w:val="22"/>
        </w:rPr>
        <w:t xml:space="preserve"> sobre o canvas), envia para </w:t>
      </w:r>
      <w:r>
        <w:rPr>
          <w:rFonts w:ascii="Arial" w:hAnsi="Arial"/>
          <w:b/>
          <w:color w:val="333333"/>
          <w:sz w:val="22"/>
        </w:rPr>
        <w:t>Web Worker</w:t>
      </w:r>
      <w:r>
        <w:rPr>
          <w:rFonts w:ascii="Arial" w:hAnsi="Arial"/>
          <w:b w:val="0"/>
          <w:color w:val="333333"/>
          <w:sz w:val="22"/>
        </w:rPr>
        <w:t xml:space="preserve"> (thread secundária) que processa com o modelo e retorna coordenada + score de confiança; a thread principal nunca processa o modelo diretamente, só orquestra. Pipeline de inferência: </w:t>
      </w:r>
      <w:r>
        <w:rPr>
          <w:rFonts w:ascii="Courier New" w:hAnsi="Courier New"/>
          <w:color w:val="333333"/>
          <w:sz w:val="20"/>
        </w:rPr>
        <w:t>tf.browser.fromPixels</w:t>
      </w:r>
      <w:r>
        <w:rPr>
          <w:rFonts w:ascii="Arial" w:hAnsi="Arial"/>
          <w:b w:val="0"/>
          <w:color w:val="333333"/>
          <w:sz w:val="22"/>
        </w:rPr>
        <w:t xml:space="preserve"> → </w:t>
      </w:r>
      <w:r>
        <w:rPr>
          <w:rFonts w:ascii="Courier New" w:hAnsi="Courier New"/>
          <w:color w:val="333333"/>
          <w:sz w:val="20"/>
        </w:rPr>
        <w:t>resizeBilinear</w:t>
      </w:r>
      <w:r>
        <w:rPr>
          <w:rFonts w:ascii="Arial" w:hAnsi="Arial"/>
          <w:b w:val="0"/>
          <w:color w:val="333333"/>
          <w:sz w:val="22"/>
        </w:rPr>
        <w:t xml:space="preserve"> (640x640, exigido pelo YOLO) → normalização (÷255) → </w:t>
      </w:r>
      <w:r>
        <w:rPr>
          <w:rFonts w:ascii="Courier New" w:hAnsi="Courier New"/>
          <w:color w:val="333333"/>
          <w:sz w:val="20"/>
        </w:rPr>
        <w:t>expandDims</w:t>
      </w:r>
      <w:r>
        <w:rPr>
          <w:rFonts w:ascii="Arial" w:hAnsi="Arial"/>
          <w:b w:val="0"/>
          <w:color w:val="333333"/>
          <w:sz w:val="22"/>
        </w:rPr>
        <w:t xml:space="preserve"> (dimensão de batch) — tudo dentro de </w:t>
      </w:r>
      <w:r>
        <w:rPr>
          <w:rFonts w:ascii="Courier New" w:hAnsi="Courier New"/>
          <w:color w:val="333333"/>
          <w:sz w:val="20"/>
        </w:rPr>
        <w:t>tf.tidy</w:t>
      </w:r>
      <w:r>
        <w:rPr>
          <w:rFonts w:ascii="Arial" w:hAnsi="Arial"/>
          <w:b w:val="0"/>
          <w:color w:val="333333"/>
          <w:sz w:val="22"/>
        </w:rPr>
        <w:t xml:space="preserve"> (boa prática, libera memória de tensor temporário automaticamente).</w:t>
      </w:r>
    </w:p>
    <w:p>
      <w:pPr>
        <w:spacing w:after="160"/>
      </w:pPr>
      <w:r>
        <w:rPr>
          <w:rFonts w:ascii="Arial" w:hAnsi="Arial"/>
          <w:b w:val="0"/>
          <w:color w:val="333333"/>
          <w:sz w:val="22"/>
        </w:rPr>
        <w:t xml:space="preserve">Pós-processamento: filtro por </w:t>
      </w:r>
      <w:r>
        <w:rPr>
          <w:rFonts w:ascii="Arial" w:hAnsi="Arial"/>
          <w:b/>
          <w:color w:val="333333"/>
          <w:sz w:val="22"/>
        </w:rPr>
        <w:t>classThreshold</w:t>
      </w:r>
      <w:r>
        <w:rPr>
          <w:rFonts w:ascii="Arial" w:hAnsi="Arial"/>
          <w:b w:val="0"/>
          <w:color w:val="333333"/>
          <w:sz w:val="22"/>
        </w:rPr>
        <w:t xml:space="preserve"> (confiança mínima, ex.: 40%) e por classe (só "kite"), calculando o centro da caixa delimitadora (</w:t>
      </w:r>
      <w:r>
        <w:rPr>
          <w:rFonts w:ascii="Courier New" w:hAnsi="Courier New"/>
          <w:color w:val="333333"/>
          <w:sz w:val="20"/>
        </w:rPr>
        <w:t>centerX</w:t>
      </w:r>
      <w:r>
        <w:rPr>
          <w:rFonts w:ascii="Arial" w:hAnsi="Arial"/>
          <w:b w:val="0"/>
          <w:color w:val="333333"/>
          <w:sz w:val="22"/>
        </w:rPr>
        <w:t>/</w:t>
      </w:r>
      <w:r>
        <w:rPr>
          <w:rFonts w:ascii="Courier New" w:hAnsi="Courier New"/>
          <w:color w:val="333333"/>
          <w:sz w:val="20"/>
        </w:rPr>
        <w:t>centerY</w:t>
      </w:r>
      <w:r>
        <w:rPr>
          <w:rFonts w:ascii="Arial" w:hAnsi="Arial"/>
          <w:b w:val="0"/>
          <w:color w:val="333333"/>
          <w:sz w:val="22"/>
        </w:rPr>
        <w:t xml:space="preserve">) a partir das coordenadas normalizadas convertidas em pixel real — essas coordenadas viram o alvo do disparo automatizado via </w:t>
      </w:r>
      <w:r>
        <w:rPr>
          <w:rFonts w:ascii="Courier New" w:hAnsi="Courier New"/>
          <w:color w:val="333333"/>
          <w:sz w:val="20"/>
        </w:rPr>
        <w:t>postMessage</w:t>
      </w:r>
      <w:r>
        <w:rPr>
          <w:rFonts w:ascii="Arial" w:hAnsi="Arial"/>
          <w:b w:val="0"/>
          <w:color w:val="333333"/>
          <w:sz w:val="22"/>
        </w:rPr>
        <w:t>.</w:t>
      </w:r>
    </w:p>
    <w:p>
      <w:pPr>
        <w:spacing w:before="120" w:after="120"/>
        <w:ind w:left="360" w:right="360"/>
        <w:shd w:val="clear" w:fill="F5F5F5"/>
        <w:pBdr>
          <w:left w:val="single" w:color="2E75B6" w:sz="4" w:space="10"/>
        </w:pBdr>
      </w:pPr>
      <w:r>
        <w:rPr>
          <w:rFonts w:ascii="Arial" w:hAnsi="Arial"/>
          <w:b w:val="0"/>
          <w:color w:val="333333"/>
          <w:sz w:val="22"/>
        </w:rPr>
        <w:t>✅ Resultado/Conclusão: essa mesma técnica (captura de tela + modelo de detecção + conversão de predição em ação) se aplica a monitoramento, robótica, navegação autônoma — o "jogo" é só um exemplo lúdico de uma capacidade poderosa e genérica.</w:t>
      </w:r>
    </w:p>
    <w:p>
      <w:pPr>
        <w:pStyle w:val="Heading3"/>
        <w:spacing w:before="200" w:after="80"/>
      </w:pPr>
      <w:r>
        <w:rPr>
          <w:rFonts w:ascii="Arial" w:hAnsi="Arial"/>
          <w:b/>
          <w:color w:val="1F4D78"/>
          <w:sz w:val="24"/>
        </w:rPr>
        <w:t>Módulo 05 — Inteligência Artificial na Web</w:t>
      </w:r>
    </w:p>
    <w:p>
      <w:pPr>
        <w:spacing w:after="160"/>
      </w:pPr>
      <w:r>
        <w:rPr>
          <w:rFonts w:ascii="Arial" w:hAnsi="Arial"/>
          <w:b/>
          <w:color w:val="333333"/>
          <w:sz w:val="22"/>
        </w:rPr>
        <w:t>Algoritmos genéticos</w:t>
      </w:r>
      <w:r>
        <w:rPr>
          <w:rFonts w:ascii="Arial" w:hAnsi="Arial"/>
          <w:b w:val="0"/>
          <w:color w:val="333333"/>
          <w:sz w:val="22"/>
        </w:rPr>
        <w:t xml:space="preserve">: abordagem diferente do aprendizado por reforço (que aprende sequencialmente por tentativa/recompensa) — trabalha com </w:t>
      </w:r>
      <w:r>
        <w:rPr>
          <w:rFonts w:ascii="Arial" w:hAnsi="Arial"/>
          <w:b/>
          <w:color w:val="333333"/>
          <w:sz w:val="22"/>
        </w:rPr>
        <w:t>população de soluções candidatas</w:t>
      </w:r>
      <w:r>
        <w:rPr>
          <w:rFonts w:ascii="Arial" w:hAnsi="Arial"/>
          <w:b w:val="0"/>
          <w:color w:val="333333"/>
          <w:sz w:val="22"/>
        </w:rPr>
        <w:t>, avaliando, selecionando as melhores, cruzando e mutando para gerar novas gerações. Resultado muitas vezes tem forma inesperada (a evolução prioriza desempenho, não estética). Parâmetro crítico: taxa de mutação — alta demais gera resultado imprevisível/ineficaz; baixa demais causa estagnação sem inovação; o equilíbrio é o segredo.</w:t>
      </w:r>
    </w:p>
    <w:p>
      <w:pPr>
        <w:spacing w:after="160"/>
      </w:pPr>
      <w:r>
        <w:rPr>
          <w:rFonts w:ascii="Arial" w:hAnsi="Arial"/>
          <w:b/>
          <w:color w:val="333333"/>
          <w:sz w:val="22"/>
        </w:rPr>
        <w:t>Como funcionam LLMs</w:t>
      </w:r>
      <w:r>
        <w:rPr>
          <w:rFonts w:ascii="Arial" w:hAnsi="Arial"/>
          <w:b w:val="0"/>
          <w:color w:val="333333"/>
          <w:sz w:val="22"/>
        </w:rPr>
        <w:t xml:space="preserve"> — os cinco componentes centrais: </w:t>
      </w:r>
      <w:r>
        <w:rPr>
          <w:rFonts w:ascii="Arial" w:hAnsi="Arial"/>
          <w:b/>
          <w:color w:val="333333"/>
          <w:sz w:val="22"/>
        </w:rPr>
        <w:t>tokenização</w:t>
      </w:r>
      <w:r>
        <w:rPr>
          <w:rFonts w:ascii="Arial" w:hAnsi="Arial"/>
          <w:b w:val="0"/>
          <w:color w:val="333333"/>
          <w:sz w:val="22"/>
        </w:rPr>
        <w:t xml:space="preserve"> (texto quebrado em unidade menor que palavra completa — por isso limite de token ≠ limite de palavra); </w:t>
      </w:r>
      <w:r>
        <w:rPr>
          <w:rFonts w:ascii="Arial" w:hAnsi="Arial"/>
          <w:b/>
          <w:color w:val="333333"/>
          <w:sz w:val="22"/>
        </w:rPr>
        <w:t>embeddings</w:t>
      </w:r>
      <w:r>
        <w:rPr>
          <w:rFonts w:ascii="Arial" w:hAnsi="Arial"/>
          <w:b w:val="0"/>
          <w:color w:val="333333"/>
          <w:sz w:val="22"/>
        </w:rPr>
        <w:t xml:space="preserve"> (cada token vira vetor numérico representando significado — palavras em contexto semelhante têm vetores próximos, permitindo operação como "Rei - Homem + Mulher = Rainha"); </w:t>
      </w:r>
      <w:r>
        <w:rPr>
          <w:rFonts w:ascii="Arial" w:hAnsi="Arial"/>
          <w:b/>
          <w:color w:val="333333"/>
          <w:sz w:val="22"/>
        </w:rPr>
        <w:t>Transformer/Self-Attention</w:t>
      </w:r>
      <w:r>
        <w:rPr>
          <w:rFonts w:ascii="Arial" w:hAnsi="Arial"/>
          <w:b w:val="0"/>
          <w:color w:val="333333"/>
          <w:sz w:val="22"/>
        </w:rPr>
        <w:t xml:space="preserve"> (mecanismo que permite ao modelo considerar todas as palavras do contexto ao interpretar cada token, resolvendo ambiguidade referencial e processando em paralelo, com </w:t>
      </w:r>
      <w:r>
        <w:rPr>
          <w:rFonts w:ascii="Arial" w:hAnsi="Arial"/>
          <w:b/>
          <w:color w:val="333333"/>
          <w:sz w:val="22"/>
        </w:rPr>
        <w:t>positional encoding</w:t>
      </w:r>
      <w:r>
        <w:rPr>
          <w:rFonts w:ascii="Arial" w:hAnsi="Arial"/>
          <w:b w:val="0"/>
          <w:color w:val="333333"/>
          <w:sz w:val="22"/>
        </w:rPr>
        <w:t xml:space="preserve"> compensando a perda de ordem); </w:t>
      </w:r>
      <w:r>
        <w:rPr>
          <w:rFonts w:ascii="Arial" w:hAnsi="Arial"/>
          <w:b/>
          <w:color w:val="333333"/>
          <w:sz w:val="22"/>
        </w:rPr>
        <w:t>probabilidade e decoding</w:t>
      </w:r>
      <w:r>
        <w:rPr>
          <w:rFonts w:ascii="Arial" w:hAnsi="Arial"/>
          <w:b w:val="0"/>
          <w:color w:val="333333"/>
          <w:sz w:val="22"/>
        </w:rPr>
        <w:t xml:space="preserve"> (o modelo gera lista de probabilidade para o próximo token, escolhido conforme </w:t>
      </w:r>
      <w:r>
        <w:rPr>
          <w:rFonts w:ascii="Arial" w:hAnsi="Arial"/>
          <w:b/>
          <w:color w:val="333333"/>
          <w:sz w:val="22"/>
        </w:rPr>
        <w:t>temperature</w:t>
      </w:r>
      <w:r>
        <w:rPr>
          <w:rFonts w:ascii="Arial" w:hAnsi="Arial"/>
          <w:b w:val="0"/>
          <w:color w:val="333333"/>
          <w:sz w:val="22"/>
        </w:rPr>
        <w:t xml:space="preserve"> — aleatoriedade — </w:t>
      </w:r>
      <w:r>
        <w:rPr>
          <w:rFonts w:ascii="Arial" w:hAnsi="Arial"/>
          <w:b/>
          <w:color w:val="333333"/>
          <w:sz w:val="22"/>
        </w:rPr>
        <w:t>Top-K</w:t>
      </w:r>
      <w:r>
        <w:rPr>
          <w:rFonts w:ascii="Arial" w:hAnsi="Arial"/>
          <w:b w:val="0"/>
          <w:color w:val="333333"/>
          <w:sz w:val="22"/>
        </w:rPr>
        <w:t xml:space="preserve"> — limita aos K mais prováveis — e </w:t>
      </w:r>
      <w:r>
        <w:rPr>
          <w:rFonts w:ascii="Arial" w:hAnsi="Arial"/>
          <w:b/>
          <w:color w:val="333333"/>
          <w:sz w:val="22"/>
        </w:rPr>
        <w:t>Top-P/nucleus sampling</w:t>
      </w:r>
      <w:r>
        <w:rPr>
          <w:rFonts w:ascii="Arial" w:hAnsi="Arial"/>
          <w:b w:val="0"/>
          <w:color w:val="333333"/>
          <w:sz w:val="22"/>
        </w:rPr>
        <w:t xml:space="preserve"> — soma probabilidade até um limiar); </w:t>
      </w:r>
      <w:r>
        <w:rPr>
          <w:rFonts w:ascii="Arial" w:hAnsi="Arial"/>
          <w:b/>
          <w:color w:val="333333"/>
          <w:sz w:val="22"/>
        </w:rPr>
        <w:t>sampling</w:t>
      </w:r>
      <w:r>
        <w:rPr>
          <w:rFonts w:ascii="Arial" w:hAnsi="Arial"/>
          <w:b w:val="0"/>
          <w:color w:val="333333"/>
          <w:sz w:val="22"/>
        </w:rPr>
        <w:t xml:space="preserve"> (geração token a token, recalculando contexto a cada novo token).</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o modelo </w:t>
      </w:r>
      <w:r>
        <w:rPr>
          <w:rFonts w:ascii="Arial" w:hAnsi="Arial"/>
          <w:b/>
          <w:color w:val="333333"/>
          <w:sz w:val="22"/>
        </w:rPr>
        <w:t>não sabe</w:t>
      </w:r>
      <w:r>
        <w:rPr>
          <w:rFonts w:ascii="Arial" w:hAnsi="Arial"/>
          <w:b w:val="0"/>
          <w:color w:val="333333"/>
          <w:sz w:val="22"/>
        </w:rPr>
        <w:t xml:space="preserve"> o que é verdade — gera o token mais provável dado o contexto; quando falta informação ou o prompt é ambíguo, ele pode gerar afirmação falsa e convincente (</w:t>
      </w:r>
      <w:r>
        <w:rPr>
          <w:rFonts w:ascii="Arial" w:hAnsi="Arial"/>
          <w:b/>
          <w:color w:val="333333"/>
          <w:sz w:val="22"/>
        </w:rPr>
        <w:t>alucinação</w:t>
      </w:r>
      <w:r>
        <w:rPr>
          <w:rFonts w:ascii="Arial" w:hAnsi="Arial"/>
          <w:b w:val="0"/>
          <w:color w:val="333333"/>
          <w:sz w:val="22"/>
        </w:rPr>
        <w:t>). Mitigação: fornecer contexto completo, permitir resposta "não sei", evitar prompt que pressione por certeza absoluta.</w:t>
      </w:r>
    </w:p>
    <w:p>
      <w:pPr>
        <w:spacing w:after="160"/>
      </w:pPr>
      <w:r>
        <w:rPr>
          <w:rFonts w:ascii="Arial" w:hAnsi="Arial"/>
          <w:b/>
          <w:color w:val="333333"/>
          <w:sz w:val="22"/>
        </w:rPr>
        <w:t>Web AI (Web 4.0)</w:t>
      </w:r>
      <w:r>
        <w:rPr>
          <w:rFonts w:ascii="Arial" w:hAnsi="Arial"/>
          <w:b w:val="0"/>
          <w:color w:val="333333"/>
          <w:sz w:val="22"/>
        </w:rPr>
        <w:t xml:space="preserve">: modelo rodando </w:t>
      </w:r>
      <w:r>
        <w:rPr>
          <w:rFonts w:ascii="Arial" w:hAnsi="Arial"/>
          <w:b/>
          <w:color w:val="333333"/>
          <w:sz w:val="22"/>
        </w:rPr>
        <w:t>diretamente no navegador</w:t>
      </w:r>
      <w:r>
        <w:rPr>
          <w:rFonts w:ascii="Arial" w:hAnsi="Arial"/>
          <w:b w:val="0"/>
          <w:color w:val="333333"/>
          <w:sz w:val="22"/>
        </w:rPr>
        <w:t xml:space="preserve"> (Gemini Nano via API experimental do Chrome), sem enviar dado a servidor — privacidade e independência, mas com custo de download (modelo pesado, ex. 1.3-2.5GB) e suporte ainda limitado a alguns navegadores. Funções já disponíveis: tradução, identificação de idioma, resumo, prompt de LLM — tudo local e gratuito.</w:t>
      </w:r>
    </w:p>
    <w:p>
      <w:pPr>
        <w:spacing w:after="160"/>
      </w:pPr>
      <w:r>
        <w:rPr>
          <w:rFonts w:ascii="Arial" w:hAnsi="Arial"/>
          <w:b/>
          <w:color w:val="333333"/>
          <w:sz w:val="22"/>
        </w:rPr>
        <w:t>Web AI Multimodal</w:t>
      </w:r>
      <w:r>
        <w:rPr>
          <w:rFonts w:ascii="Arial" w:hAnsi="Arial"/>
          <w:b w:val="0"/>
          <w:color w:val="333333"/>
          <w:sz w:val="22"/>
        </w:rPr>
        <w:t>: mesma API aceitando texto, imagem e áudio simultaneamente, 100% offline — descrever imagem, transcrever documento (ex.: extrair campo de um cartão CNPJ), tudo processado localmente. Melhores resultados em inglês para entrada multimodal (contornado com API de tradução embutida: entrada em português → traduzida → processada → traduzida de volta).</w:t>
      </w:r>
    </w:p>
    <w:p>
      <w:pPr>
        <w:pStyle w:val="Heading3"/>
        <w:spacing w:before="200" w:after="80"/>
      </w:pPr>
      <w:r>
        <w:rPr>
          <w:rFonts w:ascii="Arial" w:hAnsi="Arial"/>
          <w:b/>
          <w:color w:val="1F4D78"/>
          <w:sz w:val="24"/>
        </w:rPr>
        <w:t>Módulo 06 — Prompt Engineering</w:t>
      </w:r>
    </w:p>
    <w:p>
      <w:pPr>
        <w:spacing w:after="160"/>
      </w:pPr>
      <w:r>
        <w:rPr>
          <w:rFonts w:ascii="Arial" w:hAnsi="Arial"/>
          <w:b/>
          <w:color w:val="333333"/>
          <w:sz w:val="22"/>
        </w:rPr>
        <w:t>Por que a IA alucina</w:t>
      </w:r>
      <w:r>
        <w:rPr>
          <w:rFonts w:ascii="Arial" w:hAnsi="Arial"/>
          <w:b w:val="0"/>
          <w:color w:val="333333"/>
          <w:sz w:val="22"/>
        </w:rPr>
        <w:t>: não é determinística, prevê a próxima palavra mais provável com base no contexto — prompt mal formulado obriga o modelo a "adivinhar", abrindo espaço para erro.</w:t>
      </w:r>
    </w:p>
    <w:p>
      <w:pPr>
        <w:spacing w:after="160"/>
      </w:pPr>
      <w:r>
        <w:rPr>
          <w:rFonts w:ascii="Arial" w:hAnsi="Arial"/>
          <w:b/>
          <w:color w:val="333333"/>
          <w:sz w:val="22"/>
        </w:rPr>
        <w:t>Estrutura de prompt anti-alucinação</w:t>
      </w:r>
      <w:r>
        <w:rPr>
          <w:rFonts w:ascii="Arial" w:hAnsi="Arial"/>
          <w:b w:val="0"/>
          <w:color w:val="333333"/>
          <w:sz w:val="22"/>
        </w:rPr>
        <w:t xml:space="preserve"> (inspirada em estudo da Anthropic, 10 blocos): contexto da tarefa (perfil da IA), tom de voz, </w:t>
      </w:r>
      <w:r>
        <w:rPr>
          <w:rFonts w:ascii="Arial" w:hAnsi="Arial"/>
          <w:b/>
          <w:color w:val="333333"/>
          <w:sz w:val="22"/>
        </w:rPr>
        <w:t>fonte da verdade</w:t>
      </w:r>
      <w:r>
        <w:rPr>
          <w:rFonts w:ascii="Arial" w:hAnsi="Arial"/>
          <w:b w:val="0"/>
          <w:color w:val="333333"/>
          <w:sz w:val="22"/>
        </w:rPr>
        <w:t xml:space="preserve"> (documento/regra/tabela real, evitando que a IA use conhecimento genérico da internet), contrato operacional (regra de comportamento — "se não tiver certeza, diga que não sabe"), exemplos (ancoram formato/estrutura esperados), histórico do usuário, pedido claro (não confundir contexto com demanda), incentivo ao raciocínio (pedir validação/revisão antes de responder), formato da resposta, restrições e validação.</w:t>
      </w:r>
    </w:p>
    <w:p>
      <w:pPr>
        <w:spacing w:before="120" w:after="120"/>
        <w:ind w:left="360" w:right="360"/>
        <w:shd w:val="clear" w:fill="F5F5F5"/>
        <w:pBdr>
          <w:left w:val="single" w:color="2E75B6" w:sz="4" w:space="10"/>
        </w:pBdr>
      </w:pPr>
      <w:r>
        <w:rPr>
          <w:rFonts w:ascii="Arial" w:hAnsi="Arial"/>
          <w:b w:val="0"/>
          <w:color w:val="333333"/>
          <w:sz w:val="22"/>
        </w:rPr>
        <w:t>🔑 Regra fundamental: sempre incluir o papel da IA, fornecer dado real (mesmo que texto simples), pedir explicitamente para não inventar e dizer quando não souber, orientar a fazer pergunta quando o pedido for incompleto, e listar opção + pedir escolha em caso de ambiguidade.</w:t>
      </w:r>
    </w:p>
    <w:p>
      <w:pPr>
        <w:spacing w:after="160"/>
      </w:pPr>
      <w:r>
        <w:rPr>
          <w:rFonts w:ascii="Arial" w:hAnsi="Arial"/>
          <w:b/>
          <w:color w:val="333333"/>
          <w:sz w:val="22"/>
        </w:rPr>
        <w:t>JSON Prompt vs. TOON</w:t>
      </w:r>
      <w:r>
        <w:rPr>
          <w:rFonts w:ascii="Arial" w:hAnsi="Arial"/>
          <w:b w:val="0"/>
          <w:color w:val="333333"/>
          <w:sz w:val="22"/>
        </w:rPr>
        <w:t xml:space="preserve">: LLMs processam melhor entrada estruturada. </w:t>
      </w:r>
      <w:r>
        <w:rPr>
          <w:rFonts w:ascii="Arial" w:hAnsi="Arial"/>
          <w:b/>
          <w:color w:val="333333"/>
          <w:sz w:val="22"/>
        </w:rPr>
        <w:t>JSON Prompt</w:t>
      </w:r>
      <w:r>
        <w:rPr>
          <w:rFonts w:ascii="Arial" w:hAnsi="Arial"/>
          <w:b w:val="0"/>
          <w:color w:val="333333"/>
          <w:sz w:val="22"/>
        </w:rPr>
        <w:t xml:space="preserve"> (estrutura sugerida: </w:t>
      </w:r>
      <w:r>
        <w:rPr>
          <w:rFonts w:ascii="Courier New" w:hAnsi="Courier New"/>
          <w:color w:val="333333"/>
          <w:sz w:val="20"/>
        </w:rPr>
        <w:t>meta</w:t>
      </w:r>
      <w:r>
        <w:rPr>
          <w:rFonts w:ascii="Arial" w:hAnsi="Arial"/>
          <w:b w:val="0"/>
          <w:color w:val="333333"/>
          <w:sz w:val="22"/>
        </w:rPr>
        <w:t xml:space="preserve">, </w:t>
      </w:r>
      <w:r>
        <w:rPr>
          <w:rFonts w:ascii="Courier New" w:hAnsi="Courier New"/>
          <w:color w:val="333333"/>
          <w:sz w:val="20"/>
        </w:rPr>
        <w:t>context</w:t>
      </w:r>
      <w:r>
        <w:rPr>
          <w:rFonts w:ascii="Arial" w:hAnsi="Arial"/>
          <w:b w:val="0"/>
          <w:color w:val="333333"/>
          <w:sz w:val="22"/>
        </w:rPr>
        <w:t xml:space="preserve">, </w:t>
      </w:r>
      <w:r>
        <w:rPr>
          <w:rFonts w:ascii="Courier New" w:hAnsi="Courier New"/>
          <w:color w:val="333333"/>
          <w:sz w:val="20"/>
        </w:rPr>
        <w:t>task</w:t>
      </w:r>
      <w:r>
        <w:rPr>
          <w:rFonts w:ascii="Arial" w:hAnsi="Arial"/>
          <w:b w:val="0"/>
          <w:color w:val="333333"/>
          <w:sz w:val="22"/>
        </w:rPr>
        <w:t xml:space="preserve">, </w:t>
      </w:r>
      <w:r>
        <w:rPr>
          <w:rFonts w:ascii="Courier New" w:hAnsi="Courier New"/>
          <w:color w:val="333333"/>
          <w:sz w:val="20"/>
        </w:rPr>
        <w:t>constraints</w:t>
      </w:r>
      <w:r>
        <w:rPr>
          <w:rFonts w:ascii="Arial" w:hAnsi="Arial"/>
          <w:b w:val="0"/>
          <w:color w:val="333333"/>
          <w:sz w:val="22"/>
        </w:rPr>
        <w:t xml:space="preserve">, </w:t>
      </w:r>
      <w:r>
        <w:rPr>
          <w:rFonts w:ascii="Courier New" w:hAnsi="Courier New"/>
          <w:color w:val="333333"/>
          <w:sz w:val="20"/>
        </w:rPr>
        <w:t>output</w:t>
      </w:r>
      <w:r>
        <w:rPr>
          <w:rFonts w:ascii="Arial" w:hAnsi="Arial"/>
          <w:b w:val="0"/>
          <w:color w:val="333333"/>
          <w:sz w:val="22"/>
        </w:rPr>
        <w:t xml:space="preserve">) reduz ambiguidade, é previsível para integração (validável com Zod/Ajv/Yup), padronizável entre times, e reduz retrabalho mesmo consumindo mais token pela sintaxe. </w:t>
      </w:r>
      <w:r>
        <w:rPr>
          <w:rFonts w:ascii="Arial" w:hAnsi="Arial"/>
          <w:b/>
          <w:color w:val="333333"/>
          <w:sz w:val="22"/>
        </w:rPr>
        <w:t>TOON</w:t>
      </w:r>
      <w:r>
        <w:rPr>
          <w:rFonts w:ascii="Arial" w:hAnsi="Arial"/>
          <w:b w:val="0"/>
          <w:color w:val="333333"/>
          <w:sz w:val="22"/>
        </w:rPr>
        <w:t xml:space="preserve"> (Token Oriented Object Notation) remove aspas/chaves, economizando token de forma significativa em listas grandes — mas exige aprender formato novo, sem suporte amplo de ferramenta.</w:t>
      </w:r>
    </w:p>
    <w:p>
      <w:pPr>
        <w:spacing w:before="120" w:after="120"/>
        <w:ind w:left="360" w:right="360"/>
        <w:shd w:val="clear" w:fill="F5F5F5"/>
        <w:pBdr>
          <w:left w:val="single" w:color="2E75B6" w:sz="4" w:space="10"/>
        </w:pBdr>
      </w:pPr>
      <w:r>
        <w:rPr>
          <w:rFonts w:ascii="Arial" w:hAnsi="Arial"/>
          <w:b w:val="0"/>
          <w:color w:val="333333"/>
          <w:sz w:val="22"/>
        </w:rPr>
        <w:t>💡 Analogia/insight: JSON tabular bem modelado (array de coluna/linha, eliminando redundância de chave) pode chegar perto ou até superar o TOON em eficiência de token, mantendo toda a vantagem do ecossistema JSON (validação, parsing, logging). Recomendação: começar com JSON bem estruturado; TOON é para cenário muito específico de economia máxima de token com estrutura simples e controlada.</w:t>
      </w:r>
    </w:p>
    <w:p>
      <w:pPr>
        <w:pStyle w:val="Heading3"/>
        <w:spacing w:before="200" w:after="80"/>
      </w:pPr>
      <w:r>
        <w:rPr>
          <w:rFonts w:ascii="Arial" w:hAnsi="Arial"/>
          <w:b/>
          <w:color w:val="1F4D78"/>
          <w:sz w:val="24"/>
        </w:rPr>
        <w:t>Módulo 07 — Ferramentas de IA para Acelerar sua Vida como Dev</w:t>
      </w:r>
    </w:p>
    <w:p>
      <w:pPr>
        <w:spacing w:after="160"/>
      </w:pPr>
      <w:r>
        <w:rPr>
          <w:rFonts w:ascii="Arial" w:hAnsi="Arial"/>
          <w:b/>
          <w:color w:val="333333"/>
          <w:sz w:val="22"/>
        </w:rPr>
        <w:t>Cursor e Windsurf</w:t>
      </w:r>
      <w:r>
        <w:rPr>
          <w:rFonts w:ascii="Arial" w:hAnsi="Arial"/>
          <w:b w:val="0"/>
          <w:color w:val="333333"/>
          <w:sz w:val="22"/>
        </w:rPr>
        <w:t xml:space="preserve"> são forks do VS Code (base sólida, ecossistema maduro), com abordagem "AI First" desde a concepção — investimento massivo (Cursor: US$ 2,3 bi captados, US$ 29,3 bi de valuation; Windsurf: US$ 150 mi captados, quase adquirido pela OpenAI por US$ 3 bi) evidenciando que a indústria ataca diretamente o custo mais alto do software: tempo de desenvolvimento.</w:t>
      </w:r>
    </w:p>
    <w:p>
      <w:pPr>
        <w:spacing w:after="160"/>
      </w:pPr>
      <w:r>
        <w:rPr>
          <w:rFonts w:ascii="Arial" w:hAnsi="Arial"/>
          <w:b w:val="0"/>
          <w:color w:val="333333"/>
          <w:sz w:val="22"/>
        </w:rPr>
        <w:t xml:space="preserve">VS Code tem três agentes nativos de chat: </w:t>
      </w:r>
      <w:r>
        <w:rPr>
          <w:rFonts w:ascii="Arial" w:hAnsi="Arial"/>
          <w:b/>
          <w:color w:val="333333"/>
          <w:sz w:val="22"/>
        </w:rPr>
        <w:t>Ask</w:t>
      </w:r>
      <w:r>
        <w:rPr>
          <w:rFonts w:ascii="Arial" w:hAnsi="Arial"/>
          <w:b w:val="0"/>
          <w:color w:val="333333"/>
          <w:sz w:val="22"/>
        </w:rPr>
        <w:t xml:space="preserve"> (pergunta rápida, explicação de código), </w:t>
      </w:r>
      <w:r>
        <w:rPr>
          <w:rFonts w:ascii="Arial" w:hAnsi="Arial"/>
          <w:b/>
          <w:color w:val="333333"/>
          <w:sz w:val="22"/>
        </w:rPr>
        <w:t>Edit</w:t>
      </w:r>
      <w:r>
        <w:rPr>
          <w:rFonts w:ascii="Arial" w:hAnsi="Arial"/>
          <w:b w:val="0"/>
          <w:color w:val="333333"/>
          <w:sz w:val="22"/>
        </w:rPr>
        <w:t xml:space="preserve"> (modificação controlada com base em orientação), </w:t>
      </w:r>
      <w:r>
        <w:rPr>
          <w:rFonts w:ascii="Arial" w:hAnsi="Arial"/>
          <w:b/>
          <w:color w:val="333333"/>
          <w:sz w:val="22"/>
        </w:rPr>
        <w:t>Plan</w:t>
      </w:r>
      <w:r>
        <w:rPr>
          <w:rFonts w:ascii="Arial" w:hAnsi="Arial"/>
          <w:b w:val="0"/>
          <w:color w:val="333333"/>
          <w:sz w:val="22"/>
        </w:rPr>
        <w:t xml:space="preserve"> (criação de plano antes da execução) — depois do plano aprovado, o </w:t>
      </w:r>
      <w:r>
        <w:rPr>
          <w:rFonts w:ascii="Arial" w:hAnsi="Arial"/>
          <w:b/>
          <w:color w:val="333333"/>
          <w:sz w:val="22"/>
        </w:rPr>
        <w:t>Agent</w:t>
      </w:r>
      <w:r>
        <w:rPr>
          <w:rFonts w:ascii="Arial" w:hAnsi="Arial"/>
          <w:b w:val="0"/>
          <w:color w:val="333333"/>
          <w:sz w:val="22"/>
        </w:rPr>
        <w:t xml:space="preserve"> executa com autonomia, iterando conforme contexto e ferramenta disponível. </w:t>
      </w:r>
      <w:r>
        <w:rPr>
          <w:rFonts w:ascii="Arial" w:hAnsi="Arial"/>
          <w:b/>
          <w:color w:val="333333"/>
          <w:sz w:val="22"/>
        </w:rPr>
        <w:t>Agentes customizáveis</w:t>
      </w:r>
      <w:r>
        <w:rPr>
          <w:rFonts w:ascii="Arial" w:hAnsi="Arial"/>
          <w:b w:val="0"/>
          <w:color w:val="333333"/>
          <w:sz w:val="22"/>
        </w:rPr>
        <w:t xml:space="preserve"> permitem definir persona com tarefa repetitiva (validar teste, verificar boa prática, operar com modelo específico, acesso restrito a ferramenta) — funcionando como sub-prompt pré-definido de escopo limitado.</w:t>
      </w:r>
    </w:p>
    <w:p>
      <w:pPr>
        <w:spacing w:before="120" w:after="120"/>
        <w:ind w:left="360" w:right="360"/>
        <w:shd w:val="clear" w:fill="F5F5F5"/>
        <w:pBdr>
          <w:left w:val="single" w:color="2E75B6" w:sz="4" w:space="10"/>
        </w:pBdr>
      </w:pPr>
      <w:r>
        <w:rPr>
          <w:rFonts w:ascii="Arial" w:hAnsi="Arial"/>
          <w:b w:val="0"/>
          <w:color w:val="333333"/>
          <w:sz w:val="22"/>
        </w:rPr>
        <w:t>⚠️ Experiência relatada com plataforma Prompt-to-App (ex.: Lovable): início promissor, mas o app apresentou falha grave por falta de segurança/validação/estrutura, exigindo migração para VS Code e reescrita com boa prática. Reforça o valor de editor com controle sobre código, revisão, teste, auditoria e integração com CI/CD.</w:t>
      </w:r>
    </w:p>
    <w:p>
      <w:pPr>
        <w:spacing w:after="160"/>
      </w:pPr>
      <w:r>
        <w:rPr>
          <w:rFonts w:ascii="Arial" w:hAnsi="Arial"/>
          <w:b/>
          <w:color w:val="333333"/>
          <w:sz w:val="22"/>
        </w:rPr>
        <w:t>Agentes de IA</w:t>
      </w:r>
      <w:r>
        <w:rPr>
          <w:rFonts w:ascii="Arial" w:hAnsi="Arial"/>
          <w:b w:val="0"/>
          <w:color w:val="333333"/>
          <w:sz w:val="22"/>
        </w:rPr>
        <w:t xml:space="preserve">: uma LLM isolada não executa comando, abre arquivo, roda teste ou valida o próprio resultado — o agente acopla a LLM (motor de decisão) a ferramenta, ciclo de execução e observação de resultado. O </w:t>
      </w:r>
      <w:r>
        <w:rPr>
          <w:rFonts w:ascii="Arial" w:hAnsi="Arial"/>
          <w:b/>
          <w:color w:val="333333"/>
          <w:sz w:val="22"/>
        </w:rPr>
        <w:t>ciclo do agente</w:t>
      </w:r>
      <w:r>
        <w:rPr>
          <w:rFonts w:ascii="Arial" w:hAnsi="Arial"/>
          <w:b w:val="0"/>
          <w:color w:val="333333"/>
          <w:sz w:val="22"/>
        </w:rPr>
        <w:t>: entendimento do objetivo → planejamento → seleção de ferramenta → ação → observação → correção de erro → entrega com evidência. Agentes não são exclusivos de editor — cabem em back-end, pipeline de CI, bot de suporte, sistema de observabilidade.</w:t>
      </w:r>
    </w:p>
    <w:p>
      <w:pPr>
        <w:spacing w:after="160"/>
      </w:pPr>
      <w:r>
        <w:rPr>
          <w:rFonts w:ascii="Arial" w:hAnsi="Arial"/>
          <w:b/>
          <w:color w:val="333333"/>
          <w:sz w:val="22"/>
        </w:rPr>
        <w:t>Papéis especializados</w:t>
      </w:r>
      <w:r>
        <w:rPr>
          <w:rFonts w:ascii="Arial" w:hAnsi="Arial"/>
          <w:b w:val="0"/>
          <w:color w:val="333333"/>
          <w:sz w:val="22"/>
        </w:rPr>
        <w:t>: Planner, Implementer, Reviewer, QA, Docs Agent, Ops Agent — segmentação que permite controle fino de permissão e reduz risco.</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agente falha quando a tarefa está mal definida — "buraco" no prompt é preenchido com "chute". </w:t>
      </w:r>
      <w:r>
        <w:rPr>
          <w:rFonts w:ascii="Arial" w:hAnsi="Arial"/>
          <w:b/>
          <w:color w:val="333333"/>
          <w:sz w:val="22"/>
        </w:rPr>
        <w:t>Spec Driven Development</w:t>
      </w:r>
      <w:r>
        <w:rPr>
          <w:rFonts w:ascii="Arial" w:hAnsi="Arial"/>
          <w:b w:val="0"/>
          <w:color w:val="333333"/>
          <w:sz w:val="22"/>
        </w:rPr>
        <w:t xml:space="preserve"> resolve isso: uma boa spec inclui contexto (stack, ambiente, dependência), requisitos, </w:t>
      </w:r>
      <w:r>
        <w:rPr>
          <w:rFonts w:ascii="Arial" w:hAnsi="Arial"/>
          <w:b/>
          <w:color w:val="333333"/>
          <w:sz w:val="22"/>
        </w:rPr>
        <w:t>não-requisitos</w:t>
      </w:r>
      <w:r>
        <w:rPr>
          <w:rFonts w:ascii="Arial" w:hAnsi="Arial"/>
          <w:b w:val="0"/>
          <w:color w:val="333333"/>
          <w:sz w:val="22"/>
        </w:rPr>
        <w:t xml:space="preserve"> (o que deve ser evitado), critério de aceite, contrato (formato de API/resposta), plano de teste — isso é o que permite ao agente saber quando parar e como validar sucesso.</w:t>
      </w:r>
    </w:p>
    <w:p>
      <w:pPr>
        <w:pStyle w:val="Heading3"/>
        <w:spacing w:before="200" w:after="80"/>
      </w:pPr>
      <w:r>
        <w:rPr>
          <w:rFonts w:ascii="Arial" w:hAnsi="Arial"/>
          <w:b/>
          <w:color w:val="1F4D78"/>
          <w:sz w:val="24"/>
        </w:rPr>
        <w:t>Módulo 08 — MCPs e Automação para Devs</w:t>
      </w:r>
    </w:p>
    <w:p>
      <w:pPr>
        <w:spacing w:after="160"/>
      </w:pPr>
      <w:r>
        <w:rPr>
          <w:rFonts w:ascii="Arial" w:hAnsi="Arial"/>
          <w:b/>
          <w:color w:val="333333"/>
          <w:sz w:val="22"/>
        </w:rPr>
        <w:t>MCP</w:t>
      </w:r>
      <w:r>
        <w:rPr>
          <w:rFonts w:ascii="Arial" w:hAnsi="Arial"/>
          <w:b w:val="0"/>
          <w:color w:val="333333"/>
          <w:sz w:val="22"/>
        </w:rPr>
        <w:t xml:space="preserve"> (anunciado pela Anthropic em novembro de 2024, protocolo aberto): conecta modelo de linguagem a fonte de dado/serviço externo — plugar um servidor MCP pronto num cliente compatível (ex.: VS Code) dá à IA acesso automático a essa integração, sem codificação adicional. Expõe três componentes: </w:t>
      </w:r>
      <w:r>
        <w:rPr>
          <w:rFonts w:ascii="Arial" w:hAnsi="Arial"/>
          <w:b/>
          <w:color w:val="333333"/>
          <w:sz w:val="22"/>
        </w:rPr>
        <w:t>tools</w:t>
      </w:r>
      <w:r>
        <w:rPr>
          <w:rFonts w:ascii="Arial" w:hAnsi="Arial"/>
          <w:b w:val="0"/>
          <w:color w:val="333333"/>
          <w:sz w:val="22"/>
        </w:rPr>
        <w:t xml:space="preserve"> (ação executável), </w:t>
      </w:r>
      <w:r>
        <w:rPr>
          <w:rFonts w:ascii="Arial" w:hAnsi="Arial"/>
          <w:b/>
          <w:color w:val="333333"/>
          <w:sz w:val="22"/>
        </w:rPr>
        <w:t>resources</w:t>
      </w:r>
      <w:r>
        <w:rPr>
          <w:rFonts w:ascii="Arial" w:hAnsi="Arial"/>
          <w:b w:val="0"/>
          <w:color w:val="333333"/>
          <w:sz w:val="22"/>
        </w:rPr>
        <w:t xml:space="preserve"> (dado de contexto), </w:t>
      </w:r>
      <w:r>
        <w:rPr>
          <w:rFonts w:ascii="Arial" w:hAnsi="Arial"/>
          <w:b/>
          <w:color w:val="333333"/>
          <w:sz w:val="22"/>
        </w:rPr>
        <w:t>prompts</w:t>
      </w:r>
      <w:r>
        <w:rPr>
          <w:rFonts w:ascii="Arial" w:hAnsi="Arial"/>
          <w:b w:val="0"/>
          <w:color w:val="333333"/>
          <w:sz w:val="22"/>
        </w:rPr>
        <w:t xml:space="preserve"> (template que ajuda a formular comando adequado) — descritos por schema padronizado.</w:t>
      </w:r>
    </w:p>
    <w:p>
      <w:pPr>
        <w:spacing w:after="160"/>
      </w:pPr>
      <w:r>
        <w:rPr>
          <w:rFonts w:ascii="Arial" w:hAnsi="Arial"/>
          <w:b w:val="0"/>
          <w:color w:val="333333"/>
          <w:sz w:val="22"/>
        </w:rPr>
        <w:t xml:space="preserve">Como as LLMs escolhem ferramenta: não há </w:t>
      </w:r>
      <w:r>
        <w:rPr>
          <w:rFonts w:ascii="Courier New" w:hAnsi="Courier New"/>
          <w:color w:val="333333"/>
          <w:sz w:val="20"/>
        </w:rPr>
        <w:t>if/else</w:t>
      </w:r>
      <w:r>
        <w:rPr>
          <w:rFonts w:ascii="Arial" w:hAnsi="Arial"/>
          <w:b w:val="0"/>
          <w:color w:val="333333"/>
          <w:sz w:val="22"/>
        </w:rPr>
        <w:t xml:space="preserve"> — o modelo aprende a selecionar por </w:t>
      </w:r>
      <w:r>
        <w:rPr>
          <w:rFonts w:ascii="Arial" w:hAnsi="Arial"/>
          <w:b/>
          <w:color w:val="333333"/>
          <w:sz w:val="22"/>
        </w:rPr>
        <w:t>similaridade</w:t>
      </w:r>
      <w:r>
        <w:rPr>
          <w:rFonts w:ascii="Arial" w:hAnsi="Arial"/>
          <w:b w:val="0"/>
          <w:color w:val="333333"/>
          <w:sz w:val="22"/>
        </w:rPr>
        <w:t xml:space="preserve"> entre o prompt e a descrição da tool (nome claro tipo </w:t>
      </w:r>
      <w:r>
        <w:rPr>
          <w:rFonts w:ascii="Courier New" w:hAnsi="Courier New"/>
          <w:color w:val="333333"/>
          <w:sz w:val="20"/>
        </w:rPr>
        <w:t>readFile</w:t>
      </w:r>
      <w:r>
        <w:rPr>
          <w:rFonts w:ascii="Arial" w:hAnsi="Arial"/>
          <w:b w:val="0"/>
          <w:color w:val="333333"/>
          <w:sz w:val="22"/>
        </w:rPr>
        <w:t xml:space="preserve"> e descrição objetiva são priorizados), preferindo ação não destrutiva (ler/listar) antes de escrever/deletar; modelo avançado consegue encadear chamada (usar uma tool, analisar resultado, chamar outra com base na resposta).</w:t>
      </w:r>
    </w:p>
    <w:p>
      <w:pPr>
        <w:spacing w:after="160"/>
      </w:pPr>
      <w:r>
        <w:rPr>
          <w:rFonts w:ascii="Arial" w:hAnsi="Arial"/>
          <w:b w:val="0"/>
          <w:color w:val="333333"/>
          <w:sz w:val="22"/>
        </w:rPr>
        <w:t xml:space="preserve">Casos reais citados: MCP do GitHub (listar PR, revisar código), MCP do Playwright (criar teste, navegar em site), MCP do Grafana (dado de monitoramento), MCP de e-mail (Resend). Plugados via </w:t>
      </w:r>
      <w:r>
        <w:rPr>
          <w:rFonts w:ascii="Courier New" w:hAnsi="Courier New"/>
          <w:color w:val="333333"/>
          <w:sz w:val="20"/>
        </w:rPr>
        <w:t>mcp.json</w:t>
      </w:r>
      <w:r>
        <w:rPr>
          <w:rFonts w:ascii="Arial" w:hAnsi="Arial"/>
          <w:b w:val="0"/>
          <w:color w:val="333333"/>
          <w:sz w:val="22"/>
        </w:rPr>
        <w:t xml:space="preserve"> no editor.</w:t>
      </w:r>
    </w:p>
    <w:p>
      <w:pPr>
        <w:spacing w:after="160"/>
      </w:pPr>
      <w:r>
        <w:rPr>
          <w:rFonts w:ascii="Arial" w:hAnsi="Arial"/>
          <w:b/>
          <w:color w:val="333333"/>
          <w:sz w:val="22"/>
        </w:rPr>
        <w:t>IA gerando teste automatizado</w:t>
      </w:r>
      <w:r>
        <w:rPr>
          <w:rFonts w:ascii="Arial" w:hAnsi="Arial"/>
          <w:b w:val="0"/>
          <w:color w:val="333333"/>
          <w:sz w:val="22"/>
        </w:rPr>
        <w:t xml:space="preserve"> (via MCP Playwright): a partir de prompt (não código manual), o agente cria projeto, gera arquivo de teste, executa, ajusta falha automaticamente, integra com GitHub Actions. Fluxo: inicialização → estrutura de CI/CD → mapeamento da página (identifica elemento/campo/botão) → geração dos testes → execução com ajuste automático.</w:t>
      </w:r>
    </w:p>
    <w:p>
      <w:pPr>
        <w:spacing w:after="160"/>
      </w:pPr>
      <w:r>
        <w:rPr>
          <w:rFonts w:ascii="Arial" w:hAnsi="Arial"/>
          <w:b/>
          <w:color w:val="333333"/>
          <w:sz w:val="22"/>
        </w:rPr>
        <w:t>IA navegando e extraindo dado</w:t>
      </w:r>
      <w:r>
        <w:rPr>
          <w:rFonts w:ascii="Arial" w:hAnsi="Arial"/>
          <w:b w:val="0"/>
          <w:color w:val="333333"/>
          <w:sz w:val="22"/>
        </w:rPr>
        <w:t xml:space="preserve"> (Playwright MCP + extensão de bridge no navegador): automatiza tarefa repetitiva como preencher formulário com dado real extraído de outro site, mantendo </w:t>
      </w:r>
      <w:r>
        <w:rPr>
          <w:rFonts w:ascii="Arial" w:hAnsi="Arial"/>
          <w:b/>
          <w:color w:val="333333"/>
          <w:sz w:val="22"/>
        </w:rPr>
        <w:t>contexto entre interações</w:t>
      </w:r>
      <w:r>
        <w:rPr>
          <w:rFonts w:ascii="Arial" w:hAnsi="Arial"/>
          <w:b w:val="0"/>
          <w:color w:val="333333"/>
          <w:sz w:val="22"/>
        </w:rPr>
        <w:t xml:space="preserve"> (pergunta o que falta, ex.: telefone/e-mail, em vez de travar).</w:t>
      </w:r>
    </w:p>
    <w:p>
      <w:pPr>
        <w:spacing w:after="160"/>
      </w:pPr>
      <w:r>
        <w:rPr>
          <w:rFonts w:ascii="Arial" w:hAnsi="Arial"/>
          <w:b/>
          <w:color w:val="333333"/>
          <w:sz w:val="22"/>
        </w:rPr>
        <w:t>Context-7</w:t>
      </w:r>
      <w:r>
        <w:rPr>
          <w:rFonts w:ascii="Arial" w:hAnsi="Arial"/>
          <w:b w:val="0"/>
          <w:color w:val="333333"/>
          <w:sz w:val="22"/>
        </w:rPr>
        <w:t xml:space="preserve"> (servidor MCP que indexa documentação atualizada de projeto real): resolve o problema de modelo sugerir código desatualizado — em vez de colar documentação manualmente no prompt (caro, sujeito a erro), o servidor seleciona automaticamente o trecho relevante no momento da execução, mantendo o prompt leve e o código gerado alinhado à versão atual da ferramenta.</w:t>
      </w:r>
    </w:p>
    <w:p>
      <w:pPr>
        <w:spacing w:after="160"/>
      </w:pPr>
      <w:r>
        <w:rPr>
          <w:rFonts w:ascii="Arial" w:hAnsi="Arial"/>
          <w:b/>
          <w:color w:val="333333"/>
          <w:sz w:val="22"/>
        </w:rPr>
        <w:t>IA analisando telemetria</w:t>
      </w:r>
      <w:r>
        <w:rPr>
          <w:rFonts w:ascii="Arial" w:hAnsi="Arial"/>
          <w:b w:val="0"/>
          <w:color w:val="333333"/>
          <w:sz w:val="22"/>
        </w:rPr>
        <w:t xml:space="preserve"> (Grafana MCP + OpenTelemetry + Prometheus/Tempo/Loki): a partir de um prompt único ("estou recebendo erro 500 neste endpoint, descubra o motivo"), o agente coleta métrica, explora log, consulta trace, </w:t>
      </w:r>
      <w:r>
        <w:rPr>
          <w:rFonts w:ascii="Arial" w:hAnsi="Arial"/>
          <w:b/>
          <w:color w:val="333333"/>
          <w:sz w:val="22"/>
        </w:rPr>
        <w:t>correlaciona os três sinais</w:t>
      </w:r>
      <w:r>
        <w:rPr>
          <w:rFonts w:ascii="Arial" w:hAnsi="Arial"/>
          <w:b w:val="0"/>
          <w:color w:val="333333"/>
          <w:sz w:val="22"/>
        </w:rPr>
        <w:t xml:space="preserve"> e produz relatório com causa raiz — sem acesso ao código-fonte, só aos dados expostos pela telemetria.</w:t>
      </w:r>
    </w:p>
    <w:p>
      <w:pPr>
        <w:spacing w:before="120" w:after="120"/>
        <w:ind w:left="360" w:right="360"/>
        <w:shd w:val="clear" w:fill="F5F5F5"/>
        <w:pBdr>
          <w:left w:val="single" w:color="2E75B6" w:sz="4" w:space="10"/>
        </w:pBdr>
      </w:pPr>
      <w:r>
        <w:rPr>
          <w:rFonts w:ascii="Arial" w:hAnsi="Arial"/>
          <w:b w:val="0"/>
          <w:color w:val="333333"/>
          <w:sz w:val="22"/>
        </w:rPr>
        <w:t>✅ Resultado/Conclusão: MCP é descrito como "o USB das ferramentas para a era das LLMs" — plug-and-play com poder real, reduzindo alucinação (dado real em vez de inventado), extensível (novo servidor = nova capacidade) e modular (múltiplas fontes combinadas numa interação).</w:t>
      </w:r>
    </w:p>
    <w:p>
      <w:pPr>
        <w:pStyle w:val="Heading3"/>
        <w:spacing w:before="200" w:after="80"/>
      </w:pPr>
      <w:r>
        <w:rPr>
          <w:rFonts w:ascii="Arial" w:hAnsi="Arial"/>
          <w:b/>
          <w:color w:val="1F4D78"/>
          <w:sz w:val="24"/>
        </w:rPr>
        <w:t>Módulo 09 — Modelos Open-Source vs. Proprietários</w:t>
      </w:r>
    </w:p>
    <w:p>
      <w:pPr>
        <w:spacing w:after="160"/>
      </w:pPr>
      <w:r>
        <w:rPr>
          <w:rFonts w:ascii="Arial" w:hAnsi="Arial"/>
          <w:b w:val="0"/>
          <w:color w:val="333333"/>
          <w:sz w:val="22"/>
        </w:rPr>
        <w:t xml:space="preserve">"Aberto" em LLM raramente significa acesso ao pipeline de treino/dado — geralmente significa </w:t>
      </w:r>
      <w:r>
        <w:rPr>
          <w:rFonts w:ascii="Arial" w:hAnsi="Arial"/>
          <w:b/>
          <w:color w:val="333333"/>
          <w:sz w:val="22"/>
        </w:rPr>
        <w:t>open weights</w:t>
      </w:r>
      <w:r>
        <w:rPr>
          <w:rFonts w:ascii="Arial" w:hAnsi="Arial"/>
          <w:b w:val="0"/>
          <w:color w:val="333333"/>
          <w:sz w:val="22"/>
        </w:rPr>
        <w:t xml:space="preserve"> (download e execução local possíveis). Vantagens de modelo aberto: custo reduzido (com infraestrutura própria), privacidade/controle (sem enviar dado a terceiro), customização (fine-tuning, variante especializada), independência de fornecedor. Desvantagens: infraestrutura cara para manter, manutenção complexa, limitação legal de licença (uso comercial pode ser restrito conforme porte da empresa), falta de filtro em modelo "sem censura" (exige governança redobrada).</w:t>
      </w:r>
    </w:p>
    <w:p>
      <w:pPr>
        <w:spacing w:after="160"/>
      </w:pPr>
      <w:r>
        <w:rPr>
          <w:rFonts w:ascii="Arial" w:hAnsi="Arial"/>
          <w:b w:val="0"/>
          <w:color w:val="333333"/>
          <w:sz w:val="22"/>
        </w:rPr>
        <w:t>Modelo fechado (OpenAI, Google, Anthropic) ainda vence em: qualidade de ponta em benchmark, facilidade de uso (só API key), escalabilidade garantida, suporte/SLA/conformidade legal via contrato comercial.</w:t>
      </w:r>
    </w:p>
    <w:p>
      <w:pPr>
        <w:spacing w:after="160"/>
      </w:pPr>
      <w:r>
        <w:rPr>
          <w:rFonts w:ascii="Arial" w:hAnsi="Arial"/>
          <w:b/>
          <w:color w:val="333333"/>
          <w:sz w:val="22"/>
        </w:rPr>
        <w:t>Ollama</w:t>
      </w:r>
      <w:r>
        <w:rPr>
          <w:rFonts w:ascii="Arial" w:hAnsi="Arial"/>
          <w:b w:val="0"/>
          <w:color w:val="333333"/>
          <w:sz w:val="22"/>
        </w:rPr>
        <w:t xml:space="preserve"> (desde julho/2023, API HTTP local): baixa e roda modelo localmente (</w:t>
      </w:r>
      <w:r>
        <w:rPr>
          <w:rFonts w:ascii="Courier New" w:hAnsi="Courier New"/>
          <w:color w:val="333333"/>
          <w:sz w:val="20"/>
        </w:rPr>
        <w:t>ollama pull</w:t>
      </w:r>
      <w:r>
        <w:rPr>
          <w:rFonts w:ascii="Arial" w:hAnsi="Arial"/>
          <w:b w:val="0"/>
          <w:color w:val="333333"/>
          <w:sz w:val="22"/>
        </w:rPr>
        <w:t>/</w:t>
      </w:r>
      <w:r>
        <w:rPr>
          <w:rFonts w:ascii="Courier New" w:hAnsi="Courier New"/>
          <w:color w:val="333333"/>
          <w:sz w:val="20"/>
        </w:rPr>
        <w:t>ollama serve</w:t>
      </w:r>
      <w:r>
        <w:rPr>
          <w:rFonts w:ascii="Arial" w:hAnsi="Arial"/>
          <w:b w:val="0"/>
          <w:color w:val="333333"/>
          <w:sz w:val="22"/>
        </w:rPr>
        <w:t xml:space="preserve">), offline, gratuito. </w:t>
      </w:r>
      <w:r>
        <w:rPr>
          <w:rFonts w:ascii="Arial" w:hAnsi="Arial"/>
          <w:b/>
          <w:color w:val="333333"/>
          <w:sz w:val="22"/>
        </w:rPr>
        <w:t>Não indicado para produção</w:t>
      </w:r>
      <w:r>
        <w:rPr>
          <w:rFonts w:ascii="Arial" w:hAnsi="Arial"/>
          <w:b w:val="0"/>
          <w:color w:val="333333"/>
          <w:sz w:val="22"/>
        </w:rPr>
        <w:t xml:space="preserve"> (um prompt por vez, alta demanda de recurso, sem alta concorrência — para isso, ferramenta como vLLM é mais apropriada). Conceitos-chave: </w:t>
      </w:r>
      <w:r>
        <w:rPr>
          <w:rFonts w:ascii="Arial" w:hAnsi="Arial"/>
          <w:b/>
          <w:color w:val="333333"/>
          <w:sz w:val="22"/>
        </w:rPr>
        <w:t>parâmetros</w:t>
      </w:r>
      <w:r>
        <w:rPr>
          <w:rFonts w:ascii="Arial" w:hAnsi="Arial"/>
          <w:b w:val="0"/>
          <w:color w:val="333333"/>
          <w:sz w:val="22"/>
        </w:rPr>
        <w:t xml:space="preserve"> (peso aprendido — mais parâmetros = mais capacidade, mais exigência computacional), </w:t>
      </w:r>
      <w:r>
        <w:rPr>
          <w:rFonts w:ascii="Arial" w:hAnsi="Arial"/>
          <w:b/>
          <w:color w:val="333333"/>
          <w:sz w:val="22"/>
        </w:rPr>
        <w:t>contexto</w:t>
      </w:r>
      <w:r>
        <w:rPr>
          <w:rFonts w:ascii="Arial" w:hAnsi="Arial"/>
          <w:b w:val="0"/>
          <w:color w:val="333333"/>
          <w:sz w:val="22"/>
        </w:rPr>
        <w:t xml:space="preserve"> (quantos tokens processados por vez — 32k, 128k, 1M), </w:t>
      </w:r>
      <w:r>
        <w:rPr>
          <w:rFonts w:ascii="Arial" w:hAnsi="Arial"/>
          <w:b/>
          <w:color w:val="333333"/>
          <w:sz w:val="22"/>
        </w:rPr>
        <w:t>quantização</w:t>
      </w:r>
      <w:r>
        <w:rPr>
          <w:rFonts w:ascii="Arial" w:hAnsi="Arial"/>
          <w:b w:val="0"/>
          <w:color w:val="333333"/>
          <w:sz w:val="22"/>
        </w:rPr>
        <w:t xml:space="preserve"> (reduz representação numérica do peso — ex. Q4, 4 bits — para menos memória/mais velocidade com leve perda de qualidade, viabilizando rodar modelo de 20B com 16GB de RAM).</w:t>
      </w:r>
    </w:p>
    <w:p>
      <w:pPr>
        <w:spacing w:after="160"/>
      </w:pPr>
      <w:r>
        <w:rPr>
          <w:rFonts w:ascii="Arial" w:hAnsi="Arial"/>
          <w:b/>
          <w:color w:val="333333"/>
          <w:sz w:val="22"/>
        </w:rPr>
        <w:t>OpenRouter como orquestrador</w:t>
      </w:r>
      <w:r>
        <w:rPr>
          <w:rFonts w:ascii="Arial" w:hAnsi="Arial"/>
          <w:b w:val="0"/>
          <w:color w:val="333333"/>
          <w:sz w:val="22"/>
        </w:rPr>
        <w:t xml:space="preserve">: resolve o "caos" de manter múltiplas integrações (API key, SDK, formato, dashboard de billing distintos por provedor) — API unificada compatível com padrão OpenAI, permitindo trocar modelo/provedor por configuração. Funcionalidades: fallback automático, roteamento por custo/desempenho, billing consolidado, modelos gratuitos, e </w:t>
      </w:r>
      <w:r>
        <w:rPr>
          <w:rFonts w:ascii="Arial" w:hAnsi="Arial"/>
          <w:b/>
          <w:color w:val="333333"/>
          <w:sz w:val="22"/>
        </w:rPr>
        <w:t>BYOK</w:t>
      </w:r>
      <w:r>
        <w:rPr>
          <w:rFonts w:ascii="Arial" w:hAnsi="Arial"/>
          <w:b w:val="0"/>
          <w:color w:val="333333"/>
          <w:sz w:val="22"/>
        </w:rPr>
        <w:t xml:space="preserve"> (Bring Your Own Key — plugar a própria chave da OpenAI/Anthropic mantendo controle da cota enquanto aproveita o orquestrador).</w:t>
      </w:r>
    </w:p>
    <w:p>
      <w:pPr>
        <w:spacing w:before="120" w:after="120"/>
        <w:ind w:left="360" w:right="360"/>
        <w:shd w:val="clear" w:fill="F5F5F5"/>
        <w:pBdr>
          <w:left w:val="single" w:color="2E75B6" w:sz="4" w:space="10"/>
        </w:pBdr>
      </w:pPr>
      <w:r>
        <w:rPr>
          <w:rFonts w:ascii="Arial" w:hAnsi="Arial"/>
          <w:b w:val="0"/>
          <w:color w:val="333333"/>
          <w:sz w:val="22"/>
        </w:rPr>
        <w:t>⚠️ Cuidado de segurança destacado: nunca subir chave de API para controle de versão — o OpenRouter tem mecanismo de invalidar chave vazada automaticamente, mas a proteção correta é preventiva.</w:t>
      </w:r>
    </w:p>
    <w:p>
      <w:pPr>
        <w:pStyle w:val="Heading3"/>
        <w:spacing w:before="200" w:after="80"/>
      </w:pPr>
      <w:r>
        <w:rPr>
          <w:rFonts w:ascii="Arial" w:hAnsi="Arial"/>
          <w:b/>
          <w:color w:val="1F4D78"/>
          <w:sz w:val="24"/>
        </w:rPr>
        <w:t>Módulo 10 — RAG, Embeddings e Busca Semântica</w:t>
      </w:r>
    </w:p>
    <w:p>
      <w:pPr>
        <w:spacing w:after="160"/>
      </w:pPr>
      <w:r>
        <w:rPr>
          <w:rFonts w:ascii="Arial" w:hAnsi="Arial"/>
          <w:b/>
          <w:color w:val="333333"/>
          <w:sz w:val="22"/>
        </w:rPr>
        <w:t>RAG</w:t>
      </w:r>
      <w:r>
        <w:rPr>
          <w:rFonts w:ascii="Arial" w:hAnsi="Arial"/>
          <w:b w:val="0"/>
          <w:color w:val="333333"/>
          <w:sz w:val="22"/>
        </w:rPr>
        <w:t xml:space="preserve">: adiciona um passo de </w:t>
      </w:r>
      <w:r>
        <w:rPr>
          <w:rFonts w:ascii="Arial" w:hAnsi="Arial"/>
          <w:b/>
          <w:color w:val="333333"/>
          <w:sz w:val="22"/>
        </w:rPr>
        <w:t>busca de informação externa relevante</w:t>
      </w:r>
      <w:r>
        <w:rPr>
          <w:rFonts w:ascii="Arial" w:hAnsi="Arial"/>
          <w:b w:val="0"/>
          <w:color w:val="333333"/>
          <w:sz w:val="22"/>
        </w:rPr>
        <w:t xml:space="preserve"> antes da geração de resposta — em vez de depender só do que o modelo aprendeu no treino, injeta-se informação dinamicamente no contexto, permitindo resposta baseada em dado atualizado, privado ou específico de domínio. Conceito formalizado em paper de 2020.</w:t>
      </w:r>
    </w:p>
    <w:p>
      <w:pPr>
        <w:spacing w:after="160"/>
      </w:pPr>
      <w:r>
        <w:rPr>
          <w:rFonts w:ascii="Arial" w:hAnsi="Arial"/>
          <w:b w:val="0"/>
          <w:color w:val="333333"/>
          <w:sz w:val="22"/>
        </w:rPr>
        <w:t xml:space="preserve">Dois tipos de memória: </w:t>
      </w:r>
      <w:r>
        <w:rPr>
          <w:rFonts w:ascii="Arial" w:hAnsi="Arial"/>
          <w:b/>
          <w:color w:val="333333"/>
          <w:sz w:val="22"/>
        </w:rPr>
        <w:t>paramétrica</w:t>
      </w:r>
      <w:r>
        <w:rPr>
          <w:rFonts w:ascii="Arial" w:hAnsi="Arial"/>
          <w:b w:val="0"/>
          <w:color w:val="333333"/>
          <w:sz w:val="22"/>
        </w:rPr>
        <w:t xml:space="preserve"> (conhecimento codificado nos pesos do modelo, do treino) e </w:t>
      </w:r>
      <w:r>
        <w:rPr>
          <w:rFonts w:ascii="Arial" w:hAnsi="Arial"/>
          <w:b/>
          <w:color w:val="333333"/>
          <w:sz w:val="22"/>
        </w:rPr>
        <w:t>não paramétrica</w:t>
      </w:r>
      <w:r>
        <w:rPr>
          <w:rFonts w:ascii="Arial" w:hAnsi="Arial"/>
          <w:b w:val="0"/>
          <w:color w:val="333333"/>
          <w:sz w:val="22"/>
        </w:rPr>
        <w:t xml:space="preserve"> (base de dado externa, pesquisável, geralmente via índice vetorial). Fluxo em duas fases: </w:t>
      </w:r>
      <w:r>
        <w:rPr>
          <w:rFonts w:ascii="Arial" w:hAnsi="Arial"/>
          <w:b/>
          <w:color w:val="333333"/>
          <w:sz w:val="22"/>
        </w:rPr>
        <w:t>indexação</w:t>
      </w:r>
      <w:r>
        <w:rPr>
          <w:rFonts w:ascii="Arial" w:hAnsi="Arial"/>
          <w:b w:val="0"/>
          <w:color w:val="333333"/>
          <w:sz w:val="22"/>
        </w:rPr>
        <w:t xml:space="preserve"> (documento → chunk coerente → embedding → armazenado em banco vetorial) e </w:t>
      </w:r>
      <w:r>
        <w:rPr>
          <w:rFonts w:ascii="Arial" w:hAnsi="Arial"/>
          <w:b/>
          <w:color w:val="333333"/>
          <w:sz w:val="22"/>
        </w:rPr>
        <w:t>consulta</w:t>
      </w:r>
      <w:r>
        <w:rPr>
          <w:rFonts w:ascii="Arial" w:hAnsi="Arial"/>
          <w:b w:val="0"/>
          <w:color w:val="333333"/>
          <w:sz w:val="22"/>
        </w:rPr>
        <w:t xml:space="preserve"> (pergunta → embedding → busca por similaridade no banco → trechos relevantes injetados no prompt).</w:t>
      </w:r>
    </w:p>
    <w:p>
      <w:pPr>
        <w:spacing w:before="120" w:after="120"/>
        <w:ind w:left="360" w:right="360"/>
        <w:shd w:val="clear" w:fill="F5F5F5"/>
        <w:pBdr>
          <w:left w:val="single" w:color="2E75B6" w:sz="4" w:space="10"/>
        </w:pBdr>
      </w:pPr>
      <w:r>
        <w:rPr>
          <w:rFonts w:ascii="Arial" w:hAnsi="Arial"/>
          <w:b w:val="0"/>
          <w:color w:val="333333"/>
          <w:sz w:val="22"/>
        </w:rPr>
        <w:t xml:space="preserve">🔑 Regra fundamental: RAG ≠ MCP ≠ fine-tuning. RAG é </w:t>
      </w:r>
      <w:r>
        <w:rPr>
          <w:rFonts w:ascii="Arial" w:hAnsi="Arial"/>
          <w:b/>
          <w:color w:val="333333"/>
          <w:sz w:val="22"/>
        </w:rPr>
        <w:t>método de recuperar informação antes de responder</w:t>
      </w:r>
      <w:r>
        <w:rPr>
          <w:rFonts w:ascii="Arial" w:hAnsi="Arial"/>
          <w:b w:val="0"/>
          <w:color w:val="333333"/>
          <w:sz w:val="22"/>
        </w:rPr>
        <w:t xml:space="preserve"> (não altera peso do modelo); MCP é </w:t>
      </w:r>
      <w:r>
        <w:rPr>
          <w:rFonts w:ascii="Arial" w:hAnsi="Arial"/>
          <w:b/>
          <w:color w:val="333333"/>
          <w:sz w:val="22"/>
        </w:rPr>
        <w:t>protocolo de integração com ferramenta externa</w:t>
      </w:r>
      <w:r>
        <w:rPr>
          <w:rFonts w:ascii="Arial" w:hAnsi="Arial"/>
          <w:b w:val="0"/>
          <w:color w:val="333333"/>
          <w:sz w:val="22"/>
        </w:rPr>
        <w:t xml:space="preserve"> (pode servir como canal para RAG, mas não é em si um método de recuperação); fine-tuning </w:t>
      </w:r>
      <w:r>
        <w:rPr>
          <w:rFonts w:ascii="Arial" w:hAnsi="Arial"/>
          <w:b/>
          <w:color w:val="333333"/>
          <w:sz w:val="22"/>
        </w:rPr>
        <w:t>ajusta os pesos do modelo permanentemente</w:t>
      </w:r>
      <w:r>
        <w:rPr>
          <w:rFonts w:ascii="Arial" w:hAnsi="Arial"/>
          <w:b w:val="0"/>
          <w:color w:val="333333"/>
          <w:sz w:val="22"/>
        </w:rPr>
        <w:t xml:space="preserve"> (custo/tempo de treino, mas memória persistente) — dar contexto via RAG é diferente de treinar: o conhecimento é descartado ao final da interação, não incorporado ao modelo.</w:t>
      </w:r>
    </w:p>
    <w:p>
      <w:pPr>
        <w:spacing w:after="160"/>
      </w:pPr>
      <w:r>
        <w:rPr>
          <w:rFonts w:ascii="Arial" w:hAnsi="Arial"/>
          <w:b/>
          <w:color w:val="333333"/>
          <w:sz w:val="22"/>
        </w:rPr>
        <w:t>Embeddings</w:t>
      </w:r>
      <w:r>
        <w:rPr>
          <w:rFonts w:ascii="Arial" w:hAnsi="Arial"/>
          <w:b w:val="0"/>
          <w:color w:val="333333"/>
          <w:sz w:val="22"/>
        </w:rPr>
        <w:t xml:space="preserve">: representação numérica de significado — busca por similaridade opera no </w:t>
      </w:r>
      <w:r>
        <w:rPr>
          <w:rFonts w:ascii="Arial" w:hAnsi="Arial"/>
          <w:b/>
          <w:color w:val="333333"/>
          <w:sz w:val="22"/>
        </w:rPr>
        <w:t>sentido</w:t>
      </w:r>
      <w:r>
        <w:rPr>
          <w:rFonts w:ascii="Arial" w:hAnsi="Arial"/>
          <w:b w:val="0"/>
          <w:color w:val="333333"/>
          <w:sz w:val="22"/>
        </w:rPr>
        <w:t xml:space="preserve">, não na forma literal (diferente de </w:t>
      </w:r>
      <w:r>
        <w:rPr>
          <w:rFonts w:ascii="Courier New" w:hAnsi="Courier New"/>
          <w:color w:val="333333"/>
          <w:sz w:val="20"/>
        </w:rPr>
        <w:t>Ctrl+F</w:t>
      </w:r>
      <w:r>
        <w:rPr>
          <w:rFonts w:ascii="Arial" w:hAnsi="Arial"/>
          <w:b w:val="0"/>
          <w:color w:val="333333"/>
          <w:sz w:val="22"/>
        </w:rPr>
        <w:t>), permitindo encontrar trecho relevante mesmo quando o termo exato buscado não aparece no texto original.</w:t>
      </w:r>
    </w:p>
    <w:p>
      <w:pPr>
        <w:spacing w:after="160"/>
      </w:pPr>
      <w:r>
        <w:rPr>
          <w:rFonts w:ascii="Arial" w:hAnsi="Arial"/>
          <w:b/>
          <w:color w:val="333333"/>
          <w:sz w:val="22"/>
        </w:rPr>
        <w:t>Neo4j como banco vetorial</w:t>
      </w:r>
      <w:r>
        <w:rPr>
          <w:rFonts w:ascii="Arial" w:hAnsi="Arial"/>
          <w:b w:val="0"/>
          <w:color w:val="333333"/>
          <w:sz w:val="22"/>
        </w:rPr>
        <w:t>: apesar de conhecido como banco de grafo, funciona bem como vector database — chunk de texto vira nó, embedding vira propriedade, índice vetorial permite consulta por similaridade retornando os trechos mais próximos; metadado (título, seção, timestamp) enriquece e estabiliza a consulta.</w:t>
      </w:r>
    </w:p>
    <w:p>
      <w:pPr>
        <w:spacing w:before="120" w:after="120"/>
        <w:ind w:left="360" w:right="360"/>
        <w:shd w:val="clear" w:fill="F5F5F5"/>
        <w:pBdr>
          <w:left w:val="single" w:color="2E75B6" w:sz="4" w:space="10"/>
        </w:pBdr>
      </w:pPr>
      <w:r>
        <w:rPr>
          <w:rFonts w:ascii="Arial" w:hAnsi="Arial"/>
          <w:b w:val="0"/>
          <w:color w:val="333333"/>
          <w:sz w:val="22"/>
        </w:rPr>
        <w:t xml:space="preserve">✅ Resultado/Conclusão: geração local de embedding (via Transformer.js, sem chave de API, sem Docker) demonstra que é possível construir RAG funcional 100% local — o projeto final (transcrição em PDF → chunk → embedding → Neo4j → busca por similaridade) prova o mecanismo de recuperação </w:t>
      </w:r>
      <w:r>
        <w:rPr>
          <w:rFonts w:ascii="Arial" w:hAnsi="Arial"/>
          <w:b/>
          <w:color w:val="333333"/>
          <w:sz w:val="22"/>
        </w:rPr>
        <w:t>antes mesmo</w:t>
      </w:r>
      <w:r>
        <w:rPr>
          <w:rFonts w:ascii="Arial" w:hAnsi="Arial"/>
          <w:b w:val="0"/>
          <w:color w:val="333333"/>
          <w:sz w:val="22"/>
        </w:rPr>
        <w:t xml:space="preserve"> de acoplar um modelo generativo, deixando claro que a qualidade de um sistema de IA depende tanto da engenharia de dado (chunking, metadado, indexação) quanto do modelo em si.</w:t>
      </w:r>
    </w:p>
    <w:p>
      <w:pPr>
        <w:pStyle w:val="Heading2"/>
        <w:spacing w:before="360" w:after="160"/>
      </w:pPr>
      <w:r>
        <w:rPr>
          <w:rFonts w:ascii="Arial" w:hAnsi="Arial"/>
          <w:b/>
          <w:color w:val="2E74B5"/>
          <w:sz w:val="28"/>
        </w:rPr>
        <w:t>3. Detalhes de Implementação</w:t>
      </w:r>
    </w:p>
    <w:p>
      <w:pPr>
        <w:spacing w:after="160"/>
      </w:pPr>
      <w:r>
        <w:rPr>
          <w:rFonts w:ascii="Arial" w:hAnsi="Arial"/>
          <w:b w:val="0"/>
          <w:color w:val="333333"/>
          <w:sz w:val="22"/>
        </w:rPr>
        <w:t xml:space="preserve">Os projetos principais do módulo (recomendador neural, RAG com embeddings, chat multi-modelo via OpenRouter, chat local via Ollama) foram portados 1:1 para Java (Spring Boot) e Go, replicando a lógica do JavaScript/TensorFlow.js original — com destaque para os dois projetos de rede neural implementados </w:t>
      </w:r>
      <w:r>
        <w:rPr>
          <w:rFonts w:ascii="Arial" w:hAnsi="Arial"/>
          <w:b/>
          <w:color w:val="333333"/>
          <w:sz w:val="22"/>
        </w:rPr>
        <w:t>do zero</w:t>
      </w:r>
      <w:r>
        <w:rPr>
          <w:rFonts w:ascii="Arial" w:hAnsi="Arial"/>
          <w:b w:val="0"/>
          <w:color w:val="333333"/>
          <w:sz w:val="22"/>
        </w:rPr>
        <w:t>, sem framework de ML.</w:t>
      </w:r>
    </w:p>
    <w:p>
      <w:pPr>
        <w:pStyle w:val="Heading3"/>
        <w:spacing w:before="200" w:after="80"/>
      </w:pPr>
      <w:r>
        <w:rPr>
          <w:rFonts w:ascii="Arial" w:hAnsi="Arial"/>
          <w:b/>
          <w:color w:val="1F4D78"/>
          <w:sz w:val="24"/>
        </w:rPr>
        <w:t>3.1 E-commerce Neural Recommender — Go</w:t>
      </w:r>
    </w:p>
    <w:p>
      <w:pPr>
        <w:spacing w:after="160"/>
      </w:pPr>
      <w:r>
        <w:rPr>
          <w:rFonts w:ascii="Arial" w:hAnsi="Arial"/>
          <w:b w:val="0"/>
          <w:color w:val="333333"/>
          <w:sz w:val="22"/>
        </w:rPr>
        <w:t xml:space="preserve">O que faz: replica o sistema de recomendação do Módulo 03, com rede neural feedforward implementada </w:t>
      </w:r>
      <w:r>
        <w:rPr>
          <w:rFonts w:ascii="Arial" w:hAnsi="Arial"/>
          <w:b/>
          <w:color w:val="333333"/>
          <w:sz w:val="22"/>
        </w:rPr>
        <w:t>do zero</w:t>
      </w:r>
      <w:r>
        <w:rPr>
          <w:rFonts w:ascii="Arial" w:hAnsi="Arial"/>
          <w:b w:val="0"/>
          <w:color w:val="333333"/>
          <w:sz w:val="22"/>
        </w:rPr>
        <w:t xml:space="preserve"> (sem framework de ML — nem a versão Java usa um), mesma arquitetura </w:t>
      </w:r>
      <w:r>
        <w:rPr>
          <w:rFonts w:ascii="Courier New" w:hAnsi="Courier New"/>
          <w:color w:val="333333"/>
          <w:sz w:val="20"/>
        </w:rPr>
        <w:t>[inputDim, 128, 64, 32, 1]</w:t>
      </w:r>
      <w:r>
        <w:rPr>
          <w:rFonts w:ascii="Arial" w:hAnsi="Arial"/>
          <w:b w:val="0"/>
          <w:color w:val="333333"/>
          <w:sz w:val="22"/>
        </w:rPr>
        <w:t>, ReLU nas camadas ocultas, Sigmoid na saída.</w:t>
      </w:r>
    </w:p>
    <w:p>
      <w:pPr>
        <w:spacing w:after="160"/>
      </w:pPr>
      <w:r>
        <w:rPr>
          <w:rFonts w:ascii="Arial" w:hAnsi="Arial"/>
          <w:b w:val="0"/>
          <w:color w:val="333333"/>
          <w:sz w:val="22"/>
        </w:rPr>
        <w:t>Fluxo de dados: catálogo de 10 produtos + 5 usuários de demonstração → codificação de feature com pesos (categoria=0.4, cor=0.3, preço=0.2, idade=0.1) → codificação de usuário (média dos vetores dos produtos comprados, ou só idade normalizada sem histórico) → treino com SGD + backpropagation manual, loss Binary Cross-Entropy, 100 épocas, learning rate 0.01, shuffle a cada época → recomendação para os 3 cenários de demonstração (usuário cadastrado, usuário novo sem histórico, usuário com histórico restrito a uma categoria).</w:t>
      </w:r>
    </w:p>
    <w:p>
      <w:pPr>
        <w:spacing w:after="160"/>
      </w:pPr>
      <w:r>
        <w:rPr>
          <w:rFonts w:ascii="Arial" w:hAnsi="Arial"/>
          <w:b w:val="0"/>
          <w:color w:val="333333"/>
          <w:sz w:val="22"/>
        </w:rPr>
        <w:t>Trecho de código (Go) — inicialização de peso He com seed fixo, garantindo reprodutibilidade idêntica entre execuções (mesmo princípio usado no original JS):</w:t>
      </w:r>
    </w:p>
    <w:p>
      <w:pPr>
        <w:spacing w:before="20" w:after="20"/>
        <w:ind w:left="360"/>
        <w:shd w:val="clear" w:fill="F0F0F0"/>
      </w:pPr>
      <w:r>
        <w:rPr>
          <w:rFonts w:ascii="Courier New" w:hAnsi="Courier New"/>
          <w:color w:val="333333"/>
          <w:sz w:val="18"/>
        </w:rPr>
        <w:t>func heInit(rng *rand.Rand, fanIn, fanOut int) [][]float64 {</w:t>
      </w:r>
    </w:p>
    <w:p>
      <w:pPr>
        <w:spacing w:before="20" w:after="20"/>
        <w:ind w:left="360"/>
        <w:shd w:val="clear" w:fill="F0F0F0"/>
      </w:pPr>
      <w:r>
        <w:rPr>
          <w:rFonts w:ascii="Courier New" w:hAnsi="Courier New"/>
          <w:color w:val="333333"/>
          <w:sz w:val="18"/>
        </w:rPr>
        <w:t xml:space="preserve">    std := math.Sqrt(2.0 / float64(fanIn))</w:t>
      </w:r>
    </w:p>
    <w:p>
      <w:pPr>
        <w:spacing w:before="20" w:after="20"/>
        <w:ind w:left="360"/>
        <w:shd w:val="clear" w:fill="F0F0F0"/>
      </w:pPr>
      <w:r>
        <w:rPr>
          <w:rFonts w:ascii="Courier New" w:hAnsi="Courier New"/>
          <w:color w:val="333333"/>
          <w:sz w:val="18"/>
        </w:rPr>
        <w:t xml:space="preserve">    w := make([][]float64, fanIn)</w:t>
      </w:r>
    </w:p>
    <w:p>
      <w:pPr>
        <w:spacing w:before="20" w:after="20"/>
        <w:ind w:left="360"/>
        <w:shd w:val="clear" w:fill="F0F0F0"/>
      </w:pPr>
      <w:r>
        <w:rPr>
          <w:rFonts w:ascii="Courier New" w:hAnsi="Courier New"/>
          <w:color w:val="333333"/>
          <w:sz w:val="18"/>
        </w:rPr>
        <w:t xml:space="preserve">    for i := range w {</w:t>
      </w:r>
    </w:p>
    <w:p>
      <w:pPr>
        <w:spacing w:before="20" w:after="20"/>
        <w:ind w:left="360"/>
        <w:shd w:val="clear" w:fill="F0F0F0"/>
      </w:pPr>
      <w:r>
        <w:rPr>
          <w:rFonts w:ascii="Courier New" w:hAnsi="Courier New"/>
          <w:color w:val="333333"/>
          <w:sz w:val="18"/>
        </w:rPr>
        <w:t xml:space="preserve">        w[i] = make([]float64, fanOut)</w:t>
      </w:r>
    </w:p>
    <w:p>
      <w:pPr>
        <w:spacing w:before="20" w:after="20"/>
        <w:ind w:left="360"/>
        <w:shd w:val="clear" w:fill="F0F0F0"/>
      </w:pPr>
      <w:r>
        <w:rPr>
          <w:rFonts w:ascii="Courier New" w:hAnsi="Courier New"/>
          <w:color w:val="333333"/>
          <w:sz w:val="18"/>
        </w:rPr>
        <w:t xml:space="preserve">        for j := range w[i] {</w:t>
      </w:r>
    </w:p>
    <w:p>
      <w:pPr>
        <w:spacing w:before="20" w:after="20"/>
        <w:ind w:left="360"/>
        <w:shd w:val="clear" w:fill="F0F0F0"/>
      </w:pPr>
      <w:r>
        <w:rPr>
          <w:rFonts w:ascii="Courier New" w:hAnsi="Courier New"/>
          <w:color w:val="333333"/>
          <w:sz w:val="18"/>
        </w:rPr>
        <w:t xml:space="preserve">            w[i][j] = rng.NormFloat64() * std</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w:t>
      </w:r>
    </w:p>
    <w:p>
      <w:pPr>
        <w:spacing w:before="20" w:after="20"/>
        <w:ind w:left="360"/>
        <w:shd w:val="clear" w:fill="F0F0F0"/>
      </w:pPr>
      <w:r>
        <w:rPr>
          <w:rFonts w:ascii="Courier New" w:hAnsi="Courier New"/>
          <w:color w:val="333333"/>
          <w:sz w:val="18"/>
        </w:rPr>
        <w:t xml:space="preserve">    return w</w:t>
      </w:r>
    </w:p>
    <w:p>
      <w:pPr>
        <w:spacing w:before="20" w:after="20"/>
        <w:ind w:left="360"/>
        <w:shd w:val="clear" w:fill="F0F0F0"/>
      </w:pPr>
      <w:r>
        <w:rPr>
          <w:rFonts w:ascii="Courier New" w:hAnsi="Courier New"/>
          <w:color w:val="333333"/>
          <w:sz w:val="18"/>
        </w:rPr>
        <w:t>}</w:t>
      </w:r>
    </w:p>
    <w:p>
      <w:pPr>
        <w:spacing w:after="160"/>
      </w:pPr>
      <w:r>
        <w:rPr>
          <w:rFonts w:ascii="Arial" w:hAnsi="Arial"/>
          <w:b w:val="0"/>
          <w:color w:val="333333"/>
          <w:sz w:val="22"/>
        </w:rPr>
        <w:t xml:space="preserve">Arquitetura: sem dependência externa — </w:t>
      </w:r>
      <w:r>
        <w:rPr>
          <w:rFonts w:ascii="Courier New" w:hAnsi="Courier New"/>
          <w:color w:val="333333"/>
          <w:sz w:val="20"/>
        </w:rPr>
        <w:t>math</w:t>
      </w:r>
      <w:r>
        <w:rPr>
          <w:rFonts w:ascii="Arial" w:hAnsi="Arial"/>
          <w:b w:val="0"/>
          <w:color w:val="333333"/>
          <w:sz w:val="22"/>
        </w:rPr>
        <w:t>/</w:t>
      </w:r>
      <w:r>
        <w:rPr>
          <w:rFonts w:ascii="Courier New" w:hAnsi="Courier New"/>
          <w:color w:val="333333"/>
          <w:sz w:val="20"/>
        </w:rPr>
        <w:t>math/rand</w:t>
      </w:r>
      <w:r>
        <w:rPr>
          <w:rFonts w:ascii="Arial" w:hAnsi="Arial"/>
          <w:b w:val="0"/>
          <w:color w:val="333333"/>
          <w:sz w:val="22"/>
        </w:rPr>
        <w:t xml:space="preserve"> da stdlib substituem qualquer biblioteca de ML, com forward/backward/normalização como tradução direta da lógica matemática do JavaScript original, usando slice/map idiomático de Go em vez de </w:t>
      </w:r>
      <w:r>
        <w:rPr>
          <w:rFonts w:ascii="Courier New" w:hAnsi="Courier New"/>
          <w:color w:val="333333"/>
          <w:sz w:val="20"/>
        </w:rPr>
        <w:t>List</w:t>
      </w:r>
      <w:r>
        <w:rPr>
          <w:rFonts w:ascii="Arial" w:hAnsi="Arial"/>
          <w:b w:val="0"/>
          <w:color w:val="333333"/>
          <w:sz w:val="22"/>
        </w:rPr>
        <w:t>/</w:t>
      </w:r>
      <w:r>
        <w:rPr>
          <w:rFonts w:ascii="Courier New" w:hAnsi="Courier New"/>
          <w:color w:val="333333"/>
          <w:sz w:val="20"/>
        </w:rPr>
        <w:t>Map</w:t>
      </w:r>
      <w:r>
        <w:rPr>
          <w:rFonts w:ascii="Arial" w:hAnsi="Arial"/>
          <w:b w:val="0"/>
          <w:color w:val="333333"/>
          <w:sz w:val="22"/>
        </w:rPr>
        <w:t xml:space="preserve"> do Java.</w:t>
      </w:r>
    </w:p>
    <w:p>
      <w:pPr>
        <w:spacing w:after="160"/>
      </w:pPr>
      <w:r>
        <w:rPr>
          <w:rFonts w:ascii="Arial" w:hAnsi="Arial"/>
          <w:b w:val="0"/>
          <w:color w:val="333333"/>
          <w:sz w:val="22"/>
        </w:rPr>
        <w:t xml:space="preserve">Como rodar: </w:t>
      </w:r>
      <w:r>
        <w:rPr>
          <w:rFonts w:ascii="Courier New" w:hAnsi="Courier New"/>
          <w:color w:val="333333"/>
          <w:sz w:val="20"/>
        </w:rPr>
        <w:t>go run .</w:t>
      </w:r>
      <w:r>
        <w:rPr>
          <w:rFonts w:ascii="Arial" w:hAnsi="Arial"/>
          <w:b w:val="0"/>
          <w:color w:val="333333"/>
          <w:sz w:val="22"/>
        </w:rPr>
        <w:t xml:space="preserve"> (sem configuração adicional).</w:t>
      </w:r>
    </w:p>
    <w:p>
      <w:pPr>
        <w:pStyle w:val="Heading3"/>
        <w:spacing w:before="200" w:after="80"/>
      </w:pPr>
      <w:r>
        <w:rPr>
          <w:rFonts w:ascii="Arial" w:hAnsi="Arial"/>
          <w:b/>
          <w:color w:val="1F4D78"/>
          <w:sz w:val="24"/>
        </w:rPr>
        <w:t>3.2 Embeddings + Vector Search com Neo4j — Go</w:t>
      </w:r>
    </w:p>
    <w:p>
      <w:pPr>
        <w:spacing w:after="160"/>
      </w:pPr>
      <w:r>
        <w:rPr>
          <w:rFonts w:ascii="Arial" w:hAnsi="Arial"/>
          <w:b w:val="0"/>
          <w:color w:val="333333"/>
          <w:sz w:val="22"/>
        </w:rPr>
        <w:t xml:space="preserve">O que faz: replica o Módulo 10 — geração de embedding local e busca por similaridade no Neo4j, </w:t>
      </w:r>
      <w:r>
        <w:rPr>
          <w:rFonts w:ascii="Arial" w:hAnsi="Arial"/>
          <w:b/>
          <w:color w:val="333333"/>
          <w:sz w:val="22"/>
        </w:rPr>
        <w:t>sem nenhuma chamada a LLM</w:t>
      </w:r>
      <w:r>
        <w:rPr>
          <w:rFonts w:ascii="Arial" w:hAnsi="Arial"/>
          <w:b w:val="0"/>
          <w:color w:val="333333"/>
          <w:sz w:val="22"/>
        </w:rPr>
        <w:t xml:space="preserve"> (só a metade "retrieval" do RAG, isolando o mecanismo de recuperação).</w:t>
      </w:r>
    </w:p>
    <w:p>
      <w:pPr>
        <w:spacing w:after="160"/>
      </w:pPr>
      <w:r>
        <w:rPr>
          <w:rFonts w:ascii="Arial" w:hAnsi="Arial"/>
          <w:b w:val="0"/>
          <w:color w:val="333333"/>
          <w:sz w:val="22"/>
        </w:rPr>
        <w:t xml:space="preserve">Fluxo de dados: PDF → dividido em chunk (1000 caracteres, 200 de overlap) → embedding gerado localmente → armazenado no Neo4j (nó </w:t>
      </w:r>
      <w:r>
        <w:rPr>
          <w:rFonts w:ascii="Courier New" w:hAnsi="Courier New"/>
          <w:color w:val="333333"/>
          <w:sz w:val="20"/>
        </w:rPr>
        <w:t>Chunk</w:t>
      </w:r>
      <w:r>
        <w:rPr>
          <w:rFonts w:ascii="Arial" w:hAnsi="Arial"/>
          <w:b w:val="0"/>
          <w:color w:val="333333"/>
          <w:sz w:val="22"/>
        </w:rPr>
        <w:t xml:space="preserve"> com propriedades </w:t>
      </w:r>
      <w:r>
        <w:rPr>
          <w:rFonts w:ascii="Courier New" w:hAnsi="Courier New"/>
          <w:color w:val="333333"/>
          <w:sz w:val="20"/>
        </w:rPr>
        <w:t>text</w:t>
      </w:r>
      <w:r>
        <w:rPr>
          <w:rFonts w:ascii="Arial" w:hAnsi="Arial"/>
          <w:b w:val="0"/>
          <w:color w:val="333333"/>
          <w:sz w:val="22"/>
        </w:rPr>
        <w:t>/</w:t>
      </w:r>
      <w:r>
        <w:rPr>
          <w:rFonts w:ascii="Courier New" w:hAnsi="Courier New"/>
          <w:color w:val="333333"/>
          <w:sz w:val="20"/>
        </w:rPr>
        <w:t>embedding</w:t>
      </w:r>
      <w:r>
        <w:rPr>
          <w:rFonts w:ascii="Arial" w:hAnsi="Arial"/>
          <w:b w:val="0"/>
          <w:color w:val="333333"/>
          <w:sz w:val="22"/>
        </w:rPr>
        <w:t xml:space="preserve">, índice vetorial </w:t>
      </w:r>
      <w:r>
        <w:rPr>
          <w:rFonts w:ascii="Courier New" w:hAnsi="Courier New"/>
          <w:color w:val="333333"/>
          <w:sz w:val="20"/>
        </w:rPr>
        <w:t>tensors_index</w:t>
      </w:r>
      <w:r>
        <w:rPr>
          <w:rFonts w:ascii="Arial" w:hAnsi="Arial"/>
          <w:b w:val="0"/>
          <w:color w:val="333333"/>
          <w:sz w:val="22"/>
        </w:rPr>
        <w:t>, similaridade de cosseno) → 5 perguntas de demonstração retornando top-3 resultados por similaridade.</w:t>
      </w:r>
    </w:p>
    <w:p>
      <w:pPr>
        <w:spacing w:after="160"/>
      </w:pPr>
      <w:r>
        <w:rPr>
          <w:rFonts w:ascii="Arial" w:hAnsi="Arial"/>
          <w:b w:val="0"/>
          <w:color w:val="333333"/>
          <w:sz w:val="22"/>
        </w:rPr>
        <w:t>Trecho de código (Go) — consulta por similaridade via índice vetorial nativo do Neo4j, chamado diretamente em Cypher (sem wrapper de embedding store como no Java):</w:t>
      </w:r>
    </w:p>
    <w:p>
      <w:pPr>
        <w:spacing w:before="20" w:after="20"/>
        <w:ind w:left="360"/>
        <w:shd w:val="clear" w:fill="F0F0F0"/>
      </w:pPr>
      <w:r>
        <w:rPr>
          <w:rFonts w:ascii="Courier New" w:hAnsi="Courier New"/>
          <w:color w:val="333333"/>
          <w:sz w:val="18"/>
        </w:rPr>
        <w:t>const querySimilarChunks = `</w:t>
      </w:r>
    </w:p>
    <w:p>
      <w:pPr>
        <w:spacing w:before="20" w:after="20"/>
        <w:ind w:left="360"/>
        <w:shd w:val="clear" w:fill="F0F0F0"/>
      </w:pPr>
      <w:r>
        <w:rPr>
          <w:rFonts w:ascii="Courier New" w:hAnsi="Courier New"/>
          <w:color w:val="333333"/>
          <w:sz w:val="18"/>
        </w:rPr>
        <w:t>CALL db.index.vector.queryNodes('tensors_index', $topK, $embedding)</w:t>
      </w:r>
    </w:p>
    <w:p>
      <w:pPr>
        <w:spacing w:before="20" w:after="20"/>
        <w:ind w:left="360"/>
        <w:shd w:val="clear" w:fill="F0F0F0"/>
      </w:pPr>
      <w:r>
        <w:rPr>
          <w:rFonts w:ascii="Courier New" w:hAnsi="Courier New"/>
          <w:color w:val="333333"/>
          <w:sz w:val="18"/>
        </w:rPr>
        <w:t>YIELD node, score</w:t>
      </w:r>
    </w:p>
    <w:p>
      <w:pPr>
        <w:spacing w:before="20" w:after="20"/>
        <w:ind w:left="360"/>
        <w:shd w:val="clear" w:fill="F0F0F0"/>
      </w:pPr>
      <w:r>
        <w:rPr>
          <w:rFonts w:ascii="Courier New" w:hAnsi="Courier New"/>
          <w:color w:val="333333"/>
          <w:sz w:val="18"/>
        </w:rPr>
        <w:t>RETURN node.text AS text, score</w:t>
      </w:r>
    </w:p>
    <w:p>
      <w:pPr>
        <w:spacing w:before="20" w:after="20"/>
        <w:ind w:left="360"/>
        <w:shd w:val="clear" w:fill="F0F0F0"/>
      </w:pPr>
      <w:r>
        <w:rPr>
          <w:rFonts w:ascii="Courier New" w:hAnsi="Courier New"/>
          <w:color w:val="333333"/>
          <w:sz w:val="18"/>
        </w:rPr>
        <w:t>ORDER BY score DESC</w:t>
      </w:r>
    </w:p>
    <w:p>
      <w:pPr>
        <w:spacing w:before="20" w:after="20"/>
        <w:ind w:left="360"/>
        <w:shd w:val="clear" w:fill="F0F0F0"/>
      </w:pPr>
      <w:r>
        <w:rPr>
          <w:rFonts w:ascii="Courier New" w:hAnsi="Courier New"/>
          <w:color w:val="333333"/>
          <w:sz w:val="18"/>
        </w:rPr>
        <w:t>`</w:t>
      </w:r>
    </w:p>
    <w:p>
      <w:pPr>
        <w:spacing w:after="160"/>
      </w:pPr>
      <w:r>
        <w:rPr>
          <w:rFonts w:ascii="Arial" w:hAnsi="Arial"/>
          <w:b w:val="0"/>
          <w:color w:val="333333"/>
          <w:sz w:val="22"/>
        </w:rPr>
        <w:t xml:space="preserve">Arquitetura: onde a versão Java usa </w:t>
      </w:r>
      <w:r>
        <w:rPr>
          <w:rFonts w:ascii="Courier New" w:hAnsi="Courier New"/>
          <w:color w:val="333333"/>
          <w:sz w:val="20"/>
        </w:rPr>
        <w:t>AllMiniLmL6V2EmbeddingModel</w:t>
      </w:r>
      <w:r>
        <w:rPr>
          <w:rFonts w:ascii="Arial" w:hAnsi="Arial"/>
          <w:b w:val="0"/>
          <w:color w:val="333333"/>
          <w:sz w:val="22"/>
        </w:rPr>
        <w:t xml:space="preserve"> (ONNX rodando in-process), a versão Go usa </w:t>
      </w:r>
      <w:r>
        <w:rPr>
          <w:rFonts w:ascii="Arial" w:hAnsi="Arial"/>
          <w:b/>
          <w:color w:val="333333"/>
          <w:sz w:val="22"/>
        </w:rPr>
        <w:t>Ollama local</w:t>
      </w:r>
      <w:r>
        <w:rPr>
          <w:rFonts w:ascii="Arial" w:hAnsi="Arial"/>
          <w:b w:val="0"/>
          <w:color w:val="333333"/>
          <w:sz w:val="22"/>
        </w:rPr>
        <w:t xml:space="preserve"> servindo o modelo </w:t>
      </w:r>
      <w:r>
        <w:rPr>
          <w:rFonts w:ascii="Courier New" w:hAnsi="Courier New"/>
          <w:color w:val="333333"/>
          <w:sz w:val="20"/>
        </w:rPr>
        <w:t>all-minilm</w:t>
      </w:r>
      <w:r>
        <w:rPr>
          <w:rFonts w:ascii="Arial" w:hAnsi="Arial"/>
          <w:b w:val="0"/>
          <w:color w:val="333333"/>
          <w:sz w:val="22"/>
        </w:rPr>
        <w:t xml:space="preserve"> via HTTP — Go não tem binding ONNX Runtime conveniente sem cgo, então o modelo de embedding vira um processo separado em vez de in-process, mantendo a mesma dimensão (384) e família de modelo. Parser de PDF via biblioteca pura-Go (</w:t>
      </w:r>
      <w:r>
        <w:rPr>
          <w:rFonts w:ascii="Courier New" w:hAnsi="Courier New"/>
          <w:color w:val="333333"/>
          <w:sz w:val="20"/>
        </w:rPr>
        <w:t>github.com/ledongthuc/pdf</w:t>
      </w:r>
      <w:r>
        <w:rPr>
          <w:rFonts w:ascii="Arial" w:hAnsi="Arial"/>
          <w:b w:val="0"/>
          <w:color w:val="333333"/>
          <w:sz w:val="22"/>
        </w:rPr>
        <w:t xml:space="preserve">, sem dependência nativa) em vez do Apache PDFBox; o </w:t>
      </w:r>
      <w:r>
        <w:rPr>
          <w:rFonts w:ascii="Arial" w:hAnsi="Arial"/>
          <w:i/>
          <w:color w:val="333333"/>
          <w:sz w:val="22"/>
        </w:rPr>
        <w:t>splitter</w:t>
      </w:r>
      <w:r>
        <w:rPr>
          <w:rFonts w:ascii="Arial" w:hAnsi="Arial"/>
          <w:b w:val="0"/>
          <w:color w:val="333333"/>
          <w:sz w:val="22"/>
        </w:rPr>
        <w:t xml:space="preserve"> recursivo (parágrafo → linha → frase → palavra, empacotado até o tamanho do chunk com overlap) foi reimplementado do zero, sem equivalente pronto em Go.</w:t>
      </w:r>
    </w:p>
    <w:p>
      <w:pPr>
        <w:spacing w:after="160"/>
      </w:pPr>
      <w:r>
        <w:rPr>
          <w:rFonts w:ascii="Arial" w:hAnsi="Arial"/>
          <w:b w:val="0"/>
          <w:color w:val="333333"/>
          <w:sz w:val="22"/>
        </w:rPr>
        <w:t xml:space="preserve">Como rodar: </w:t>
      </w:r>
      <w:r>
        <w:rPr>
          <w:rFonts w:ascii="Courier New" w:hAnsi="Courier New"/>
          <w:color w:val="333333"/>
          <w:sz w:val="20"/>
        </w:rPr>
        <w:t>ollama serve &amp;&amp; ollama pull all-minilm</w:t>
      </w:r>
      <w:r>
        <w:rPr>
          <w:rFonts w:ascii="Arial" w:hAnsi="Arial"/>
          <w:b w:val="0"/>
          <w:color w:val="333333"/>
          <w:sz w:val="22"/>
        </w:rPr>
        <w:t xml:space="preserve">, copiar o PDF de referência, </w:t>
      </w:r>
      <w:r>
        <w:rPr>
          <w:rFonts w:ascii="Courier New" w:hAnsi="Courier New"/>
          <w:color w:val="333333"/>
          <w:sz w:val="20"/>
        </w:rPr>
        <w:t>docker-compose up -d</w:t>
      </w:r>
      <w:r>
        <w:rPr>
          <w:rFonts w:ascii="Arial" w:hAnsi="Arial"/>
          <w:b w:val="0"/>
          <w:color w:val="333333"/>
          <w:sz w:val="22"/>
        </w:rPr>
        <w:t xml:space="preserve"> (Neo4j), </w:t>
      </w:r>
      <w:r>
        <w:rPr>
          <w:rFonts w:ascii="Courier New" w:hAnsi="Courier New"/>
          <w:color w:val="333333"/>
          <w:sz w:val="20"/>
        </w:rPr>
        <w:t>go run .</w:t>
      </w:r>
      <w:r>
        <w:rPr>
          <w:rFonts w:ascii="Arial" w:hAnsi="Arial"/>
          <w:b w:val="0"/>
          <w:color w:val="333333"/>
          <w:sz w:val="22"/>
        </w:rPr>
        <w:t>.</w:t>
      </w:r>
    </w:p>
    <w:p>
      <w:pPr>
        <w:pStyle w:val="Heading3"/>
        <w:spacing w:before="200" w:after="80"/>
      </w:pPr>
      <w:r>
        <w:rPr>
          <w:rFonts w:ascii="Arial" w:hAnsi="Arial"/>
          <w:b/>
          <w:color w:val="1F4D78"/>
          <w:sz w:val="24"/>
        </w:rPr>
        <w:t>3.3 OpenRouter Multi-Model Chat — Go</w:t>
      </w:r>
    </w:p>
    <w:p>
      <w:pPr>
        <w:spacing w:after="160"/>
      </w:pPr>
      <w:r>
        <w:rPr>
          <w:rFonts w:ascii="Arial" w:hAnsi="Arial"/>
          <w:b w:val="0"/>
          <w:color w:val="333333"/>
          <w:sz w:val="22"/>
        </w:rPr>
        <w:t>O que faz: replica o Módulo 09 — envia a mesma pergunta para 3 modelos gratuitos diferentes via OpenRouter, exibindo as respostas lado a lado no terminal.</w:t>
      </w:r>
    </w:p>
    <w:p>
      <w:pPr>
        <w:spacing w:after="160"/>
      </w:pPr>
      <w:r>
        <w:rPr>
          <w:rFonts w:ascii="Arial" w:hAnsi="Arial"/>
          <w:b w:val="0"/>
          <w:color w:val="333333"/>
          <w:sz w:val="22"/>
        </w:rPr>
        <w:t xml:space="preserve">Fluxo de dados: pergunta fixa → requisição HTTP para </w:t>
      </w:r>
      <w:r>
        <w:rPr>
          <w:rFonts w:ascii="Courier New" w:hAnsi="Courier New"/>
          <w:color w:val="333333"/>
          <w:sz w:val="20"/>
        </w:rPr>
        <w:t>google/gemma-3-27b-it:free</w:t>
      </w:r>
      <w:r>
        <w:rPr>
          <w:rFonts w:ascii="Arial" w:hAnsi="Arial"/>
          <w:b w:val="0"/>
          <w:color w:val="333333"/>
          <w:sz w:val="22"/>
        </w:rPr>
        <w:t xml:space="preserve">, </w:t>
      </w:r>
      <w:r>
        <w:rPr>
          <w:rFonts w:ascii="Courier New" w:hAnsi="Courier New"/>
          <w:color w:val="333333"/>
          <w:sz w:val="20"/>
        </w:rPr>
        <w:t>meta-llama/llama-3.2-3b-instruct:free</w:t>
      </w:r>
      <w:r>
        <w:rPr>
          <w:rFonts w:ascii="Arial" w:hAnsi="Arial"/>
          <w:b w:val="0"/>
          <w:color w:val="333333"/>
          <w:sz w:val="22"/>
        </w:rPr>
        <w:t xml:space="preserve">, </w:t>
      </w:r>
      <w:r>
        <w:rPr>
          <w:rFonts w:ascii="Courier New" w:hAnsi="Courier New"/>
          <w:color w:val="333333"/>
          <w:sz w:val="20"/>
        </w:rPr>
        <w:t>mistralai/mistral-7b-instruct:free</w:t>
      </w:r>
      <w:r>
        <w:rPr>
          <w:rFonts w:ascii="Arial" w:hAnsi="Arial"/>
          <w:b w:val="0"/>
          <w:color w:val="333333"/>
          <w:sz w:val="22"/>
        </w:rPr>
        <w:t xml:space="preserve"> → resposta de cada modelo formatada com separador no terminal.</w:t>
      </w:r>
    </w:p>
    <w:p>
      <w:pPr>
        <w:spacing w:after="160"/>
      </w:pPr>
      <w:r>
        <w:rPr>
          <w:rFonts w:ascii="Arial" w:hAnsi="Arial"/>
          <w:b w:val="0"/>
          <w:color w:val="333333"/>
          <w:sz w:val="22"/>
        </w:rPr>
        <w:t>Arquitetura: como Go não tem uma biblioteca de orquestração de LLM tão madura quanto o LangChain4j do Java, o port usa cliente HTTP mínimo (</w:t>
      </w:r>
      <w:r>
        <w:rPr>
          <w:rFonts w:ascii="Courier New" w:hAnsi="Courier New"/>
          <w:color w:val="333333"/>
          <w:sz w:val="20"/>
        </w:rPr>
        <w:t>openrouter/</w:t>
      </w:r>
      <w:r>
        <w:rPr>
          <w:rFonts w:ascii="Arial" w:hAnsi="Arial"/>
          <w:b w:val="0"/>
          <w:color w:val="333333"/>
          <w:sz w:val="22"/>
        </w:rPr>
        <w:t xml:space="preserve">, só </w:t>
      </w:r>
      <w:r>
        <w:rPr>
          <w:rFonts w:ascii="Courier New" w:hAnsi="Courier New"/>
          <w:color w:val="333333"/>
          <w:sz w:val="20"/>
        </w:rPr>
        <w:t>net/http</w:t>
      </w:r>
      <w:r>
        <w:rPr>
          <w:rFonts w:ascii="Arial" w:hAnsi="Arial"/>
          <w:b w:val="0"/>
          <w:color w:val="333333"/>
          <w:sz w:val="22"/>
        </w:rPr>
        <w:t>+</w:t>
      </w:r>
      <w:r>
        <w:rPr>
          <w:rFonts w:ascii="Courier New" w:hAnsi="Courier New"/>
          <w:color w:val="333333"/>
          <w:sz w:val="20"/>
        </w:rPr>
        <w:t>encoding/json</w:t>
      </w:r>
      <w:r>
        <w:rPr>
          <w:rFonts w:ascii="Arial" w:hAnsi="Arial"/>
          <w:b w:val="0"/>
          <w:color w:val="333333"/>
          <w:sz w:val="22"/>
        </w:rPr>
        <w:t xml:space="preserve"> da stdlib) falando diretamente com </w:t>
      </w:r>
      <w:r>
        <w:rPr>
          <w:rFonts w:ascii="Courier New" w:hAnsi="Courier New"/>
          <w:color w:val="333333"/>
          <w:sz w:val="20"/>
        </w:rPr>
        <w:t>/chat/completions</w:t>
      </w:r>
      <w:r>
        <w:rPr>
          <w:rFonts w:ascii="Arial" w:hAnsi="Arial"/>
          <w:b w:val="0"/>
          <w:color w:val="333333"/>
          <w:sz w:val="22"/>
        </w:rPr>
        <w:t xml:space="preserve"> — no mesmo espírito do exemplo original em </w:t>
      </w:r>
      <w:r>
        <w:rPr>
          <w:rFonts w:ascii="Courier New" w:hAnsi="Courier New"/>
          <w:color w:val="333333"/>
          <w:sz w:val="20"/>
        </w:rPr>
        <w:t>curl</w:t>
      </w:r>
      <w:r>
        <w:rPr>
          <w:rFonts w:ascii="Arial" w:hAnsi="Arial"/>
          <w:b w:val="0"/>
          <w:color w:val="333333"/>
          <w:sz w:val="22"/>
        </w:rPr>
        <w:t xml:space="preserve"> que inspirou o projeto. Diferença notável: a versão Go </w:t>
      </w:r>
      <w:r>
        <w:rPr>
          <w:rFonts w:ascii="Arial" w:hAnsi="Arial"/>
          <w:b/>
          <w:color w:val="333333"/>
          <w:sz w:val="22"/>
        </w:rPr>
        <w:t>envia</w:t>
      </w:r>
      <w:r>
        <w:rPr>
          <w:rFonts w:ascii="Arial" w:hAnsi="Arial"/>
          <w:b w:val="0"/>
          <w:color w:val="333333"/>
          <w:sz w:val="22"/>
        </w:rPr>
        <w:t xml:space="preserve"> os headers opcionais </w:t>
      </w:r>
      <w:r>
        <w:rPr>
          <w:rFonts w:ascii="Courier New" w:hAnsi="Courier New"/>
          <w:color w:val="333333"/>
          <w:sz w:val="20"/>
        </w:rPr>
        <w:t>HTTP-Referer</w:t>
      </w:r>
      <w:r>
        <w:rPr>
          <w:rFonts w:ascii="Arial" w:hAnsi="Arial"/>
          <w:b w:val="0"/>
          <w:color w:val="333333"/>
          <w:sz w:val="22"/>
        </w:rPr>
        <w:t>/</w:t>
      </w:r>
      <w:r>
        <w:rPr>
          <w:rFonts w:ascii="Courier New" w:hAnsi="Courier New"/>
          <w:color w:val="333333"/>
          <w:sz w:val="20"/>
        </w:rPr>
        <w:t>X-Title</w:t>
      </w:r>
      <w:r>
        <w:rPr>
          <w:rFonts w:ascii="Arial" w:hAnsi="Arial"/>
          <w:b w:val="0"/>
          <w:color w:val="333333"/>
          <w:sz w:val="22"/>
        </w:rPr>
        <w:t xml:space="preserve"> recomendados pelo OpenRouter, que a versão Java não enviava porque o </w:t>
      </w:r>
      <w:r>
        <w:rPr>
          <w:rFonts w:ascii="Courier New" w:hAnsi="Courier New"/>
          <w:color w:val="333333"/>
          <w:sz w:val="20"/>
        </w:rPr>
        <w:t>OpenAiChatModel</w:t>
      </w:r>
      <w:r>
        <w:rPr>
          <w:rFonts w:ascii="Arial" w:hAnsi="Arial"/>
          <w:b w:val="0"/>
          <w:color w:val="333333"/>
          <w:sz w:val="22"/>
        </w:rPr>
        <w:t xml:space="preserve"> do LangChain4j não expõe headers customizados na API de alto nível — o cliente HTTP explícito do Go permitiu essa aderência extra à recomendação do provedor.</w:t>
      </w:r>
    </w:p>
    <w:p>
      <w:pPr>
        <w:spacing w:after="160"/>
      </w:pPr>
      <w:r>
        <w:rPr>
          <w:rFonts w:ascii="Arial" w:hAnsi="Arial"/>
          <w:b w:val="0"/>
          <w:color w:val="333333"/>
          <w:sz w:val="22"/>
        </w:rPr>
        <w:t xml:space="preserve">Como rodar: </w:t>
      </w:r>
      <w:r>
        <w:rPr>
          <w:rFonts w:ascii="Courier New" w:hAnsi="Courier New"/>
          <w:color w:val="333333"/>
          <w:sz w:val="20"/>
        </w:rPr>
        <w:t>cp .env.example .env</w:t>
      </w:r>
      <w:r>
        <w:rPr>
          <w:rFonts w:ascii="Arial" w:hAnsi="Arial"/>
          <w:b w:val="0"/>
          <w:color w:val="333333"/>
          <w:sz w:val="22"/>
        </w:rPr>
        <w:t xml:space="preserve"> (com </w:t>
      </w:r>
      <w:r>
        <w:rPr>
          <w:rFonts w:ascii="Courier New" w:hAnsi="Courier New"/>
          <w:color w:val="333333"/>
          <w:sz w:val="20"/>
        </w:rPr>
        <w:t>OPENROUTER_API_KEY</w:t>
      </w:r>
      <w:r>
        <w:rPr>
          <w:rFonts w:ascii="Arial" w:hAnsi="Arial"/>
          <w:b w:val="0"/>
          <w:color w:val="333333"/>
          <w:sz w:val="22"/>
        </w:rPr>
        <w:t xml:space="preserve">) e </w:t>
      </w:r>
      <w:r>
        <w:rPr>
          <w:rFonts w:ascii="Courier New" w:hAnsi="Courier New"/>
          <w:color w:val="333333"/>
          <w:sz w:val="20"/>
        </w:rPr>
        <w:t>go run .</w:t>
      </w:r>
      <w:r>
        <w:rPr>
          <w:rFonts w:ascii="Arial" w:hAnsi="Arial"/>
          <w:b w:val="0"/>
          <w:color w:val="333333"/>
          <w:sz w:val="22"/>
        </w:rPr>
        <w:t>.</w:t>
      </w:r>
    </w:p>
    <w:p>
      <w:pPr>
        <w:pStyle w:val="Heading3"/>
        <w:spacing w:before="200" w:after="80"/>
      </w:pPr>
      <w:r>
        <w:rPr>
          <w:rFonts w:ascii="Arial" w:hAnsi="Arial"/>
          <w:b/>
          <w:color w:val="1F4D78"/>
          <w:sz w:val="24"/>
        </w:rPr>
        <w:t>3.4 Ollama Local LLM Chat — Go</w:t>
      </w:r>
    </w:p>
    <w:p>
      <w:pPr>
        <w:spacing w:after="160"/>
      </w:pPr>
      <w:r>
        <w:rPr>
          <w:rFonts w:ascii="Arial" w:hAnsi="Arial"/>
          <w:b w:val="0"/>
          <w:color w:val="333333"/>
          <w:sz w:val="22"/>
        </w:rPr>
        <w:t>O que faz: replica o Módulo 09 — chat com modelo rodando localmente via Ollama, usando sua API compatível com OpenAI (</w:t>
      </w:r>
      <w:r>
        <w:rPr>
          <w:rFonts w:ascii="Courier New" w:hAnsi="Courier New"/>
          <w:color w:val="333333"/>
          <w:sz w:val="20"/>
        </w:rPr>
        <w:t>http://localhost:11434/v1</w:t>
      </w:r>
      <w:r>
        <w:rPr>
          <w:rFonts w:ascii="Arial" w:hAnsi="Arial"/>
          <w:b w:val="0"/>
          <w:color w:val="333333"/>
          <w:sz w:val="22"/>
        </w:rPr>
        <w:t>).</w:t>
      </w:r>
    </w:p>
    <w:p>
      <w:pPr>
        <w:spacing w:after="160"/>
      </w:pPr>
      <w:r>
        <w:rPr>
          <w:rFonts w:ascii="Arial" w:hAnsi="Arial"/>
          <w:b w:val="0"/>
          <w:color w:val="333333"/>
          <w:sz w:val="22"/>
        </w:rPr>
        <w:t>Fluxo de dados: 5 perguntas de demonstração (mesma ordem do original) → requisição ao endpoint local → resposta com tempo de resposta medido por pergunta; se a chamada falhar, mensagem de orientação (</w:t>
      </w:r>
      <w:r>
        <w:rPr>
          <w:rFonts w:ascii="Courier New" w:hAnsi="Courier New"/>
          <w:color w:val="333333"/>
          <w:sz w:val="20"/>
        </w:rPr>
        <w:t>ollama serve</w:t>
      </w:r>
      <w:r>
        <w:rPr>
          <w:rFonts w:ascii="Arial" w:hAnsi="Arial"/>
          <w:b w:val="0"/>
          <w:color w:val="333333"/>
          <w:sz w:val="22"/>
        </w:rPr>
        <w:t>/</w:t>
      </w:r>
      <w:r>
        <w:rPr>
          <w:rFonts w:ascii="Courier New" w:hAnsi="Courier New"/>
          <w:color w:val="333333"/>
          <w:sz w:val="20"/>
        </w:rPr>
        <w:t>ollama pull &lt;modelo&gt;</w:t>
      </w:r>
      <w:r>
        <w:rPr>
          <w:rFonts w:ascii="Arial" w:hAnsi="Arial"/>
          <w:b w:val="0"/>
          <w:color w:val="333333"/>
          <w:sz w:val="22"/>
        </w:rPr>
        <w:t>).</w:t>
      </w:r>
    </w:p>
    <w:p>
      <w:pPr>
        <w:spacing w:after="160"/>
      </w:pPr>
      <w:r>
        <w:rPr>
          <w:rFonts w:ascii="Arial" w:hAnsi="Arial"/>
          <w:b w:val="0"/>
          <w:color w:val="333333"/>
          <w:sz w:val="22"/>
        </w:rPr>
        <w:t>Arquitetura: mesmo padrão do OpenRouter Multi-Model Chat — cliente HTTP direto (</w:t>
      </w:r>
      <w:r>
        <w:rPr>
          <w:rFonts w:ascii="Courier New" w:hAnsi="Courier New"/>
          <w:color w:val="333333"/>
          <w:sz w:val="20"/>
        </w:rPr>
        <w:t>ollama/client.go</w:t>
      </w:r>
      <w:r>
        <w:rPr>
          <w:rFonts w:ascii="Arial" w:hAnsi="Arial"/>
          <w:b w:val="0"/>
          <w:color w:val="333333"/>
          <w:sz w:val="22"/>
        </w:rPr>
        <w:t xml:space="preserve">) no lugar do LangChain4j, incluindo o retry manual (1 tentativa) que o LangChain4j fazia declarativamente via </w:t>
      </w:r>
      <w:r>
        <w:rPr>
          <w:rFonts w:ascii="Courier New" w:hAnsi="Courier New"/>
          <w:color w:val="333333"/>
          <w:sz w:val="20"/>
        </w:rPr>
        <w:t>.maxRetries(1)</w:t>
      </w:r>
      <w:r>
        <w:rPr>
          <w:rFonts w:ascii="Arial" w:hAnsi="Arial"/>
          <w:b w:val="0"/>
          <w:color w:val="333333"/>
          <w:sz w:val="22"/>
        </w:rPr>
        <w:t>.</w:t>
      </w:r>
    </w:p>
    <w:p>
      <w:pPr>
        <w:spacing w:after="160"/>
      </w:pPr>
      <w:r>
        <w:rPr>
          <w:rFonts w:ascii="Arial" w:hAnsi="Arial"/>
          <w:b w:val="0"/>
          <w:color w:val="333333"/>
          <w:sz w:val="22"/>
        </w:rPr>
        <w:t xml:space="preserve">Como rodar: </w:t>
      </w:r>
      <w:r>
        <w:rPr>
          <w:rFonts w:ascii="Courier New" w:hAnsi="Courier New"/>
          <w:color w:val="333333"/>
          <w:sz w:val="20"/>
        </w:rPr>
        <w:t>ollama serve</w:t>
      </w:r>
      <w:r>
        <w:rPr>
          <w:rFonts w:ascii="Arial" w:hAnsi="Arial"/>
          <w:b w:val="0"/>
          <w:color w:val="333333"/>
          <w:sz w:val="22"/>
        </w:rPr>
        <w:t xml:space="preserve"> + </w:t>
      </w:r>
      <w:r>
        <w:rPr>
          <w:rFonts w:ascii="Courier New" w:hAnsi="Courier New"/>
          <w:color w:val="333333"/>
          <w:sz w:val="20"/>
        </w:rPr>
        <w:t>ollama pull llama3.2</w:t>
      </w:r>
      <w:r>
        <w:rPr>
          <w:rFonts w:ascii="Arial" w:hAnsi="Arial"/>
          <w:b w:val="0"/>
          <w:color w:val="333333"/>
          <w:sz w:val="22"/>
        </w:rPr>
        <w:t xml:space="preserve">, depois </w:t>
      </w:r>
      <w:r>
        <w:rPr>
          <w:rFonts w:ascii="Courier New" w:hAnsi="Courier New"/>
          <w:color w:val="333333"/>
          <w:sz w:val="20"/>
        </w:rPr>
        <w:t>go run .</w:t>
      </w:r>
      <w:r>
        <w:rPr>
          <w:rFonts w:ascii="Arial" w:hAnsi="Arial"/>
          <w:b w:val="0"/>
          <w:color w:val="333333"/>
          <w:sz w:val="22"/>
        </w:rPr>
        <w:t xml:space="preserve"> (defaults já funcionam sem </w:t>
      </w:r>
      <w:r>
        <w:rPr>
          <w:rFonts w:ascii="Courier New" w:hAnsi="Courier New"/>
          <w:color w:val="333333"/>
          <w:sz w:val="20"/>
        </w:rPr>
        <w:t>.env</w:t>
      </w:r>
      <w:r>
        <w:rPr>
          <w:rFonts w:ascii="Arial" w:hAnsi="Arial"/>
          <w:b w:val="0"/>
          <w:color w:val="333333"/>
          <w:sz w:val="22"/>
        </w:rPr>
        <w:t>).</w:t>
      </w:r>
    </w:p>
    <w:p>
      <w:pPr>
        <w:pStyle w:val="Heading2"/>
        <w:spacing w:before="360" w:after="160"/>
      </w:pPr>
      <w:r>
        <w:rPr>
          <w:rFonts w:ascii="Arial" w:hAnsi="Arial"/>
          <w:b/>
          <w:color w:val="2E74B5"/>
          <w:sz w:val="28"/>
        </w:rPr>
        <w:t>4. Analogias Java/Spring Boot e Go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Equivalente Java/Spring Boot</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Equivalente Go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Rede neural implementada do zero (sem framework de ML)</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Classe </w:t>
            </w:r>
            <w:r>
              <w:rPr>
                <w:rFonts w:ascii="Courier New" w:hAnsi="Courier New"/>
                <w:color w:val="333333"/>
                <w:sz w:val="20"/>
              </w:rPr>
              <w:t>NeuralNetwork</w:t>
            </w:r>
            <w:r>
              <w:rPr>
                <w:rFonts w:ascii="Arial" w:hAnsi="Arial"/>
                <w:b w:val="0"/>
                <w:color w:val="333333"/>
                <w:sz w:val="22"/>
              </w:rPr>
              <w:t xml:space="preserve"> com matriz de peso (</w:t>
            </w:r>
            <w:r>
              <w:rPr>
                <w:rFonts w:ascii="Courier New" w:hAnsi="Courier New"/>
                <w:color w:val="333333"/>
                <w:sz w:val="20"/>
              </w:rPr>
              <w:t>double[][]</w:t>
            </w:r>
            <w:r>
              <w:rPr>
                <w:rFonts w:ascii="Arial" w:hAnsi="Arial"/>
                <w:b w:val="0"/>
                <w:color w:val="333333"/>
                <w:sz w:val="22"/>
              </w:rPr>
              <w:t>), forward/backward escritos manualmente — nem a versão Java usa DL4J ou similar</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Structs com slice de </w:t>
            </w:r>
            <w:r>
              <w:rPr>
                <w:rFonts w:ascii="Courier New" w:hAnsi="Courier New"/>
                <w:color w:val="333333"/>
                <w:sz w:val="20"/>
              </w:rPr>
              <w:t>float64</w:t>
            </w:r>
            <w:r>
              <w:rPr>
                <w:rFonts w:ascii="Arial" w:hAnsi="Arial"/>
                <w:b w:val="0"/>
                <w:color w:val="333333"/>
                <w:sz w:val="22"/>
              </w:rPr>
              <w:t xml:space="preserve">, mesma lógica matemática — </w:t>
            </w:r>
            <w:r>
              <w:rPr>
                <w:rFonts w:ascii="Courier New" w:hAnsi="Courier New"/>
                <w:color w:val="333333"/>
                <w:sz w:val="20"/>
              </w:rPr>
              <w:t>math</w:t>
            </w:r>
            <w:r>
              <w:rPr>
                <w:rFonts w:ascii="Arial" w:hAnsi="Arial"/>
                <w:b w:val="0"/>
                <w:color w:val="333333"/>
                <w:sz w:val="22"/>
              </w:rPr>
              <w:t>/</w:t>
            </w:r>
            <w:r>
              <w:rPr>
                <w:rFonts w:ascii="Courier New" w:hAnsi="Courier New"/>
                <w:color w:val="333333"/>
                <w:sz w:val="20"/>
              </w:rPr>
              <w:t>math/rand</w:t>
            </w:r>
            <w:r>
              <w:rPr>
                <w:rFonts w:ascii="Arial" w:hAnsi="Arial"/>
                <w:b w:val="0"/>
                <w:color w:val="333333"/>
                <w:sz w:val="22"/>
              </w:rPr>
              <w:t xml:space="preserve"> da stdlib substituindo qualquer dependência externa</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Chamada a LLM sem framework de orquestração maduro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Em Java existe LangChain4j (API fluente de builder) para abstrair chamada e histórico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Em Go, cliente HTTP explícito (</w:t>
            </w:r>
            <w:r>
              <w:rPr>
                <w:rFonts w:ascii="Courier New" w:hAnsi="Courier New"/>
                <w:color w:val="333333"/>
                <w:sz w:val="20"/>
              </w:rPr>
              <w:t>net/http</w:t>
            </w:r>
            <w:r>
              <w:rPr>
                <w:rFonts w:ascii="Arial" w:hAnsi="Arial"/>
                <w:b w:val="0"/>
                <w:color w:val="333333"/>
                <w:sz w:val="22"/>
              </w:rPr>
              <w:t>+</w:t>
            </w:r>
            <w:r>
              <w:rPr>
                <w:rFonts w:ascii="Courier New" w:hAnsi="Courier New"/>
                <w:color w:val="333333"/>
                <w:sz w:val="20"/>
              </w:rPr>
              <w:t>encoding/json</w:t>
            </w:r>
            <w:r>
              <w:rPr>
                <w:rFonts w:ascii="Arial" w:hAnsi="Arial"/>
                <w:b w:val="0"/>
                <w:color w:val="333333"/>
                <w:sz w:val="22"/>
              </w:rPr>
              <w:t>) falando direto com o endpoint REST — escolha deliberada, mais idiomática que replicar builder fluente</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Embedding local sem chamada a API paga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AllMiniLmL6V2EmbeddingModel</w:t>
            </w:r>
            <w:r>
              <w:rPr>
                <w:rFonts w:ascii="Arial" w:hAnsi="Arial"/>
                <w:b w:val="0"/>
                <w:color w:val="333333"/>
                <w:sz w:val="22"/>
              </w:rPr>
              <w:t xml:space="preserve"> (ONNX rodando in-process via LangChain4j)</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Ollama local servindo </w:t>
            </w:r>
            <w:r>
              <w:rPr>
                <w:rFonts w:ascii="Courier New" w:hAnsi="Courier New"/>
                <w:color w:val="333333"/>
                <w:sz w:val="20"/>
              </w:rPr>
              <w:t>all-minilm</w:t>
            </w:r>
            <w:r>
              <w:rPr>
                <w:rFonts w:ascii="Arial" w:hAnsi="Arial"/>
                <w:b w:val="0"/>
                <w:color w:val="333333"/>
                <w:sz w:val="22"/>
              </w:rPr>
              <w:t xml:space="preserve"> via HTTP — processo separado em vez de in-process, mesma dimensão de vetor (384)</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Índice vetorial e busca por similaridade no Neo4j</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Neo4jEmbeddingStore</w:t>
            </w:r>
            <w:r>
              <w:rPr>
                <w:rFonts w:ascii="Arial" w:hAnsi="Arial"/>
                <w:b w:val="0"/>
                <w:color w:val="333333"/>
                <w:sz w:val="22"/>
              </w:rPr>
              <w:t xml:space="preserve"> do LangChain4j abstraindo a criação de índice e a query</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Cypher escrito diretamente (</w:t>
            </w:r>
            <w:r>
              <w:rPr>
                <w:rFonts w:ascii="Courier New" w:hAnsi="Courier New"/>
                <w:color w:val="333333"/>
                <w:sz w:val="20"/>
              </w:rPr>
              <w:t>db.index.vector.queryNodes</w:t>
            </w:r>
            <w:r>
              <w:rPr>
                <w:rFonts w:ascii="Arial" w:hAnsi="Arial"/>
                <w:b w:val="0"/>
                <w:color w:val="333333"/>
                <w:sz w:val="22"/>
              </w:rPr>
              <w:t xml:space="preserve">) via </w:t>
            </w:r>
            <w:r>
              <w:rPr>
                <w:rFonts w:ascii="Courier New" w:hAnsi="Courier New"/>
                <w:color w:val="333333"/>
                <w:sz w:val="20"/>
              </w:rPr>
              <w:t>neo4j-go-driver/v5</w:t>
            </w:r>
            <w:r>
              <w:rPr>
                <w:rFonts w:ascii="Arial" w:hAnsi="Arial"/>
                <w:b w:val="0"/>
                <w:color w:val="333333"/>
                <w:sz w:val="22"/>
              </w:rPr>
              <w:t xml:space="preserve"> — sem wrapper de embedding store equivalente em Go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Parser de PDF</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Apache PDFBox (madura, amplamente usada)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Biblioteca pura-Go (</w:t>
            </w:r>
            <w:r>
              <w:rPr>
                <w:rFonts w:ascii="Courier New" w:hAnsi="Courier New"/>
                <w:color w:val="333333"/>
                <w:sz w:val="20"/>
              </w:rPr>
              <w:t>github.com/ledongthuc/pdf</w:t>
            </w:r>
            <w:r>
              <w:rPr>
                <w:rFonts w:ascii="Arial" w:hAnsi="Arial"/>
                <w:b w:val="0"/>
                <w:color w:val="333333"/>
                <w:sz w:val="22"/>
              </w:rPr>
              <w:t>), sem dependência nativa — ecossistema menor, mas suficiente para extração de texto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Retry declarativo em chamada de API</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.maxRetries(1)</w:t>
            </w:r>
            <w:r>
              <w:rPr>
                <w:rFonts w:ascii="Arial" w:hAnsi="Arial"/>
                <w:b w:val="0"/>
                <w:color w:val="333333"/>
                <w:sz w:val="22"/>
              </w:rPr>
              <w:t xml:space="preserve"> do LangChain4j, configurado no builder do client</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Retry manual escrito explicitamente no cliente HTTP (</w:t>
            </w:r>
            <w:r>
              <w:rPr>
                <w:rFonts w:ascii="Courier New" w:hAnsi="Courier New"/>
                <w:color w:val="333333"/>
                <w:sz w:val="20"/>
              </w:rPr>
              <w:t>ollama/client.go</w:t>
            </w:r>
            <w:r>
              <w:rPr>
                <w:rFonts w:ascii="Arial" w:hAnsi="Arial"/>
                <w:b w:val="0"/>
                <w:color w:val="333333"/>
                <w:sz w:val="22"/>
              </w:rPr>
              <w:t>) — mesmo comportamento observável, sem decorator</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Analogia arquitetural completa: pensar os dois projetos de rede neural do zero (recomendador, e a rede do Módulo 02 sobre categorização de aluno) como um exercício de "reimplementar o motor, não só usar o carro" ajuda a situar o valor pedagógico do porte. Em Java, mesmo sem framework de ML, a estrutura orientada a objeto naturalmente separa </w:t>
      </w:r>
      <w:r>
        <w:rPr>
          <w:rFonts w:ascii="Courier New" w:hAnsi="Courier New"/>
          <w:color w:val="333333"/>
          <w:sz w:val="20"/>
        </w:rPr>
        <w:t>Layer</w:t>
      </w:r>
      <w:r>
        <w:rPr>
          <w:rFonts w:ascii="Arial" w:hAnsi="Arial"/>
          <w:b w:val="0"/>
          <w:color w:val="333333"/>
          <w:sz w:val="22"/>
        </w:rPr>
        <w:t xml:space="preserve">, </w:t>
      </w:r>
      <w:r>
        <w:rPr>
          <w:rFonts w:ascii="Courier New" w:hAnsi="Courier New"/>
          <w:color w:val="333333"/>
          <w:sz w:val="20"/>
        </w:rPr>
        <w:t>NeuralNetwork</w:t>
      </w:r>
      <w:r>
        <w:rPr>
          <w:rFonts w:ascii="Arial" w:hAnsi="Arial"/>
          <w:b w:val="0"/>
          <w:color w:val="333333"/>
          <w:sz w:val="22"/>
        </w:rPr>
        <w:t xml:space="preserve">, </w:t>
      </w:r>
      <w:r>
        <w:rPr>
          <w:rFonts w:ascii="Courier New" w:hAnsi="Courier New"/>
          <w:color w:val="333333"/>
          <w:sz w:val="20"/>
        </w:rPr>
        <w:t>Trainer</w:t>
      </w:r>
      <w:r>
        <w:rPr>
          <w:rFonts w:ascii="Arial" w:hAnsi="Arial"/>
          <w:b w:val="0"/>
          <w:color w:val="333333"/>
          <w:sz w:val="22"/>
        </w:rPr>
        <w:t xml:space="preserve"> em classes distintas, com getter/setter explícitos para peso e bias. Em Go, a mesma separação existe, mas via composição de struct e função livre — sem a cerimônia de classe, o forward pass e o backward pass ficam como função pura recebendo e retornando slice, o que torna o fluxo de dado mais visível linha a linha. Em ambos os casos, o ponto central do módulo se mantém: entender </w:t>
      </w:r>
      <w:r>
        <w:rPr>
          <w:rFonts w:ascii="Arial" w:hAnsi="Arial"/>
          <w:b/>
          <w:color w:val="333333"/>
          <w:sz w:val="22"/>
        </w:rPr>
        <w:t>por dentro</w:t>
      </w:r>
      <w:r>
        <w:rPr>
          <w:rFonts w:ascii="Arial" w:hAnsi="Arial"/>
          <w:b w:val="0"/>
          <w:color w:val="333333"/>
          <w:sz w:val="22"/>
        </w:rPr>
        <w:t xml:space="preserve"> como um tensor se transforma através das camadas é o que diferencia quem "chama uma API de IA" de quem entende o que está por trás dela — seed fixo, inicialização de peso e função de ativação são as mesmas decisões de engenharia, independente da linguagem usada para expressá-las.</w:t>
      </w:r>
    </w:p>
    <w:p>
      <w:pPr>
        <w:pStyle w:val="Heading2"/>
        <w:spacing w:before="360" w:after="160"/>
      </w:pPr>
      <w:r>
        <w:rPr>
          <w:rFonts w:ascii="Arial" w:hAnsi="Arial"/>
          <w:b/>
          <w:color w:val="2E74B5"/>
          <w:sz w:val="28"/>
        </w:rPr>
        <w:t>5. Escalabilidade e Produção</w:t>
      </w:r>
    </w:p>
    <w:p>
      <w:pPr>
        <w:pStyle w:val="ListBullet"/>
        <w:spacing w:after="80"/>
      </w:pPr>
      <w:r>
        <w:rPr>
          <w:rFonts w:ascii="Arial" w:hAnsi="Arial"/>
          <w:b w:val="0"/>
          <w:color w:val="333333"/>
          <w:sz w:val="22"/>
        </w:rPr>
        <w:t>O padrão "comparar todo usuário com todo produto" (Módulo 03) funciona bem em protótipo, mas não escala — a mesma lição de usar banco de dados vetorial para buscar "top N" mais próximos (em vez de comparação exaustiva) reaparece no Módulo 10 com o RAG via Neo4j, mostrando que é o mesmo princípio de otimização aplicado a dois domínios diferentes.</w:t>
      </w:r>
    </w:p>
    <w:p>
      <w:pPr>
        <w:pStyle w:val="ListBullet"/>
        <w:spacing w:after="80"/>
      </w:pPr>
      <w:r>
        <w:rPr>
          <w:rFonts w:ascii="Arial" w:hAnsi="Arial"/>
          <w:b w:val="0"/>
          <w:color w:val="333333"/>
          <w:sz w:val="22"/>
        </w:rPr>
        <w:t xml:space="preserve">Ollama, explicitamente, </w:t>
      </w:r>
      <w:r>
        <w:rPr>
          <w:rFonts w:ascii="Arial" w:hAnsi="Arial"/>
          <w:b/>
          <w:color w:val="333333"/>
          <w:sz w:val="22"/>
        </w:rPr>
        <w:t>não é indicado para produção</w:t>
      </w:r>
      <w:r>
        <w:rPr>
          <w:rFonts w:ascii="Arial" w:hAnsi="Arial"/>
          <w:b w:val="0"/>
          <w:color w:val="333333"/>
          <w:sz w:val="22"/>
        </w:rPr>
        <w:t xml:space="preserve"> (um prompt por vez, sem alta concorrência) — para servir modelo local em escala, o material aponta ferramentas como vLLM como caminho mais apropriado.</w:t>
      </w:r>
    </w:p>
    <w:p>
      <w:pPr>
        <w:pStyle w:val="ListBullet"/>
        <w:spacing w:after="80"/>
      </w:pPr>
      <w:r>
        <w:rPr>
          <w:rFonts w:ascii="Arial" w:hAnsi="Arial"/>
          <w:b w:val="0"/>
          <w:color w:val="333333"/>
          <w:sz w:val="22"/>
        </w:rPr>
        <w:t>Modelo aberto/local exige considerar custo real de infraestrutura (GPU, refrigeração, energia, manutenção, atualização de segurança) — o discurso de "é grátis" só é verdadeiro olhando o custo de token, não o custo total de propriedade.</w:t>
      </w:r>
    </w:p>
    <w:p>
      <w:pPr>
        <w:pStyle w:val="ListBullet"/>
        <w:spacing w:after="80"/>
      </w:pPr>
      <w:r>
        <w:rPr>
          <w:rFonts w:ascii="Arial" w:hAnsi="Arial"/>
          <w:b w:val="0"/>
          <w:color w:val="333333"/>
          <w:sz w:val="22"/>
        </w:rPr>
        <w:t>OpenRouter como camada de abstração (fallback automático, roteamento por custo/latência, billing consolidado) é o mesmo padrão arquitetural do roteamento multi-modelo aprofundado no Módulo 02 do curso completo — aqui apresentado em nível introdutório, mas já com a mesma disciplina de nunca acoplar a aplicação a um único fornecedor.</w:t>
      </w:r>
    </w:p>
    <w:p>
      <w:pPr>
        <w:pStyle w:val="ListBullet"/>
        <w:spacing w:after="80"/>
      </w:pPr>
      <w:r>
        <w:rPr>
          <w:rFonts w:ascii="Arial" w:hAnsi="Arial"/>
          <w:b w:val="0"/>
          <w:color w:val="333333"/>
          <w:sz w:val="22"/>
        </w:rPr>
        <w:t>Quantização de modelo (reduzir a representação numérica do peso, ex. 4 bits) é uma decisão de trade-off explícito entre custo de memória/velocidade e qualidade — relevante para quem for rodar modelo local em hardware limitado, com perda de qualidade geralmente pequena mas não nula.</w:t>
      </w:r>
    </w:p>
    <w:p>
      <w:pPr>
        <w:pStyle w:val="ListBullet"/>
        <w:spacing w:after="80"/>
      </w:pPr>
      <w:r>
        <w:rPr>
          <w:rFonts w:ascii="Arial" w:hAnsi="Arial"/>
          <w:b w:val="0"/>
          <w:color w:val="333333"/>
          <w:sz w:val="22"/>
        </w:rPr>
        <w:t>O cuidado com vazamento de API key (nunca versionar) e a preferência por MCP com ação não destrutiva por padrão (ler/listar antes de escrever/deletar) são práticas de segurança operacional que se repetem em praticamente todos os módulos posteriores do curso completo — aqui introduzidas pela primeira vez.</w:t>
      </w:r>
    </w:p>
    <w:p>
      <w:pPr>
        <w:pStyle w:val="Heading2"/>
        <w:spacing w:before="360" w:after="160"/>
      </w:pPr>
      <w:r>
        <w:rPr>
          <w:rFonts w:ascii="Arial" w:hAnsi="Arial"/>
          <w:b/>
          <w:color w:val="2E74B5"/>
          <w:sz w:val="28"/>
        </w:rPr>
        <w:t>6. Conexões entre Módulos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Módulo posterior</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Conexão com este módulo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Módulo 02 da pós (APIs de IA Generativa e Prompt Engineering)</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roteamento multi-modelo via OpenRouter, introduzido aqui de forma simples, é aprofundado lá com fallback estruturado e teste automatizado; a estrutura de prompt anti-alucinação (10 blocos) e o JSON Prompt são a base direta da engenharia de prompt avançada com structured output vista lá</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Módulo 03 da pós (Model Context Protocol)</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MCP introduzido aqui de forma conceitual (tools/resources/prompts, casos de uso com GitHub/Playwright/Grafana/Context-7) é o ponto de partida formal desenvolvido em profundidade lá, incluindo construção de servidor MCP do zero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Módulo 04 da pós (Criação de Agentes Autônomos)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ciclo do agente (entendimento → planejamento → ação → observação → correção) e o Spec Driven Development introduzidos aqui de forma prática são formalizados lá como Agent Loop e contratos declarativos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Dentro do próprio Módulo 01</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Cada submódulo constrói sobre o anterior: fundamentos de ML/DL (02) → sistema de recomendação aplicado (03) → integração de modelo pronto/visão computacional (04) → algoritmos genéticos e fundamentos de LLM (05) → engenharia de prompt formal (06) → ferramentas de produtividade e agentes (07) → MCP aplicado a automação real (08) → modelo aberto vs. fechado (09) → RAG do zero (10), estabelecendo a base conceitual completa para o restante da pós</w:t>
            </w:r>
          </w:p>
        </w:tc>
      </w:tr>
    </w:tbl>
    <w:p>
      <w:pPr>
        <w:spacing w:after="80"/>
      </w:pPr>
    </w:p>
    <w:p>
      <w:pPr>
        <w:pStyle w:val="Heading3"/>
        <w:spacing w:before="200" w:after="80"/>
      </w:pPr>
      <w:r>
        <w:rPr>
          <w:rFonts w:ascii="Arial" w:hAnsi="Arial"/>
          <w:b/>
          <w:color w:val="1F4D78"/>
          <w:sz w:val="24"/>
        </w:rPr>
        <w:t>Glossário do Módulo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Termo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One-hot encoding</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Representação de categoria como vetor binário, com 1 na posição correspondente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Normalização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Transformação de valor contínuo para o intervalo 0-1, evitando peso desproporcional no treino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Transfer learning</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Reaproveitar modelo já treinado, refinando com novo dado específico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Tensor</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Estrutura numérica (vetor/matriz) usada por bibliotecas como TensorFlow.js para representar dado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Tokenização / Embedding</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Quebra de texto em unidade menor / representação numérica de significado de cada token</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Transformer / Self-Attention</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Arquitetura que processa todos os tokens em paralelo, relacionando-os por relevância contextual</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Temperature / Top-K / Top-P</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Parâmetros que controlam aleatoriedade e diversidade na escolha do próximo token gerado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Alucinação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Modelo gerando afirmação falsa e convincente por falta de contexto ou prompt ambíguo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JSON Prompt / TOON</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Prompt estruturado em JSON, validável / formato compacto que economiza token removendo sintaxe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Spec Driven Development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Especificar contexto, requisito, não-requisito, critério de aceite e contrato antes de delegar a um agente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MCP (Model Context Protocol)</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Protocolo aberto que conecta LLM a tools/resources/prompts de sistemas externos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Ollama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Ferramenta para baixar e rodar modelo de linguagem localmente, via API HTTP própria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OpenRouter</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API unificada para rotear requisição entre múltiplos modelos/provedores de LLM</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Quantização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Redução da precisão numérica dos pesos de um modelo, diminuindo memória/custo computacional</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RAG (Retrieval-Augmented Generation)</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Buscar informação externa relevante antes de gerar resposta, sem alterar peso do modelo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Memória paramétrica / não paramétrica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Conhecimento nos pesos do modelo (treino) / base de dado externa pesquisável (RAG)</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Vector database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Banco que armazena embedding e permite busca por similaridade (ex.: Neo4j usado como tal)</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