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2E74B5"/>
          <w:sz w:val="40"/>
        </w:rPr>
        <w:t>Model Context Protocol (MCP)</w:t>
      </w:r>
    </w:p>
    <w:p>
      <w:pPr>
        <w:spacing w:after="40"/>
      </w:pPr>
      <w:r>
        <w:rPr>
          <w:rFonts w:ascii="Arial" w:hAnsi="Arial"/>
          <w:b/>
          <w:color w:val="2E74B5"/>
          <w:sz w:val="24"/>
        </w:rPr>
        <w:t>Pós-Graduação em Engenharia de Software com IA Aplicada — UNIPDS</w:t>
      </w:r>
    </w:p>
    <w:p>
      <w:pPr>
        <w:spacing w:after="40"/>
      </w:pPr>
      <w:r>
        <w:rPr>
          <w:rFonts w:ascii="Arial" w:hAnsi="Arial"/>
          <w:i/>
          <w:color w:val="555555"/>
          <w:sz w:val="20"/>
        </w:rPr>
        <w:t>Erick Wendel · Rafael Mattos Moreira — Resumo de estudo técnico · 2026</w:t>
      </w:r>
    </w:p>
    <w:p>
      <w:pPr>
        <w:spacing w:after="120"/>
      </w:pP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1. Visão Geral do Módulo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 módulo constrói, ao longo de 8 submódulos, uma compreensão completa do </w:t>
      </w:r>
      <w:r>
        <w:rPr>
          <w:rFonts w:ascii="Arial" w:hAnsi="Arial"/>
          <w:b/>
          <w:color w:val="333333"/>
          <w:sz w:val="22"/>
        </w:rPr>
        <w:t>Model Context Protocol (MCP)</w:t>
      </w:r>
      <w:r>
        <w:rPr>
          <w:rFonts w:ascii="Arial" w:hAnsi="Arial"/>
          <w:b w:val="0"/>
          <w:color w:val="333333"/>
          <w:sz w:val="22"/>
        </w:rPr>
        <w:t xml:space="preserve">: parte da diferença entre MCP e o modelo clássico de tools/function calling, avança para orquestração autônoma com múltiplos servidores MCP via LangChain.js (conectando LLM a arquivos, banco de dados e serviços), explora o padrão complementar de agents/instructions/skills para ambiente de desenvolvimento, constrói um servidor MCP do zero (tools, resources, prompts), transforma uma API legada real em servidor MCP com abstração de domínio, adiciona segurança e governança completas (JWT, RBAC, Service Tokens, rate limiting), publica o servidor em NPM (privado e público), e fecha consumindo o próprio MCP publicado dentro de um agente LangChain.js com múltiplos servidores MCP simultâneos. A mensagem central: </w:t>
      </w:r>
      <w:r>
        <w:rPr>
          <w:rFonts w:ascii="Arial" w:hAnsi="Arial"/>
          <w:b/>
          <w:color w:val="333333"/>
          <w:sz w:val="22"/>
        </w:rPr>
        <w:t>você não precisa abandonar o que já foi construído para adotar IA — precisa conectar melhor o que já existe</w:t>
      </w:r>
      <w:r>
        <w:rPr>
          <w:rFonts w:ascii="Arial" w:hAnsi="Arial"/>
          <w:b w:val="0"/>
          <w:color w:val="333333"/>
          <w:sz w:val="22"/>
        </w:rPr>
        <w:t>, e o MCP não elimina a necessidade de boa engenharia de software.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2. Conceitos Fundamentais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01 — Visão Geral de MCP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MCP não é ruptura completa — é evolução natural após plugins do ChatGPT (mar/2023) e Function Calling (jun/2023). Function Calling resolveu redução de alucinação (modelo opera com capacidade bem definida), mas tem limitação estrutural: entendimento </w:t>
      </w:r>
      <w:r>
        <w:rPr>
          <w:rFonts w:ascii="Arial" w:hAnsi="Arial"/>
          <w:b/>
          <w:color w:val="333333"/>
          <w:sz w:val="22"/>
        </w:rPr>
        <w:t>superficial</w:t>
      </w:r>
      <w:r>
        <w:rPr>
          <w:rFonts w:ascii="Arial" w:hAnsi="Arial"/>
          <w:b w:val="0"/>
          <w:color w:val="333333"/>
          <w:sz w:val="22"/>
        </w:rPr>
        <w:t xml:space="preserve"> da integração — o modelo conhece função e parâmetro, mas não consegue explorar o que o sistema externo oferece antes de decidir; toda função precisa ser descrita manualmente no código, sem mecanismo padronizado de </w:t>
      </w:r>
      <w:r>
        <w:rPr>
          <w:rFonts w:ascii="Arial" w:hAnsi="Arial"/>
          <w:b/>
          <w:color w:val="333333"/>
          <w:sz w:val="22"/>
        </w:rPr>
        <w:t>descoberta</w:t>
      </w:r>
      <w:r>
        <w:rPr>
          <w:rFonts w:ascii="Arial" w:hAnsi="Arial"/>
          <w:b w:val="0"/>
          <w:color w:val="333333"/>
          <w:sz w:val="22"/>
        </w:rPr>
        <w:t>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 MCP eleva o nível de abstração: define um </w:t>
      </w:r>
      <w:r>
        <w:rPr>
          <w:rFonts w:ascii="Arial" w:hAnsi="Arial"/>
          <w:b/>
          <w:color w:val="333333"/>
          <w:sz w:val="22"/>
        </w:rPr>
        <w:t>protocolo de comunicação</w:t>
      </w:r>
      <w:r>
        <w:rPr>
          <w:rFonts w:ascii="Arial" w:hAnsi="Arial"/>
          <w:b w:val="0"/>
          <w:color w:val="333333"/>
          <w:sz w:val="22"/>
        </w:rPr>
        <w:t xml:space="preserve"> entre cliente e servidor, expondo não só tools, mas também </w:t>
      </w:r>
      <w:r>
        <w:rPr>
          <w:rFonts w:ascii="Arial" w:hAnsi="Arial"/>
          <w:b/>
          <w:color w:val="333333"/>
          <w:sz w:val="22"/>
        </w:rPr>
        <w:t>resources</w:t>
      </w:r>
      <w:r>
        <w:rPr>
          <w:rFonts w:ascii="Arial" w:hAnsi="Arial"/>
          <w:b w:val="0"/>
          <w:color w:val="333333"/>
          <w:sz w:val="22"/>
        </w:rPr>
        <w:t xml:space="preserve"> (contexto/documentação) e </w:t>
      </w:r>
      <w:r>
        <w:rPr>
          <w:rFonts w:ascii="Arial" w:hAnsi="Arial"/>
          <w:b/>
          <w:color w:val="333333"/>
          <w:sz w:val="22"/>
        </w:rPr>
        <w:t>prompts</w:t>
      </w:r>
      <w:r>
        <w:rPr>
          <w:rFonts w:ascii="Arial" w:hAnsi="Arial"/>
          <w:b w:val="0"/>
          <w:color w:val="333333"/>
          <w:sz w:val="22"/>
        </w:rPr>
        <w:t xml:space="preserve"> (templates guiados) — com mecanismo de </w:t>
      </w:r>
      <w:r>
        <w:rPr>
          <w:rFonts w:ascii="Arial" w:hAnsi="Arial"/>
          <w:b/>
          <w:color w:val="333333"/>
          <w:sz w:val="22"/>
        </w:rPr>
        <w:t>descoberta automática</w:t>
      </w:r>
      <w:r>
        <w:rPr>
          <w:rFonts w:ascii="Arial" w:hAnsi="Arial"/>
          <w:b w:val="0"/>
          <w:color w:val="333333"/>
          <w:sz w:val="22"/>
        </w:rPr>
        <w:t>, o cliente explora o que está disponível sem exigir definição manual prévia.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🔑 Regra fundamental: no MCP, a modelagem deve trabalhar com </w:t>
      </w:r>
      <w:r>
        <w:rPr>
          <w:rFonts w:ascii="Arial" w:hAnsi="Arial"/>
          <w:b/>
          <w:color w:val="333333"/>
          <w:sz w:val="22"/>
        </w:rPr>
        <w:t>ações próximas do domínio de negócio</w:t>
      </w:r>
      <w:r>
        <w:rPr>
          <w:rFonts w:ascii="Arial" w:hAnsi="Arial"/>
          <w:b w:val="0"/>
          <w:color w:val="333333"/>
          <w:sz w:val="22"/>
        </w:rPr>
        <w:t xml:space="preserve"> ("buscar cliente por nome"), não espelhamento direto de endpoint técnico. Internamente, uma única ação pode orquestrar múltiplas chamadas (listar, filtrar, buscar detalhe, consolidar), encapsulando autenticação, autorização e complexidade técnica — isso melhora tanto a experiência do modelo quanto a qualidade da integração.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Comparado a API REST tradicional (documentação extensa tipo Swagger, custo alto de token para o modelo processar tudo a cada interação), o MCP trabalha com ação sob demanda — o modelo consome só o necessário, reduzindo consumo de token.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✅ Resultado/Conclusão: </w:t>
      </w:r>
      <w:r>
        <w:rPr>
          <w:rFonts w:ascii="Arial" w:hAnsi="Arial"/>
          <w:b/>
          <w:color w:val="333333"/>
          <w:sz w:val="22"/>
        </w:rPr>
        <w:t>MCP não substitui tools</w:t>
      </w:r>
      <w:r>
        <w:rPr>
          <w:rFonts w:ascii="Arial" w:hAnsi="Arial"/>
          <w:b w:val="0"/>
          <w:color w:val="333333"/>
          <w:sz w:val="22"/>
        </w:rPr>
        <w:t xml:space="preserve"> — incorpora tools dentro de um protocolo mais amplo (muitos frameworks continuam usando o termo "tools" mesmo operando com MCP). E o protocolo </w:t>
      </w:r>
      <w:r>
        <w:rPr>
          <w:rFonts w:ascii="Arial" w:hAnsi="Arial"/>
          <w:b/>
          <w:color w:val="333333"/>
          <w:sz w:val="22"/>
        </w:rPr>
        <w:t>não elimina boa engenharia</w:t>
      </w:r>
      <w:r>
        <w:rPr>
          <w:rFonts w:ascii="Arial" w:hAnsi="Arial"/>
          <w:b w:val="0"/>
          <w:color w:val="333333"/>
          <w:sz w:val="22"/>
        </w:rPr>
        <w:t>: servidor MCP mal projetado pode ser lento, inseguro e difícil de manter, como qualquer outro sistema.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02 — Conectando LLMs a APIs, Bancos e Serviços via MCP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Mudança de paradigma central: em vez de controlar rigidamente o fluxo de execução no código, o desenvolvedor passa a </w:t>
      </w:r>
      <w:r>
        <w:rPr>
          <w:rFonts w:ascii="Arial" w:hAnsi="Arial"/>
          <w:b/>
          <w:color w:val="333333"/>
          <w:sz w:val="22"/>
        </w:rPr>
        <w:t>delegar a orquestração ao modelo</w:t>
      </w:r>
      <w:r>
        <w:rPr>
          <w:rFonts w:ascii="Arial" w:hAnsi="Arial"/>
          <w:b w:val="0"/>
          <w:color w:val="333333"/>
          <w:sz w:val="22"/>
        </w:rPr>
        <w:t xml:space="preserve"> — fornece ferramentas disponíveis e instruções claras, e o modelo decide qual ferramenta usar, quando, e como encadear operações. Isso é demonstrado num pipeline de análise de dados (CSV/JSON → parsing → banco → consulta → relatório) orquestrado por múltiplos servidores MCP (File System, MongoDB) sem lógica imperativa explícita no código.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Parsing inteligente da entrada</w:t>
      </w:r>
      <w:r>
        <w:rPr>
          <w:rFonts w:ascii="Arial" w:hAnsi="Arial"/>
          <w:b w:val="0"/>
          <w:color w:val="333333"/>
          <w:sz w:val="22"/>
        </w:rPr>
        <w:t xml:space="preserve"> (nó de intenção): transforma entrada não estruturada em objeto estruturado via </w:t>
      </w:r>
      <w:r>
        <w:rPr>
          <w:rFonts w:ascii="Arial" w:hAnsi="Arial"/>
          <w:b/>
          <w:color w:val="333333"/>
          <w:sz w:val="22"/>
        </w:rPr>
        <w:t>geração estruturada com schema</w:t>
      </w:r>
      <w:r>
        <w:rPr>
          <w:rFonts w:ascii="Arial" w:hAnsi="Arial"/>
          <w:b w:val="0"/>
          <w:color w:val="333333"/>
          <w:sz w:val="22"/>
        </w:rPr>
        <w:t xml:space="preserve"> — reduz ambiguidade, permite pular etapa desnecessária (ex.: dado já em JSON não precisa de conversão) e exige validação explícita + fallback (ex.: nome de arquivo não inferido recebe valor padrão) antes de avançar no pipeline.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Tool customizada vs. servidor MCP completo</w:t>
      </w:r>
      <w:r>
        <w:rPr>
          <w:rFonts w:ascii="Arial" w:hAnsi="Arial"/>
          <w:b w:val="0"/>
          <w:color w:val="333333"/>
          <w:sz w:val="22"/>
        </w:rPr>
        <w:t xml:space="preserve">: nem toda capacidade exige um servidor MCP inteiro. Uma tool customizada (ex.: conversor CSV→JSON usando biblioteca já testada) resolve tarefa técnica </w:t>
      </w:r>
      <w:r>
        <w:rPr>
          <w:rFonts w:ascii="Arial" w:hAnsi="Arial"/>
          <w:b/>
          <w:color w:val="333333"/>
          <w:sz w:val="22"/>
        </w:rPr>
        <w:t>determinística</w:t>
      </w:r>
      <w:r>
        <w:rPr>
          <w:rFonts w:ascii="Arial" w:hAnsi="Arial"/>
          <w:b w:val="0"/>
          <w:color w:val="333333"/>
          <w:sz w:val="22"/>
        </w:rPr>
        <w:t xml:space="preserve"> sem depender de inferência probabilística da LLM — ganhos: confiabilidade, economia de token, modularidade. Regra prática: retirar da LLM tarefa que uma função pura resolve com mais precisão.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🔑 Regra fundamental: ao integrar MCP de terceiros, </w:t>
      </w:r>
      <w:r>
        <w:rPr>
          <w:rFonts w:ascii="Arial" w:hAnsi="Arial"/>
          <w:b/>
          <w:color w:val="333333"/>
          <w:sz w:val="22"/>
        </w:rPr>
        <w:t>segurança de origem</w:t>
      </w:r>
      <w:r>
        <w:rPr>
          <w:rFonts w:ascii="Arial" w:hAnsi="Arial"/>
          <w:b w:val="0"/>
          <w:color w:val="333333"/>
          <w:sz w:val="22"/>
        </w:rPr>
        <w:t xml:space="preserve"> é essencial — nem todo repositório disponível é confiável, já que a ferramenta roda diretamente no ambiente local com risco de exposição de dado sensível. Priorizar repositório oficial, mantido pelo próprio fornecedor.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Controle de escopo de acesso a arquivo</w:t>
      </w:r>
      <w:r>
        <w:rPr>
          <w:rFonts w:ascii="Arial" w:hAnsi="Arial"/>
          <w:b w:val="0"/>
          <w:color w:val="333333"/>
          <w:sz w:val="22"/>
        </w:rPr>
        <w:t>: ao integrar File System MCP, restringir o diretório acessível (ex.: só a pasta de relatórios) evita que o modelo explore contexto desnecessário — reduzindo consumo de token e mantendo foco na tarefa.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Service como tool</w:t>
      </w:r>
      <w:r>
        <w:rPr>
          <w:rFonts w:ascii="Arial" w:hAnsi="Arial"/>
          <w:b w:val="0"/>
          <w:color w:val="333333"/>
          <w:sz w:val="22"/>
        </w:rPr>
        <w:t xml:space="preserve"> (não apenas MCP pronto): quando não existe MCP pronto para uma integração, ou já existe service própria com regra de negócio específica, ela pode ser exposta como tool — combinando autonomia da LLM para decidir quando usar, com controle da aplicação sobre a lógica de negócio (camada de serviço convencional continua encapsulando a regra).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>✅ Resultado/Conclusão: o modelo demonstra comportamento resiliente — mesmo diante de ferramenta indisponível, tenta alternativa e segue até completar o processo (fallback natural, não travamento). Mas há limite real de contexto: para volume grande de dado, a estratégia correta é processar sob demanda (upload + leitura via tool), nunca enviar tudo direto no prompt.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03 — MCPs vs. Tools Tradicionais para Ambiente de Desenvolvimento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Este módulo aborda um padrão complementar ao MCP, mais focado em </w:t>
      </w:r>
      <w:r>
        <w:rPr>
          <w:rFonts w:ascii="Arial" w:hAnsi="Arial"/>
          <w:b/>
          <w:color w:val="333333"/>
          <w:sz w:val="22"/>
        </w:rPr>
        <w:t>orientar a própria IA durante o desenvolvimento</w:t>
      </w:r>
      <w:r>
        <w:rPr>
          <w:rFonts w:ascii="Arial" w:hAnsi="Arial"/>
          <w:b w:val="0"/>
          <w:color w:val="333333"/>
          <w:sz w:val="22"/>
        </w:rPr>
        <w:t xml:space="preserve"> (Vibe Coding) do que em integração externa.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Arquivos de instrução</w:t>
      </w:r>
      <w:r>
        <w:rPr>
          <w:rFonts w:ascii="Arial" w:hAnsi="Arial"/>
          <w:b w:val="0"/>
          <w:color w:val="333333"/>
          <w:sz w:val="22"/>
        </w:rPr>
        <w:t>: documento descrevendo arquitetura, responsabilidade de camada, padrão de nomenclatura, convenção, decisão técnica — funciona como guia permanente para o modelo gerar código alinhado ao projeto. Problema real: arquivo grande consome mais token, aumenta tempo de processamento, e o modelo pode perder foco — exigindo organização cuidadosa (frequentemente gerada com apoio da própria IA analisando o projeto).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`llms.txt`</w:t>
      </w:r>
      <w:r>
        <w:rPr>
          <w:rFonts w:ascii="Arial" w:hAnsi="Arial"/>
          <w:b w:val="0"/>
          <w:color w:val="333333"/>
          <w:sz w:val="22"/>
        </w:rPr>
        <w:t xml:space="preserve">: análogo ao </w:t>
      </w:r>
      <w:r>
        <w:rPr>
          <w:rFonts w:ascii="Courier New" w:hAnsi="Courier New"/>
          <w:color w:val="333333"/>
          <w:sz w:val="20"/>
        </w:rPr>
        <w:t>robots.txt</w:t>
      </w:r>
      <w:r>
        <w:rPr>
          <w:rFonts w:ascii="Arial" w:hAnsi="Arial"/>
          <w:b w:val="0"/>
          <w:color w:val="333333"/>
          <w:sz w:val="22"/>
        </w:rPr>
        <w:t>, mas para LLM — expõe informação estruturada (descrição do sistema, links, FAQ, dado importante) em vez de forçar o modelo a navegar HTML, reduzindo consumo de recurso.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Agents</w:t>
      </w:r>
      <w:r>
        <w:rPr>
          <w:rFonts w:ascii="Arial" w:hAnsi="Arial"/>
          <w:b w:val="0"/>
          <w:color w:val="333333"/>
          <w:sz w:val="22"/>
        </w:rPr>
        <w:t>: prompt especializado com responsabilidade bem definida (desenvolvimento, teste, revisão, análise de requisito), com regras próprias, contexto e acesso a ferramenta — dividindo responsabilidade em vez de um único prompt gigante. Um agent de desenvolvimento típico define regra explícita de "quando a tarefa pode ser considerada concluída" (sem erro de compilação, testes passando, mudança validada).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Skills</w:t>
      </w:r>
      <w:r>
        <w:rPr>
          <w:rFonts w:ascii="Arial" w:hAnsi="Arial"/>
          <w:b w:val="0"/>
          <w:color w:val="333333"/>
          <w:sz w:val="22"/>
        </w:rPr>
        <w:t>: solução para o problema de prompt grande demais — em vez de um prompt gigantesco, o conhecimento é dividido em unidades menores, especializadas, reutilizáveis, organizadas em arquivo estruturado (markdown), com descrição, exemplo, template, boa prática, referência cruzada.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/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Skills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MCP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Organiza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Conhecimento (instrução)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Ferramenta/capacidade (execução)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Filosofia comum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Evitar sobrecarga de contexto, trabalhar sob demanda, permitir descoberta incremental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idem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Seleção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Automática pelo sistema, com base na relevância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—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✅ Resultado/Conclusão: Skills e Agents </w:t>
      </w:r>
      <w:r>
        <w:rPr>
          <w:rFonts w:ascii="Arial" w:hAnsi="Arial"/>
          <w:b/>
          <w:color w:val="333333"/>
          <w:sz w:val="22"/>
        </w:rPr>
        <w:t>não competem</w:t>
      </w:r>
      <w:r>
        <w:rPr>
          <w:rFonts w:ascii="Arial" w:hAnsi="Arial"/>
          <w:b w:val="0"/>
          <w:color w:val="333333"/>
          <w:sz w:val="22"/>
        </w:rPr>
        <w:t xml:space="preserve"> — se complementam: agents representam papéis, skills representam habilidades (um agent desenvolvedor pode usar skills de banco de dados, teste, API). Combinando Skills + Agents + MCP, o modelo entende contexto, acessa conhecimento relevante, usa ferramenta externa e executa tarefa com autonomia — arquitetura completa.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04 — CypherSuite MCP: Desenvolvendo MCPs do Zero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Construção de um servidor MCP real (criptografia/descriptografia de mensagem), passando de </w:t>
      </w:r>
      <w:r>
        <w:rPr>
          <w:rFonts w:ascii="Arial" w:hAnsi="Arial"/>
          <w:b/>
          <w:color w:val="333333"/>
          <w:sz w:val="22"/>
        </w:rPr>
        <w:t>consumidor</w:t>
      </w:r>
      <w:r>
        <w:rPr>
          <w:rFonts w:ascii="Arial" w:hAnsi="Arial"/>
          <w:b w:val="0"/>
          <w:color w:val="333333"/>
          <w:sz w:val="22"/>
        </w:rPr>
        <w:t xml:space="preserve"> para </w:t>
      </w:r>
      <w:r>
        <w:rPr>
          <w:rFonts w:ascii="Arial" w:hAnsi="Arial"/>
          <w:b/>
          <w:color w:val="333333"/>
          <w:sz w:val="22"/>
        </w:rPr>
        <w:t>implementador</w:t>
      </w:r>
      <w:r>
        <w:rPr>
          <w:rFonts w:ascii="Arial" w:hAnsi="Arial"/>
          <w:b w:val="0"/>
          <w:color w:val="333333"/>
          <w:sz w:val="22"/>
        </w:rPr>
        <w:t xml:space="preserve"> do protocolo.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Fluxo pedagógico central: </w:t>
      </w:r>
      <w:r>
        <w:rPr>
          <w:rFonts w:ascii="Arial" w:hAnsi="Arial"/>
          <w:b/>
          <w:color w:val="333333"/>
          <w:sz w:val="22"/>
        </w:rPr>
        <w:t>testes antes da implementação</w:t>
      </w:r>
      <w:r>
        <w:rPr>
          <w:rFonts w:ascii="Arial" w:hAnsi="Arial"/>
          <w:b w:val="0"/>
          <w:color w:val="333333"/>
          <w:sz w:val="22"/>
        </w:rPr>
        <w:t xml:space="preserve"> — criar suíte de teste com cliente MCP real (subindo o servidor como processo separado, conectando via mesmo transporte de produção) e deixar o primeiro teste </w:t>
      </w:r>
      <w:r>
        <w:rPr>
          <w:rFonts w:ascii="Arial" w:hAnsi="Arial"/>
          <w:b/>
          <w:color w:val="333333"/>
          <w:sz w:val="22"/>
        </w:rPr>
        <w:t>falhar de propósito</w:t>
      </w:r>
      <w:r>
        <w:rPr>
          <w:rFonts w:ascii="Arial" w:hAnsi="Arial"/>
          <w:b w:val="0"/>
          <w:color w:val="333333"/>
          <w:sz w:val="22"/>
        </w:rPr>
        <w:t>, confirmando que a tool ainda não existe. Isso reforça: MCP é software normal, continua exigindo organização de arquivo, separação de responsabilidade, teste automatizado, validação de dado, tratamento de falha.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Registro de tool</w:t>
      </w:r>
      <w:r>
        <w:rPr>
          <w:rFonts w:ascii="Arial" w:hAnsi="Arial"/>
          <w:b w:val="0"/>
          <w:color w:val="333333"/>
          <w:sz w:val="22"/>
        </w:rPr>
        <w:t xml:space="preserve"> exige: nome, descrição, schema de entrada, schema de saída, implementação — o schema tem papel duplo: técnico (impede chamada inválida) e semântico (ajuda o consumidor, incluindo a LLM, a entender como usar a tool corretamente). Retorno de sucesso pode incluir tanto texto quanto JSON estruturado — atende consumidor diferente.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Transporte STDIO</w:t>
      </w:r>
      <w:r>
        <w:rPr>
          <w:rFonts w:ascii="Arial" w:hAnsi="Arial"/>
          <w:b w:val="0"/>
          <w:color w:val="333333"/>
          <w:sz w:val="22"/>
        </w:rPr>
        <w:t xml:space="preserve">: usado para simular execução local (processo aguardando entrada/saída padrão) — reforça que </w:t>
      </w:r>
      <w:r>
        <w:rPr>
          <w:rFonts w:ascii="Arial" w:hAnsi="Arial"/>
          <w:b/>
          <w:color w:val="333333"/>
          <w:sz w:val="22"/>
        </w:rPr>
        <w:t>MCP não é sinônimo de API web pública</w:t>
      </w:r>
      <w:r>
        <w:rPr>
          <w:rFonts w:ascii="Arial" w:hAnsi="Arial"/>
          <w:b w:val="0"/>
          <w:color w:val="333333"/>
          <w:sz w:val="22"/>
        </w:rPr>
        <w:t>, pode ser processo local bem estruturado.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Resources</w:t>
      </w:r>
      <w:r>
        <w:rPr>
          <w:rFonts w:ascii="Arial" w:hAnsi="Arial"/>
          <w:b w:val="0"/>
          <w:color w:val="333333"/>
          <w:sz w:val="22"/>
        </w:rPr>
        <w:t xml:space="preserve"> ≠ tool: não executam ação, retornam </w:t>
      </w:r>
      <w:r>
        <w:rPr>
          <w:rFonts w:ascii="Arial" w:hAnsi="Arial"/>
          <w:b/>
          <w:color w:val="333333"/>
          <w:sz w:val="22"/>
        </w:rPr>
        <w:t>contexto</w:t>
      </w:r>
      <w:r>
        <w:rPr>
          <w:rFonts w:ascii="Arial" w:hAnsi="Arial"/>
          <w:b w:val="0"/>
          <w:color w:val="333333"/>
          <w:sz w:val="22"/>
        </w:rPr>
        <w:t xml:space="preserve"> (documentação embutida no servidor — algoritmo usado, requisito de chave, formato de saída esperado). Isso reduz a necessidade de o modelo procurar informação fora do sistema, e ajuda a decidir </w:t>
      </w:r>
      <w:r>
        <w:rPr>
          <w:rFonts w:ascii="Arial" w:hAnsi="Arial"/>
          <w:i/>
          <w:color w:val="333333"/>
          <w:sz w:val="22"/>
        </w:rPr>
        <w:t>se</w:t>
      </w:r>
      <w:r>
        <w:rPr>
          <w:rFonts w:ascii="Arial" w:hAnsi="Arial"/>
          <w:b w:val="0"/>
          <w:color w:val="333333"/>
          <w:sz w:val="22"/>
        </w:rPr>
        <w:t xml:space="preserve"> deve usar uma tool antes mesmo de chamá-la. </w:t>
      </w:r>
      <w:r>
        <w:rPr>
          <w:rFonts w:ascii="Arial" w:hAnsi="Arial"/>
          <w:b/>
          <w:color w:val="333333"/>
          <w:sz w:val="22"/>
        </w:rPr>
        <w:t>Resource templates</w:t>
      </w:r>
      <w:r>
        <w:rPr>
          <w:rFonts w:ascii="Arial" w:hAnsi="Arial"/>
          <w:b w:val="0"/>
          <w:color w:val="333333"/>
          <w:sz w:val="22"/>
        </w:rPr>
        <w:t xml:space="preserve"> permitem URI parametrizada para cenário dinâmico (não explorado no projeto didático, mas presente no protocolo).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Prompts</w:t>
      </w:r>
      <w:r>
        <w:rPr>
          <w:rFonts w:ascii="Arial" w:hAnsi="Arial"/>
          <w:b w:val="0"/>
          <w:color w:val="333333"/>
          <w:sz w:val="22"/>
        </w:rPr>
        <w:t xml:space="preserve">: templates prontos que orientam </w:t>
      </w:r>
      <w:r>
        <w:rPr>
          <w:rFonts w:ascii="Arial" w:hAnsi="Arial"/>
          <w:b/>
          <w:color w:val="333333"/>
          <w:sz w:val="22"/>
        </w:rPr>
        <w:t>como</w:t>
      </w:r>
      <w:r>
        <w:rPr>
          <w:rFonts w:ascii="Arial" w:hAnsi="Arial"/>
          <w:b w:val="0"/>
          <w:color w:val="333333"/>
          <w:sz w:val="22"/>
        </w:rPr>
        <w:t xml:space="preserve"> pedir para o modelo usar o serviço — reduzem erro de uso, facilitam descoberta, ajudam modelo menos robusto a seguir o caminho certo, melhoram experiência em editor/interface gráfica. Diferença central: resource descreve o serviço; prompt descreve </w:t>
      </w:r>
      <w:r>
        <w:rPr>
          <w:rFonts w:ascii="Arial" w:hAnsi="Arial"/>
          <w:b/>
          <w:color w:val="333333"/>
          <w:sz w:val="22"/>
        </w:rPr>
        <w:t>forma sugerida de usar</w:t>
      </w:r>
      <w:r>
        <w:rPr>
          <w:rFonts w:ascii="Arial" w:hAnsi="Arial"/>
          <w:b w:val="0"/>
          <w:color w:val="333333"/>
          <w:sz w:val="22"/>
        </w:rPr>
        <w:t xml:space="preserve"> o serviço.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>✅ Resultado/Conclusão: tools representam ação; resources representam contexto/documentação; prompts representam forma guiada de uso. Combinados, o servidor MCP deixa de ser "lista isolada de função" e passa a ser interface completa de capacidade — validado ao final conectando o servidor diretamente ao VSCode como cliente MCP real, fechando o ciclo do fluxo prompt → tool → resposta.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05 — Transformando sua Empresa em um Servidor MCP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Cenário realista: transformar API legada (CRUD básico já existente) em servidor MCP bem estruturado — o tipo de sistema presente em quase toda empresa (para cliente, aluno, produto etc.).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🔑 Regra fundamental: </w:t>
      </w:r>
      <w:r>
        <w:rPr>
          <w:rFonts w:ascii="Arial" w:hAnsi="Arial"/>
          <w:b/>
          <w:color w:val="333333"/>
          <w:sz w:val="22"/>
        </w:rPr>
        <w:t>MCP não é espelhamento de endpoint.</w:t>
      </w:r>
      <w:r>
        <w:rPr>
          <w:rFonts w:ascii="Arial" w:hAnsi="Arial"/>
          <w:b w:val="0"/>
          <w:color w:val="333333"/>
          <w:sz w:val="22"/>
        </w:rPr>
        <w:t xml:space="preserve"> Criar uma tool para cada rota REST desperdiça o valor do protocolo — o consumidor (LLM ou sistema) precisaria conhecer muitos endpoints, entender como combiná-los, fazer múltiplas chamadas sequenciais, lidar com detalhe técnico que não deveria ser exposto. O MCP deve </w:t>
      </w:r>
      <w:r>
        <w:rPr>
          <w:rFonts w:ascii="Arial" w:hAnsi="Arial"/>
          <w:b/>
          <w:color w:val="333333"/>
          <w:sz w:val="22"/>
        </w:rPr>
        <w:t>abstrair</w:t>
      </w:r>
      <w:r>
        <w:rPr>
          <w:rFonts w:ascii="Arial" w:hAnsi="Arial"/>
          <w:b w:val="0"/>
          <w:color w:val="333333"/>
          <w:sz w:val="22"/>
        </w:rPr>
        <w:t>, não replicar — funcionando como um "proxy inteligente" que organiza, transforma e prepara o dado para consumo, não um repassador simples de chamada.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Arquitetura em camadas, com responsabilidade separada: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Camada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Responsabilidade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HTTP Client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Fala com a API legada — chamada HTTP, sem regra de negócio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Service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Organiza a lógica da aplicação — agregação, validação, transformação, composição de múltiplas chamadas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MCP (tool/resource)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Expõe a capacidade ao consumidor final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Fluxo completo de uma chamada: cliente MCP → tool → service → HTTP Client → API original → resposta percorre caminho inverso — cada camada com papel bem definido, evitando acoplamento.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🔍 Exemplo detalhado: a API legada usada no projeto não tinha busca por múltiplos critérios (id/nome/telefone) nem busca por nome — mas o MCP oferece essa capacidade mesmo assim, implementando o filtro </w:t>
      </w:r>
      <w:r>
        <w:rPr>
          <w:rFonts w:ascii="Arial" w:hAnsi="Arial"/>
          <w:b/>
          <w:color w:val="333333"/>
          <w:sz w:val="22"/>
        </w:rPr>
        <w:t>na camada de serviço</w:t>
      </w:r>
      <w:r>
        <w:rPr>
          <w:rFonts w:ascii="Arial" w:hAnsi="Arial"/>
          <w:b w:val="0"/>
          <w:color w:val="333333"/>
          <w:sz w:val="22"/>
        </w:rPr>
        <w:t xml:space="preserve"> (busca todos os registros, filtra em memória por atributo informado). Isso demonstra como o MCP pode </w:t>
      </w:r>
      <w:r>
        <w:rPr>
          <w:rFonts w:ascii="Arial" w:hAnsi="Arial"/>
          <w:b/>
          <w:color w:val="333333"/>
          <w:sz w:val="22"/>
        </w:rPr>
        <w:t>enriquecer</w:t>
      </w:r>
      <w:r>
        <w:rPr>
          <w:rFonts w:ascii="Arial" w:hAnsi="Arial"/>
          <w:b w:val="0"/>
          <w:color w:val="333333"/>
          <w:sz w:val="22"/>
        </w:rPr>
        <w:t xml:space="preserve"> a API original, adicionando capacidade que ela não tinha, sem modificar o sistema legado.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Padrão consistente para toda operação de escrita: primeiro o teste (falha proposital), depois a tool (nome, descrição, schema de entrada/saída), depois integração com service, depois com HTTP Client. Tipos genéricos reutilizáveis (ex.: um tipo de "mutação" com id/message/erro) simplificam o contrato entre operações de criação/atualização/remoção. Um erro real encontrado (envio duplicado de id na URL e no corpo em uma requisição PUT) ilustra que integração real sempre tem esse tipo de ajuste fino — API pode exigir corpo completo mesmo em atualização parcial, por exemplo.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✅ Resultado/Conclusão: um MCP bem desenhado permite que o usuário peça algo em linguagem natural (ex.: "remover cliente com determinado nome") sem especificar qual tool usar ou em que sequência — o sistema identifica que precisa buscar o cliente, recupera o id, executa a remoção. Isso só funciona porque </w:t>
      </w:r>
      <w:r>
        <w:rPr>
          <w:rFonts w:ascii="Arial" w:hAnsi="Arial"/>
          <w:b/>
          <w:color w:val="333333"/>
          <w:sz w:val="22"/>
        </w:rPr>
        <w:t>nome de tool, descrição e schema bem definidos</w:t>
      </w:r>
      <w:r>
        <w:rPr>
          <w:rFonts w:ascii="Arial" w:hAnsi="Arial"/>
          <w:b w:val="0"/>
          <w:color w:val="333333"/>
          <w:sz w:val="22"/>
        </w:rPr>
        <w:t xml:space="preserve"> eliminam a necessidade de instrução explícita passo a passo.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06 — Segurança e Governança em MCPs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Publicar aplicação não é só fazê-la funcionar — é garantir controle e proteção. Três pilares: </w:t>
      </w:r>
      <w:r>
        <w:rPr>
          <w:rFonts w:ascii="Arial" w:hAnsi="Arial"/>
          <w:b/>
          <w:color w:val="333333"/>
          <w:sz w:val="22"/>
        </w:rPr>
        <w:t>autenticação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Arial" w:hAnsi="Arial"/>
          <w:b/>
          <w:color w:val="333333"/>
          <w:sz w:val="22"/>
        </w:rPr>
        <w:t>autorização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Arial" w:hAnsi="Arial"/>
          <w:b/>
          <w:color w:val="333333"/>
          <w:sz w:val="22"/>
        </w:rPr>
        <w:t>limitação de uso</w:t>
      </w:r>
      <w:r>
        <w:rPr>
          <w:rFonts w:ascii="Arial" w:hAnsi="Arial"/>
          <w:b w:val="0"/>
          <w:color w:val="333333"/>
          <w:sz w:val="22"/>
        </w:rPr>
        <w:t>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JWT vs. Service Token</w:t>
      </w:r>
      <w:r>
        <w:rPr>
          <w:rFonts w:ascii="Arial" w:hAnsi="Arial"/>
          <w:b w:val="0"/>
          <w:color w:val="333333"/>
          <w:sz w:val="22"/>
        </w:rPr>
        <w:t xml:space="preserve"> — dois modelos para necessidades diferentes: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/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JWT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Service Token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Representa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Sessão de usuário humano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Integração/cliente programático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Expira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Sim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Não automaticamente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Fluxo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Login → token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Emitido uma vez, reutilizado indefinidamente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Risco principal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Mitigado pela expiração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Se vazar, continua válido — exige revogação/rotação/monitoramento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Uso típico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Web app com usuário humano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MCP, integração automatizada, editor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RBAC (Role-Based Access Control)</w:t>
      </w:r>
      <w:r>
        <w:rPr>
          <w:rFonts w:ascii="Arial" w:hAnsi="Arial"/>
          <w:b w:val="0"/>
          <w:color w:val="333333"/>
          <w:sz w:val="22"/>
        </w:rPr>
        <w:t xml:space="preserve">: autenticação responde "quem é você?"; autorização responde "o que você pode fazer?". No exemplo, </w:t>
      </w:r>
      <w:r>
        <w:rPr>
          <w:rFonts w:ascii="Courier New" w:hAnsi="Courier New"/>
          <w:color w:val="333333"/>
          <w:sz w:val="20"/>
        </w:rPr>
        <w:t>member</w:t>
      </w:r>
      <w:r>
        <w:rPr>
          <w:rFonts w:ascii="Arial" w:hAnsi="Arial"/>
          <w:b w:val="0"/>
          <w:color w:val="333333"/>
          <w:sz w:val="22"/>
        </w:rPr>
        <w:t xml:space="preserve"> só leitura, </w:t>
      </w:r>
      <w:r>
        <w:rPr>
          <w:rFonts w:ascii="Courier New" w:hAnsi="Courier New"/>
          <w:color w:val="333333"/>
          <w:sz w:val="20"/>
        </w:rPr>
        <w:t>admin</w:t>
      </w:r>
      <w:r>
        <w:rPr>
          <w:rFonts w:ascii="Arial" w:hAnsi="Arial"/>
          <w:b w:val="0"/>
          <w:color w:val="333333"/>
          <w:sz w:val="22"/>
        </w:rPr>
        <w:t xml:space="preserve"> escrita/atualização/remoção — aplicado via </w:t>
      </w:r>
      <w:r>
        <w:rPr>
          <w:rFonts w:ascii="Courier New" w:hAnsi="Courier New"/>
          <w:color w:val="333333"/>
          <w:sz w:val="20"/>
        </w:rPr>
        <w:t>preHandler</w:t>
      </w:r>
      <w:r>
        <w:rPr>
          <w:rFonts w:ascii="Arial" w:hAnsi="Arial"/>
          <w:b w:val="0"/>
          <w:color w:val="333333"/>
          <w:sz w:val="22"/>
        </w:rPr>
        <w:t xml:space="preserve"> (verificação específica por rota) depois de </w:t>
      </w:r>
      <w:r>
        <w:rPr>
          <w:rFonts w:ascii="Courier New" w:hAnsi="Courier New"/>
          <w:color w:val="333333"/>
          <w:sz w:val="20"/>
        </w:rPr>
        <w:t>onRequest</w:t>
      </w:r>
      <w:r>
        <w:rPr>
          <w:rFonts w:ascii="Arial" w:hAnsi="Arial"/>
          <w:b w:val="0"/>
          <w:color w:val="333333"/>
          <w:sz w:val="22"/>
        </w:rPr>
        <w:t xml:space="preserve"> (verificação geral de que existe token válido). Padrão "seguro por padrão": tudo privado exceto o explicitamente liberado (health check, login, emissão de service token).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Geração de Service Token protegida</w:t>
      </w:r>
      <w:r>
        <w:rPr>
          <w:rFonts w:ascii="Arial" w:hAnsi="Arial"/>
          <w:b w:val="0"/>
          <w:color w:val="333333"/>
          <w:sz w:val="22"/>
        </w:rPr>
        <w:t>: exige um "super secret" adicional (nível de privilégio mais alto) para autorizar a criação de token — evita que qualquer usuário gere token livremente.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Rate limiting</w:t>
      </w:r>
      <w:r>
        <w:rPr>
          <w:rFonts w:ascii="Arial" w:hAnsi="Arial"/>
          <w:b w:val="0"/>
          <w:color w:val="333333"/>
          <w:sz w:val="22"/>
        </w:rPr>
        <w:t xml:space="preserve">: princípio de </w:t>
      </w:r>
      <w:r>
        <w:rPr>
          <w:rFonts w:ascii="Arial" w:hAnsi="Arial"/>
          <w:b/>
          <w:color w:val="333333"/>
          <w:sz w:val="22"/>
        </w:rPr>
        <w:t>confiança zero</w:t>
      </w:r>
      <w:r>
        <w:rPr>
          <w:rFonts w:ascii="Arial" w:hAnsi="Arial"/>
          <w:b w:val="0"/>
          <w:color w:val="333333"/>
          <w:sz w:val="22"/>
        </w:rPr>
        <w:t xml:space="preserve"> — mesmo cliente legítimo pode gerar loop acidental, bug, ou uso indevido. Limite configurado por janela de tempo (ex.: 90 requisições/minuto), identificando o cliente pelo token de autenticação (JWT ou Service Token) com fallback para IP em rota pública — cada credencial tem seu próprio limite, evitando que clientes diferentes competam entre si. Excesso retorna </w:t>
      </w:r>
      <w:r>
        <w:rPr>
          <w:rFonts w:ascii="Arial" w:hAnsi="Arial"/>
          <w:b/>
          <w:color w:val="333333"/>
          <w:sz w:val="22"/>
        </w:rPr>
        <w:t>HTTP 429</w:t>
      </w:r>
      <w:r>
        <w:rPr>
          <w:rFonts w:ascii="Arial" w:hAnsi="Arial"/>
          <w:b w:val="0"/>
          <w:color w:val="333333"/>
          <w:sz w:val="22"/>
        </w:rPr>
        <w:t>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🔑 Regra fundamental: </w:t>
      </w:r>
      <w:r>
        <w:rPr>
          <w:rFonts w:ascii="Arial" w:hAnsi="Arial"/>
          <w:b/>
          <w:color w:val="333333"/>
          <w:sz w:val="22"/>
        </w:rPr>
        <w:t>fail closed, não fail open</w:t>
      </w:r>
      <w:r>
        <w:rPr>
          <w:rFonts w:ascii="Arial" w:hAnsi="Arial"/>
          <w:b w:val="0"/>
          <w:color w:val="333333"/>
          <w:sz w:val="22"/>
        </w:rPr>
        <w:t xml:space="preserve">. O servidor MCP passa a </w:t>
      </w:r>
      <w:r>
        <w:rPr>
          <w:rFonts w:ascii="Arial" w:hAnsi="Arial"/>
          <w:b/>
          <w:color w:val="333333"/>
          <w:sz w:val="22"/>
        </w:rPr>
        <w:t>exigir</w:t>
      </w:r>
      <w:r>
        <w:rPr>
          <w:rFonts w:ascii="Arial" w:hAnsi="Arial"/>
          <w:b w:val="0"/>
          <w:color w:val="333333"/>
          <w:sz w:val="22"/>
        </w:rPr>
        <w:t xml:space="preserve"> Service Token via variável de ambiente para sequer inicializar — se o token não estiver configurado, o processo é interrompido na inicialização. É melhor falhar cedo e visivelmente do que permitir execução em estado inválido/inseguro.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>✅ Resultado/Conclusão: com JWT/RBAC/Service Token/rate limiting integrados ao MCP (não só à API tradicional), o servidor se torna cliente real e disciplinado da API, sujeito às mesmas regras que qualquer outro consumidor — cada erro (token inválido, acesso negado, limite excedido) é tratado explicitamente e retornado de forma estruturada, não silenciosamente ignorado.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07 — MCP em Produção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Publicação como pacote NPM</w:t>
      </w:r>
      <w:r>
        <w:rPr>
          <w:rFonts w:ascii="Arial" w:hAnsi="Arial"/>
          <w:b w:val="0"/>
          <w:color w:val="333333"/>
          <w:sz w:val="22"/>
        </w:rPr>
        <w:t xml:space="preserve"> transforma o MCP local em artefato reutilizável, distribuível, versionado — consumível via </w:t>
      </w:r>
      <w:r>
        <w:rPr>
          <w:rFonts w:ascii="Courier New" w:hAnsi="Courier New"/>
          <w:color w:val="333333"/>
          <w:sz w:val="20"/>
        </w:rPr>
        <w:t>npx</w:t>
      </w:r>
      <w:r>
        <w:rPr>
          <w:rFonts w:ascii="Arial" w:hAnsi="Arial"/>
          <w:b w:val="0"/>
          <w:color w:val="333333"/>
          <w:sz w:val="22"/>
        </w:rPr>
        <w:t xml:space="preserve"> como qualquer outro pacote.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Dois cenários de publicação: </w:t>
      </w:r>
      <w:r>
        <w:rPr>
          <w:rFonts w:ascii="Arial" w:hAnsi="Arial"/>
          <w:b/>
          <w:color w:val="333333"/>
          <w:sz w:val="22"/>
        </w:rPr>
        <w:t>Verdaccio</w:t>
      </w:r>
      <w:r>
        <w:rPr>
          <w:rFonts w:ascii="Arial" w:hAnsi="Arial"/>
          <w:b w:val="0"/>
          <w:color w:val="333333"/>
          <w:sz w:val="22"/>
        </w:rPr>
        <w:t xml:space="preserve"> (registry privado — código não pode ser exposto publicamente, regra de negócio sensível, uso restrito à empresa) e </w:t>
      </w:r>
      <w:r>
        <w:rPr>
          <w:rFonts w:ascii="Arial" w:hAnsi="Arial"/>
          <w:b/>
          <w:color w:val="333333"/>
          <w:sz w:val="22"/>
        </w:rPr>
        <w:t>NPM público</w:t>
      </w:r>
      <w:r>
        <w:rPr>
          <w:rFonts w:ascii="Arial" w:hAnsi="Arial"/>
          <w:b w:val="0"/>
          <w:color w:val="333333"/>
          <w:sz w:val="22"/>
        </w:rPr>
        <w:t xml:space="preserve"> (distribuição global). Boa prática: validar completamente no registry privado antes de publicar no público, evitando versão quebrada exposta a usuário externo. Versionamento semântico (patch/minor/major) obrigatório a cada publicação.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Diferentes transportes MCP</w:t>
      </w:r>
      <w:r>
        <w:rPr>
          <w:rFonts w:ascii="Arial" w:hAnsi="Arial"/>
          <w:b w:val="0"/>
          <w:color w:val="333333"/>
          <w:sz w:val="22"/>
        </w:rPr>
        <w:t>, além do STDIO usado no módulo (execução local, sem infraestrutura adicional, ideal para ferramenta de editor):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Transporte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Quando usar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STDIO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Ferramenta local, automação no ambiente do dev, integração com editor — baixo custo, sem exposição de rede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HTTP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Serviço centralizado, múltiplos clientes acessando o mesmo MCP, necessidade de escalabilidade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Streaming HTTP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Processamento contínuo (vídeo, áudio, geração incremental, pipeline de dado)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Server-Sent Events (SSE)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Conexão aberta com evento contínuo — notificação em tempo real, atualização de estado, monitoramento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MCP também pode rodar em </w:t>
      </w:r>
      <w:r>
        <w:rPr>
          <w:rFonts w:ascii="Arial" w:hAnsi="Arial"/>
          <w:b/>
          <w:color w:val="333333"/>
          <w:sz w:val="22"/>
        </w:rPr>
        <w:t>container</w:t>
      </w:r>
      <w:r>
        <w:rPr>
          <w:rFonts w:ascii="Arial" w:hAnsi="Arial"/>
          <w:b w:val="0"/>
          <w:color w:val="333333"/>
          <w:sz w:val="22"/>
        </w:rPr>
        <w:t xml:space="preserve"> quando o ambiente precisa ser padronizado, há dependência complexa, ou o MCP é parte de sistema maior — trade-off entre simplicidade de adoção (NPM/STDIO) e robustez/escala (HTTP/container).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>✅ Resultado/Conclusão: o MCP não se limita a execução local — pode virar camada de automação (ler evento externo, disparar ação, integrar múltiplos sistemas, orquestrar workflow), conectando ferramenta de produtividade, plataforma de comunicação e serviço externo. O protocolo é a base; o valor real está em como se decide utilizá-lo.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08 — Usando o MCP com LangChain.js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Fechamento do módulo: o Customers MCP Server construído e publicado nos módulos anteriores é consumido como </w:t>
      </w:r>
      <w:r>
        <w:rPr>
          <w:rFonts w:ascii="Arial" w:hAnsi="Arial"/>
          <w:b/>
          <w:color w:val="333333"/>
          <w:sz w:val="22"/>
        </w:rPr>
        <w:t>dependência real</w:t>
      </w:r>
      <w:r>
        <w:rPr>
          <w:rFonts w:ascii="Arial" w:hAnsi="Arial"/>
          <w:b w:val="0"/>
          <w:color w:val="333333"/>
          <w:sz w:val="22"/>
        </w:rPr>
        <w:t xml:space="preserve"> dentro de uma aplicação LangChain.js — não mais código-fonte local, mas pacote publicado via NPM, autenticado via Service Token.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 prompt do agente é </w:t>
      </w:r>
      <w:r>
        <w:rPr>
          <w:rFonts w:ascii="Arial" w:hAnsi="Arial"/>
          <w:b/>
          <w:color w:val="333333"/>
          <w:sz w:val="22"/>
        </w:rPr>
        <w:t>intencionalmente genérico</w:t>
      </w:r>
      <w:r>
        <w:rPr>
          <w:rFonts w:ascii="Arial" w:hAnsi="Arial"/>
          <w:b w:val="0"/>
          <w:color w:val="333333"/>
          <w:sz w:val="22"/>
        </w:rPr>
        <w:t xml:space="preserve">: "se a intenção estiver relacionada a cliente, usar as tools de cliente; senão, recorrer às demais ferramentas disponíveis" — sem fluxo imperativo detalhando cada cenário. O agente consome </w:t>
      </w:r>
      <w:r>
        <w:rPr>
          <w:rFonts w:ascii="Arial" w:hAnsi="Arial"/>
          <w:b/>
          <w:color w:val="333333"/>
          <w:sz w:val="22"/>
        </w:rPr>
        <w:t>múltiplos servidores MCP simultaneamente</w:t>
      </w:r>
      <w:r>
        <w:rPr>
          <w:rFonts w:ascii="Arial" w:hAnsi="Arial"/>
          <w:b w:val="0"/>
          <w:color w:val="333333"/>
          <w:sz w:val="22"/>
        </w:rPr>
        <w:t xml:space="preserve"> (File System + Customers MCP), demonstrando que uma aplicação real dificilmente trabalha com um único sistema.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>🔍 Exemplo detalhado: solicitação rica ("criar três clientes de teste, salvar em arquivo, depois listar") força o agente a encadear ação através de dois MCPs diferentes — usa o Customers MCP para criar registro, o File System MCP para persistir resultado, volta ao Customers MCP para listar o estado final — tudo sem controlador explícito dizendo "primeiro isso, depois aquilo".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⚠️ Limitação observada: sem memória de conversa consolidada, pergunta muito dependente de contexto anterior (ex.: pedir o id de um cliente recém-criado sem repetir o contexto) pode não funcionar como esperado — reforçando que </w:t>
      </w:r>
      <w:r>
        <w:rPr>
          <w:rFonts w:ascii="Arial" w:hAnsi="Arial"/>
          <w:b/>
          <w:color w:val="333333"/>
          <w:sz w:val="22"/>
        </w:rPr>
        <w:t>MCP resolve integração, não substitui arquitetura de agente</w:t>
      </w:r>
      <w:r>
        <w:rPr>
          <w:rFonts w:ascii="Arial" w:hAnsi="Arial"/>
          <w:b w:val="0"/>
          <w:color w:val="333333"/>
          <w:sz w:val="22"/>
        </w:rPr>
        <w:t xml:space="preserve"> (gestão de histórico, memória entre interação, desenho do grafo continuam sendo responsabilidade à parte).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✅ Resultado/Conclusão: o ganho arquitetural central é o </w:t>
      </w:r>
      <w:r>
        <w:rPr>
          <w:rFonts w:ascii="Arial" w:hAnsi="Arial"/>
          <w:b/>
          <w:color w:val="333333"/>
          <w:sz w:val="22"/>
        </w:rPr>
        <w:t>desacoplamento</w:t>
      </w:r>
      <w:r>
        <w:rPr>
          <w:rFonts w:ascii="Arial" w:hAnsi="Arial"/>
          <w:b w:val="0"/>
          <w:color w:val="333333"/>
          <w:sz w:val="22"/>
        </w:rPr>
        <w:t xml:space="preserve"> — a aplicação inteligente não precisa conhecer o detalhe da API original, só as ações que o MCP decidiu expor. MCP funciona como ponte de modernização: não substitui o sistema legado, cria uma camada de adaptação inteligente sobre ele, tornando-o consumível por agente e LLM sem reescrever nada do sistema original.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3. Detalhes de Implementação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Os projetos principais do módulo (API legada + servidor MCP de clientes + analisador de vendas) foram portados 1:1 para Java (Spring Boot) e Go, evidenciando o mesmo contrato de comportamento em três stacks diferentes.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3.1 Legacy Customer API — Go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O que faz: API REST original de clientes que será encapsulada pelo MCP — com JWT, Service Token, RBAC e rate limiting já implementados (o "sistema legado com segurança" construído nos módulos 05 e 06).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Fluxo de dados: </w:t>
      </w:r>
      <w:r>
        <w:rPr>
          <w:rFonts w:ascii="Courier New" w:hAnsi="Courier New"/>
          <w:color w:val="333333"/>
          <w:sz w:val="20"/>
        </w:rPr>
        <w:t>POST /auth/login</w:t>
      </w:r>
      <w:r>
        <w:rPr>
          <w:rFonts w:ascii="Arial" w:hAnsi="Arial"/>
          <w:b w:val="0"/>
          <w:color w:val="333333"/>
          <w:sz w:val="22"/>
        </w:rPr>
        <w:t xml:space="preserve"> (usuário/senha → JWT com claim de role) e </w:t>
      </w:r>
      <w:r>
        <w:rPr>
          <w:rFonts w:ascii="Courier New" w:hAnsi="Courier New"/>
          <w:color w:val="333333"/>
          <w:sz w:val="20"/>
        </w:rPr>
        <w:t>POST /auth/service-token</w:t>
      </w:r>
      <w:r>
        <w:rPr>
          <w:rFonts w:ascii="Arial" w:hAnsi="Arial"/>
          <w:b w:val="0"/>
          <w:color w:val="333333"/>
          <w:sz w:val="22"/>
        </w:rPr>
        <w:t xml:space="preserve"> (requer header </w:t>
      </w:r>
      <w:r>
        <w:rPr>
          <w:rFonts w:ascii="Courier New" w:hAnsi="Courier New"/>
          <w:color w:val="333333"/>
          <w:sz w:val="20"/>
        </w:rPr>
        <w:t>X-Super-Secret</w:t>
      </w:r>
      <w:r>
        <w:rPr>
          <w:rFonts w:ascii="Arial" w:hAnsi="Arial"/>
          <w:b w:val="0"/>
          <w:color w:val="333333"/>
          <w:sz w:val="22"/>
        </w:rPr>
        <w:t xml:space="preserve"> → token permanente com role ADMIN) → middleware de rate limit (bucket por token, 90 req/min, refill contínuo) → middleware de autenticação (popula role a partir do token) → middleware de autorização por rota (</w:t>
      </w:r>
      <w:r>
        <w:rPr>
          <w:rFonts w:ascii="Courier New" w:hAnsi="Courier New"/>
          <w:color w:val="333333"/>
          <w:sz w:val="20"/>
        </w:rPr>
        <w:t>MEMBER</w:t>
      </w:r>
      <w:r>
        <w:rPr>
          <w:rFonts w:ascii="Arial" w:hAnsi="Arial"/>
          <w:b w:val="0"/>
          <w:color w:val="333333"/>
          <w:sz w:val="22"/>
        </w:rPr>
        <w:t xml:space="preserve"> só lê; </w:t>
      </w:r>
      <w:r>
        <w:rPr>
          <w:rFonts w:ascii="Courier New" w:hAnsi="Courier New"/>
          <w:color w:val="333333"/>
          <w:sz w:val="20"/>
        </w:rPr>
        <w:t>ADMIN</w:t>
      </w:r>
      <w:r>
        <w:rPr>
          <w:rFonts w:ascii="Arial" w:hAnsi="Arial"/>
          <w:b w:val="0"/>
          <w:color w:val="333333"/>
          <w:sz w:val="22"/>
        </w:rPr>
        <w:t xml:space="preserve"> também escreve) → handler de CRUD de clientes.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Trecho de código (Go) — wrapper de autorização por papel, aplicado explicitamente rota a rota: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func RequireRole(handler http.HandlerFunc, roles ...string) http.HandlerFunc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return func(w http.ResponseWriter, r *http.Request)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role := r.Context().Value(roleKey).(string)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for _, allowed := range roles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if role == allowed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    handler(w, r)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    return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}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http.Error(w, "forbidden", http.StatusForbidden) // 403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}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Arquitetura: rate limiting implementado como token bucket manual (</w:t>
      </w:r>
      <w:r>
        <w:rPr>
          <w:rFonts w:ascii="Courier New" w:hAnsi="Courier New"/>
          <w:color w:val="333333"/>
          <w:sz w:val="20"/>
        </w:rPr>
        <w:t>middleware/ratelimit.go</w:t>
      </w:r>
      <w:r>
        <w:rPr>
          <w:rFonts w:ascii="Arial" w:hAnsi="Arial"/>
          <w:b w:val="0"/>
          <w:color w:val="333333"/>
          <w:sz w:val="22"/>
        </w:rPr>
        <w:t xml:space="preserve">, sem dependência externa, mesmo algoritmo do Bucket4j usado na versão Java), aplicado só a requisição autenticada (com header </w:t>
      </w:r>
      <w:r>
        <w:rPr>
          <w:rFonts w:ascii="Courier New" w:hAnsi="Courier New"/>
          <w:color w:val="333333"/>
          <w:sz w:val="20"/>
        </w:rPr>
        <w:t>Authorization: Bearer</w:t>
      </w:r>
      <w:r>
        <w:rPr>
          <w:rFonts w:ascii="Arial" w:hAnsi="Arial"/>
          <w:b w:val="0"/>
          <w:color w:val="333333"/>
          <w:sz w:val="22"/>
        </w:rPr>
        <w:t xml:space="preserve">) — um bucket por token, protegido por </w:t>
      </w:r>
      <w:r>
        <w:rPr>
          <w:rFonts w:ascii="Courier New" w:hAnsi="Courier New"/>
          <w:color w:val="333333"/>
          <w:sz w:val="20"/>
        </w:rPr>
        <w:t>sync.Mutex</w:t>
      </w:r>
      <w:r>
        <w:rPr>
          <w:rFonts w:ascii="Arial" w:hAnsi="Arial"/>
          <w:b w:val="0"/>
          <w:color w:val="333333"/>
          <w:sz w:val="22"/>
        </w:rPr>
        <w:t>/</w:t>
      </w:r>
      <w:r>
        <w:rPr>
          <w:rFonts w:ascii="Courier New" w:hAnsi="Courier New"/>
          <w:color w:val="333333"/>
          <w:sz w:val="20"/>
        </w:rPr>
        <w:t>sync.RWMutex</w:t>
      </w:r>
      <w:r>
        <w:rPr>
          <w:rFonts w:ascii="Arial" w:hAnsi="Arial"/>
          <w:b w:val="0"/>
          <w:color w:val="333333"/>
          <w:sz w:val="22"/>
        </w:rPr>
        <w:t xml:space="preserve"> porque o servidor Go atende requisição concorrentemente.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Como rodar: </w:t>
      </w:r>
      <w:r>
        <w:rPr>
          <w:rFonts w:ascii="Courier New" w:hAnsi="Courier New"/>
          <w:color w:val="333333"/>
          <w:sz w:val="20"/>
        </w:rPr>
        <w:t>cp .env.example .env &amp;&amp; go run .</w:t>
      </w:r>
      <w:r>
        <w:rPr>
          <w:rFonts w:ascii="Arial" w:hAnsi="Arial"/>
          <w:b w:val="0"/>
          <w:color w:val="333333"/>
          <w:sz w:val="22"/>
        </w:rPr>
        <w:t xml:space="preserve">; usuários fixos </w:t>
      </w:r>
      <w:r>
        <w:rPr>
          <w:rFonts w:ascii="Courier New" w:hAnsi="Courier New"/>
          <w:color w:val="333333"/>
          <w:sz w:val="20"/>
        </w:rPr>
        <w:t>admin</w:t>
      </w:r>
      <w:r>
        <w:rPr>
          <w:rFonts w:ascii="Arial" w:hAnsi="Arial"/>
          <w:b w:val="0"/>
          <w:color w:val="333333"/>
          <w:sz w:val="22"/>
        </w:rPr>
        <w:t>/</w:t>
      </w:r>
      <w:r>
        <w:rPr>
          <w:rFonts w:ascii="Courier New" w:hAnsi="Courier New"/>
          <w:color w:val="333333"/>
          <w:sz w:val="20"/>
        </w:rPr>
        <w:t>password123</w:t>
      </w:r>
      <w:r>
        <w:rPr>
          <w:rFonts w:ascii="Arial" w:hAnsi="Arial"/>
          <w:b w:val="0"/>
          <w:color w:val="333333"/>
          <w:sz w:val="22"/>
        </w:rPr>
        <w:t xml:space="preserve"> (ADMIN) e </w:t>
      </w:r>
      <w:r>
        <w:rPr>
          <w:rFonts w:ascii="Courier New" w:hAnsi="Courier New"/>
          <w:color w:val="333333"/>
          <w:sz w:val="20"/>
        </w:rPr>
        <w:t>member</w:t>
      </w:r>
      <w:r>
        <w:rPr>
          <w:rFonts w:ascii="Arial" w:hAnsi="Arial"/>
          <w:b w:val="0"/>
          <w:color w:val="333333"/>
          <w:sz w:val="22"/>
        </w:rPr>
        <w:t>/</w:t>
      </w:r>
      <w:r>
        <w:rPr>
          <w:rFonts w:ascii="Courier New" w:hAnsi="Courier New"/>
          <w:color w:val="333333"/>
          <w:sz w:val="20"/>
        </w:rPr>
        <w:t>pass456</w:t>
      </w:r>
      <w:r>
        <w:rPr>
          <w:rFonts w:ascii="Arial" w:hAnsi="Arial"/>
          <w:b w:val="0"/>
          <w:color w:val="333333"/>
          <w:sz w:val="22"/>
        </w:rPr>
        <w:t xml:space="preserve"> (MEMBER), 5 clientes pré-cadastrados.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3.2 MCP Customers Server — Go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O que faz: o servidor MCP propriamente dito, encapsulando a Legacy Customer API — expõe 5 tools (</w:t>
      </w:r>
      <w:r>
        <w:rPr>
          <w:rFonts w:ascii="Courier New" w:hAnsi="Courier New"/>
          <w:color w:val="333333"/>
          <w:sz w:val="20"/>
        </w:rPr>
        <w:t>listCustomers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Courier New" w:hAnsi="Courier New"/>
          <w:color w:val="333333"/>
          <w:sz w:val="20"/>
        </w:rPr>
        <w:t>searchCustomer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Courier New" w:hAnsi="Courier New"/>
          <w:color w:val="333333"/>
          <w:sz w:val="20"/>
        </w:rPr>
        <w:t>createCustomer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Courier New" w:hAnsi="Courier New"/>
          <w:color w:val="333333"/>
          <w:sz w:val="20"/>
        </w:rPr>
        <w:t>updateCustomer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Courier New" w:hAnsi="Courier New"/>
          <w:color w:val="333333"/>
          <w:sz w:val="20"/>
        </w:rPr>
        <w:t>deleteCustomer</w:t>
      </w:r>
      <w:r>
        <w:rPr>
          <w:rFonts w:ascii="Arial" w:hAnsi="Arial"/>
          <w:b w:val="0"/>
          <w:color w:val="333333"/>
          <w:sz w:val="22"/>
        </w:rPr>
        <w:t>), 1 resource (</w:t>
      </w:r>
      <w:r>
        <w:rPr>
          <w:rFonts w:ascii="Courier New" w:hAnsi="Courier New"/>
          <w:color w:val="333333"/>
          <w:sz w:val="20"/>
        </w:rPr>
        <w:t>info://api</w:t>
      </w:r>
      <w:r>
        <w:rPr>
          <w:rFonts w:ascii="Arial" w:hAnsi="Arial"/>
          <w:b w:val="0"/>
          <w:color w:val="333333"/>
          <w:sz w:val="22"/>
        </w:rPr>
        <w:t xml:space="preserve">, documentação Markdown da API legada) e 2 prompts (busca e criação de cliente), via transporte </w:t>
      </w:r>
      <w:r>
        <w:rPr>
          <w:rFonts w:ascii="Arial" w:hAnsi="Arial"/>
          <w:b/>
          <w:color w:val="333333"/>
          <w:sz w:val="22"/>
        </w:rPr>
        <w:t>stdio</w:t>
      </w:r>
      <w:r>
        <w:rPr>
          <w:rFonts w:ascii="Arial" w:hAnsi="Arial"/>
          <w:b w:val="0"/>
          <w:color w:val="333333"/>
          <w:sz w:val="22"/>
        </w:rPr>
        <w:t>, consumível por Claude Desktop e outros clientes MCP.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Fluxo de dados: cliente MCP (editor/agente) → tool via stdio (JSON-RPC) → chamada HTTP à Legacy Customer API (com </w:t>
      </w:r>
      <w:r>
        <w:rPr>
          <w:rFonts w:ascii="Courier New" w:hAnsi="Courier New"/>
          <w:color w:val="333333"/>
          <w:sz w:val="20"/>
        </w:rPr>
        <w:t>API_SERVICE_TOKEN</w:t>
      </w:r>
      <w:r>
        <w:rPr>
          <w:rFonts w:ascii="Arial" w:hAnsi="Arial"/>
          <w:b w:val="0"/>
          <w:color w:val="333333"/>
          <w:sz w:val="22"/>
        </w:rPr>
        <w:t xml:space="preserve"> no header) → resposta processada e devolvida ao cliente. </w:t>
      </w:r>
      <w:r>
        <w:rPr>
          <w:rFonts w:ascii="Courier New" w:hAnsi="Courier New"/>
          <w:color w:val="333333"/>
          <w:sz w:val="20"/>
        </w:rPr>
        <w:t>searchCustomer</w:t>
      </w:r>
      <w:r>
        <w:rPr>
          <w:rFonts w:ascii="Arial" w:hAnsi="Arial"/>
          <w:b w:val="0"/>
          <w:color w:val="333333"/>
          <w:sz w:val="22"/>
        </w:rPr>
        <w:t xml:space="preserve"> filtra em memória (a API legada não tem busca nativa) — mesma lógica de enriquecimento descrita no Módulo 05, com correspondência exata para </w:t>
      </w:r>
      <w:r>
        <w:rPr>
          <w:rFonts w:ascii="Courier New" w:hAnsi="Courier New"/>
          <w:color w:val="333333"/>
          <w:sz w:val="20"/>
        </w:rPr>
        <w:t>id</w:t>
      </w:r>
      <w:r>
        <w:rPr>
          <w:rFonts w:ascii="Arial" w:hAnsi="Arial"/>
          <w:b w:val="0"/>
          <w:color w:val="333333"/>
          <w:sz w:val="22"/>
        </w:rPr>
        <w:t xml:space="preserve"> e parcial case-insensitive para </w:t>
      </w:r>
      <w:r>
        <w:rPr>
          <w:rFonts w:ascii="Courier New" w:hAnsi="Courier New"/>
          <w:color w:val="333333"/>
          <w:sz w:val="20"/>
        </w:rPr>
        <w:t>name</w:t>
      </w:r>
      <w:r>
        <w:rPr>
          <w:rFonts w:ascii="Arial" w:hAnsi="Arial"/>
          <w:b w:val="0"/>
          <w:color w:val="333333"/>
          <w:sz w:val="22"/>
        </w:rPr>
        <w:t>/</w:t>
      </w:r>
      <w:r>
        <w:rPr>
          <w:rFonts w:ascii="Courier New" w:hAnsi="Courier New"/>
          <w:color w:val="333333"/>
          <w:sz w:val="20"/>
        </w:rPr>
        <w:t>phone</w:t>
      </w:r>
      <w:r>
        <w:rPr>
          <w:rFonts w:ascii="Arial" w:hAnsi="Arial"/>
          <w:b w:val="0"/>
          <w:color w:val="333333"/>
          <w:sz w:val="22"/>
        </w:rPr>
        <w:t>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Trecho de código (Go) — registro de tool tipada usando o SDK oficial Go do MCP, schema gerado por reflection a partir dos structs </w:t>
      </w:r>
      <w:r>
        <w:rPr>
          <w:rFonts w:ascii="Courier New" w:hAnsi="Courier New"/>
          <w:color w:val="333333"/>
          <w:sz w:val="20"/>
        </w:rPr>
        <w:t>In</w:t>
      </w:r>
      <w:r>
        <w:rPr>
          <w:rFonts w:ascii="Arial" w:hAnsi="Arial"/>
          <w:b w:val="0"/>
          <w:color w:val="333333"/>
          <w:sz w:val="22"/>
        </w:rPr>
        <w:t>/</w:t>
      </w:r>
      <w:r>
        <w:rPr>
          <w:rFonts w:ascii="Courier New" w:hAnsi="Courier New"/>
          <w:color w:val="333333"/>
          <w:sz w:val="20"/>
        </w:rPr>
        <w:t>Out</w:t>
      </w:r>
      <w:r>
        <w:rPr>
          <w:rFonts w:ascii="Arial" w:hAnsi="Arial"/>
          <w:b w:val="0"/>
          <w:color w:val="333333"/>
          <w:sz w:val="22"/>
        </w:rPr>
        <w:t>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mcp.AddTool(server, &amp;mcp.Tool{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Name:        "searchCustomer",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Description: "Busca clientes por id, nome ou telefone (filtro em memória)",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}, func(ctx context.Context, req *mcp.CallToolRequest, in SearchCustomerIn) (*mcp.CallToolResult, SearchCustomerOut, error)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customers := filterCustomers(allCustomers, in.ID, in.Name, in.Phone)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return nil, SearchCustomerOut{Customers: customers}, nil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})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Arquitetura: onde o Spring AI MCP Server usa anotação </w:t>
      </w:r>
      <w:r>
        <w:rPr>
          <w:rFonts w:ascii="Courier New" w:hAnsi="Courier New"/>
          <w:color w:val="333333"/>
          <w:sz w:val="20"/>
        </w:rPr>
        <w:t>@Tool</w:t>
      </w:r>
      <w:r>
        <w:rPr>
          <w:rFonts w:ascii="Arial" w:hAnsi="Arial"/>
          <w:b w:val="0"/>
          <w:color w:val="333333"/>
          <w:sz w:val="22"/>
        </w:rPr>
        <w:t>/</w:t>
      </w:r>
      <w:r>
        <w:rPr>
          <w:rFonts w:ascii="Courier New" w:hAnsi="Courier New"/>
          <w:color w:val="333333"/>
          <w:sz w:val="20"/>
        </w:rPr>
        <w:t>@ToolParam</w:t>
      </w:r>
      <w:r>
        <w:rPr>
          <w:rFonts w:ascii="Arial" w:hAnsi="Arial"/>
          <w:b w:val="0"/>
          <w:color w:val="333333"/>
          <w:sz w:val="22"/>
        </w:rPr>
        <w:t xml:space="preserve"> sobre método, o SDK Go usa </w:t>
      </w:r>
      <w:r>
        <w:rPr>
          <w:rFonts w:ascii="Courier New" w:hAnsi="Courier New"/>
          <w:color w:val="333333"/>
          <w:sz w:val="20"/>
        </w:rPr>
        <w:t>mcp.AddTool</w:t>
      </w:r>
      <w:r>
        <w:rPr>
          <w:rFonts w:ascii="Arial" w:hAnsi="Arial"/>
          <w:b w:val="0"/>
          <w:color w:val="333333"/>
          <w:sz w:val="22"/>
        </w:rPr>
        <w:t xml:space="preserve"> genérico com structs de entrada/saída tipados — schema JSON derivado automaticamente por reflection. Uma adaptação notável: o schema de saída de </w:t>
      </w:r>
      <w:r>
        <w:rPr>
          <w:rFonts w:ascii="Courier New" w:hAnsi="Courier New"/>
          <w:color w:val="333333"/>
          <w:sz w:val="20"/>
        </w:rPr>
        <w:t>listCustomers</w:t>
      </w:r>
      <w:r>
        <w:rPr>
          <w:rFonts w:ascii="Arial" w:hAnsi="Arial"/>
          <w:b w:val="0"/>
          <w:color w:val="333333"/>
          <w:sz w:val="22"/>
        </w:rPr>
        <w:t xml:space="preserve"> precisou ser envelopado em </w:t>
      </w:r>
      <w:r>
        <w:rPr>
          <w:rFonts w:ascii="Courier New" w:hAnsi="Courier New"/>
          <w:color w:val="333333"/>
          <w:sz w:val="20"/>
        </w:rPr>
        <w:t>{"customers": [...]}</w:t>
      </w:r>
      <w:r>
        <w:rPr>
          <w:rFonts w:ascii="Arial" w:hAnsi="Arial"/>
          <w:b w:val="0"/>
          <w:color w:val="333333"/>
          <w:sz w:val="22"/>
        </w:rPr>
        <w:t xml:space="preserve"> porque o SDK Go do MCP exige schema de saída estruturada do tipo </w:t>
      </w:r>
      <w:r>
        <w:rPr>
          <w:rFonts w:ascii="Courier New" w:hAnsi="Courier New"/>
          <w:color w:val="333333"/>
          <w:sz w:val="20"/>
        </w:rPr>
        <w:t>object</w:t>
      </w:r>
      <w:r>
        <w:rPr>
          <w:rFonts w:ascii="Arial" w:hAnsi="Arial"/>
          <w:b w:val="0"/>
          <w:color w:val="333333"/>
          <w:sz w:val="22"/>
        </w:rPr>
        <w:t xml:space="preserve"> no nível raiz (array solto não é aceito) — o conteúdo textual visto pela LLM continua sendo o mesmo JSON.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Como rodar: </w:t>
      </w:r>
      <w:r>
        <w:rPr>
          <w:rFonts w:ascii="Courier New" w:hAnsi="Courier New"/>
          <w:color w:val="333333"/>
          <w:sz w:val="20"/>
        </w:rPr>
        <w:t>cp .env.example .env</w:t>
      </w:r>
      <w:r>
        <w:rPr>
          <w:rFonts w:ascii="Arial" w:hAnsi="Arial"/>
          <w:b w:val="0"/>
          <w:color w:val="333333"/>
          <w:sz w:val="22"/>
        </w:rPr>
        <w:t xml:space="preserve"> (com </w:t>
      </w:r>
      <w:r>
        <w:rPr>
          <w:rFonts w:ascii="Courier New" w:hAnsi="Courier New"/>
          <w:color w:val="333333"/>
          <w:sz w:val="20"/>
        </w:rPr>
        <w:t>LEGACY_API_URL</w:t>
      </w:r>
      <w:r>
        <w:rPr>
          <w:rFonts w:ascii="Arial" w:hAnsi="Arial"/>
          <w:b w:val="0"/>
          <w:color w:val="333333"/>
          <w:sz w:val="22"/>
        </w:rPr>
        <w:t xml:space="preserve"> e </w:t>
      </w:r>
      <w:r>
        <w:rPr>
          <w:rFonts w:ascii="Courier New" w:hAnsi="Courier New"/>
          <w:color w:val="333333"/>
          <w:sz w:val="20"/>
        </w:rPr>
        <w:t>API_SERVICE_TOKEN</w:t>
      </w:r>
      <w:r>
        <w:rPr>
          <w:rFonts w:ascii="Arial" w:hAnsi="Arial"/>
          <w:b w:val="0"/>
          <w:color w:val="333333"/>
          <w:sz w:val="22"/>
        </w:rPr>
        <w:t xml:space="preserve">) e </w:t>
      </w:r>
      <w:r>
        <w:rPr>
          <w:rFonts w:ascii="Courier New" w:hAnsi="Courier New"/>
          <w:color w:val="333333"/>
          <w:sz w:val="20"/>
        </w:rPr>
        <w:t>go run .</w:t>
      </w:r>
      <w:r>
        <w:rPr>
          <w:rFonts w:ascii="Arial" w:hAnsi="Arial"/>
          <w:b w:val="0"/>
          <w:color w:val="333333"/>
          <w:sz w:val="22"/>
        </w:rPr>
        <w:t xml:space="preserve">; testar interativamente com </w:t>
      </w:r>
      <w:r>
        <w:rPr>
          <w:rFonts w:ascii="Courier New" w:hAnsi="Courier New"/>
          <w:color w:val="333333"/>
          <w:sz w:val="20"/>
        </w:rPr>
        <w:t>npx @modelcontextprotocol/inspector go run .</w:t>
      </w:r>
      <w:r>
        <w:rPr>
          <w:rFonts w:ascii="Arial" w:hAnsi="Arial"/>
          <w:b w:val="0"/>
          <w:color w:val="333333"/>
          <w:sz w:val="22"/>
        </w:rPr>
        <w:t>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3.3 MCP Sales Analyzer — Go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 que faz: agente de análise de vendas com pipeline </w:t>
      </w:r>
      <w:r>
        <w:rPr>
          <w:rFonts w:ascii="Courier New" w:hAnsi="Courier New"/>
          <w:color w:val="333333"/>
          <w:sz w:val="20"/>
        </w:rPr>
        <w:t>IntentNode → ExecutorNode</w:t>
      </w:r>
      <w:r>
        <w:rPr>
          <w:rFonts w:ascii="Arial" w:hAnsi="Arial"/>
          <w:b w:val="0"/>
          <w:color w:val="333333"/>
          <w:sz w:val="22"/>
        </w:rPr>
        <w:t xml:space="preserve">, expondo </w:t>
      </w:r>
      <w:r>
        <w:rPr>
          <w:rFonts w:ascii="Courier New" w:hAnsi="Courier New"/>
          <w:color w:val="333333"/>
          <w:sz w:val="20"/>
        </w:rPr>
        <w:t>POST /analyze</w:t>
      </w:r>
      <w:r>
        <w:rPr>
          <w:rFonts w:ascii="Arial" w:hAnsi="Arial"/>
          <w:b w:val="0"/>
          <w:color w:val="333333"/>
          <w:sz w:val="22"/>
        </w:rPr>
        <w:t xml:space="preserve"> — usa a OpenAI diretamente com </w:t>
      </w:r>
      <w:r>
        <w:rPr>
          <w:rFonts w:ascii="Arial" w:hAnsi="Arial"/>
          <w:b/>
          <w:color w:val="333333"/>
          <w:sz w:val="22"/>
        </w:rPr>
        <w:t>function calling</w:t>
      </w:r>
      <w:r>
        <w:rPr>
          <w:rFonts w:ascii="Arial" w:hAnsi="Arial"/>
          <w:b w:val="0"/>
          <w:color w:val="333333"/>
          <w:sz w:val="22"/>
        </w:rPr>
        <w:t xml:space="preserve"> para acionar a tool local </w:t>
      </w:r>
      <w:r>
        <w:rPr>
          <w:rFonts w:ascii="Courier New" w:hAnsi="Courier New"/>
          <w:color w:val="333333"/>
          <w:sz w:val="20"/>
        </w:rPr>
        <w:t>csvToJson</w:t>
      </w:r>
      <w:r>
        <w:rPr>
          <w:rFonts w:ascii="Arial" w:hAnsi="Arial"/>
          <w:b w:val="0"/>
          <w:color w:val="333333"/>
          <w:sz w:val="22"/>
        </w:rPr>
        <w:t>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Fluxo de dados: requisição (</w:t>
      </w:r>
      <w:r>
        <w:rPr>
          <w:rFonts w:ascii="Courier New" w:hAnsi="Courier New"/>
          <w:color w:val="333333"/>
          <w:sz w:val="20"/>
        </w:rPr>
        <w:t>question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Courier New" w:hAnsi="Courier New"/>
          <w:color w:val="333333"/>
          <w:sz w:val="20"/>
        </w:rPr>
        <w:t>data</w:t>
      </w:r>
      <w:r>
        <w:rPr>
          <w:rFonts w:ascii="Arial" w:hAnsi="Arial"/>
          <w:b w:val="0"/>
          <w:color w:val="333333"/>
          <w:sz w:val="22"/>
        </w:rPr>
        <w:t xml:space="preserve">) → </w:t>
      </w:r>
      <w:r>
        <w:rPr>
          <w:rFonts w:ascii="Courier New" w:hAnsi="Courier New"/>
          <w:color w:val="333333"/>
          <w:sz w:val="20"/>
        </w:rPr>
        <w:t>IntentNode</w:t>
      </w:r>
      <w:r>
        <w:rPr>
          <w:rFonts w:ascii="Arial" w:hAnsi="Arial"/>
          <w:b w:val="0"/>
          <w:color w:val="333333"/>
          <w:sz w:val="22"/>
        </w:rPr>
        <w:t xml:space="preserve"> extrai intenção estruturada via prompt JSON (</w:t>
      </w:r>
      <w:r>
        <w:rPr>
          <w:rFonts w:ascii="Courier New" w:hAnsi="Courier New"/>
          <w:color w:val="333333"/>
          <w:sz w:val="20"/>
        </w:rPr>
        <w:t>dataType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Courier New" w:hAnsi="Courier New"/>
          <w:color w:val="333333"/>
          <w:sz w:val="20"/>
        </w:rPr>
        <w:t>parsedData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Courier New" w:hAnsi="Courier New"/>
          <w:color w:val="333333"/>
          <w:sz w:val="20"/>
        </w:rPr>
        <w:t>suggestedTools</w:t>
      </w:r>
      <w:r>
        <w:rPr>
          <w:rFonts w:ascii="Arial" w:hAnsi="Arial"/>
          <w:b w:val="0"/>
          <w:color w:val="333333"/>
          <w:sz w:val="22"/>
        </w:rPr>
        <w:t>), com detecção heurística de tipo (</w:t>
      </w:r>
      <w:r>
        <w:rPr>
          <w:rFonts w:ascii="Courier New" w:hAnsi="Courier New"/>
          <w:color w:val="333333"/>
          <w:sz w:val="20"/>
        </w:rPr>
        <w:t>[</w:t>
      </w:r>
      <w:r>
        <w:rPr>
          <w:rFonts w:ascii="Arial" w:hAnsi="Arial"/>
          <w:b w:val="0"/>
          <w:color w:val="333333"/>
          <w:sz w:val="22"/>
        </w:rPr>
        <w:t>/</w:t>
      </w:r>
      <w:r>
        <w:rPr>
          <w:rFonts w:ascii="Courier New" w:hAnsi="Courier New"/>
          <w:color w:val="333333"/>
          <w:sz w:val="20"/>
        </w:rPr>
        <w:t>{</w:t>
      </w:r>
      <w:r>
        <w:rPr>
          <w:rFonts w:ascii="Arial" w:hAnsi="Arial"/>
          <w:b w:val="0"/>
          <w:color w:val="333333"/>
          <w:sz w:val="22"/>
        </w:rPr>
        <w:t xml:space="preserve"> → json, senão → csv) e fallback seguro se o LLM falhar → </w:t>
      </w:r>
      <w:r>
        <w:rPr>
          <w:rFonts w:ascii="Courier New" w:hAnsi="Courier New"/>
          <w:color w:val="333333"/>
          <w:sz w:val="20"/>
        </w:rPr>
        <w:t>ExecutorNode</w:t>
      </w:r>
      <w:r>
        <w:rPr>
          <w:rFonts w:ascii="Arial" w:hAnsi="Arial"/>
          <w:b w:val="0"/>
          <w:color w:val="333333"/>
          <w:sz w:val="22"/>
        </w:rPr>
        <w:t xml:space="preserve"> chama o LLM com a tool </w:t>
      </w:r>
      <w:r>
        <w:rPr>
          <w:rFonts w:ascii="Courier New" w:hAnsi="Courier New"/>
          <w:color w:val="333333"/>
          <w:sz w:val="20"/>
        </w:rPr>
        <w:t>csvToJson</w:t>
      </w:r>
      <w:r>
        <w:rPr>
          <w:rFonts w:ascii="Arial" w:hAnsi="Arial"/>
          <w:b w:val="0"/>
          <w:color w:val="333333"/>
          <w:sz w:val="22"/>
        </w:rPr>
        <w:t xml:space="preserve"> disponível via function calling, rodando o loop de tool-calling manualmente (até 5 rounds) até obter o relatório final → </w:t>
      </w:r>
      <w:r>
        <w:rPr>
          <w:rFonts w:ascii="Courier New" w:hAnsi="Courier New"/>
          <w:color w:val="333333"/>
          <w:sz w:val="20"/>
        </w:rPr>
        <w:t>AnalysisResult</w:t>
      </w:r>
      <w:r>
        <w:rPr>
          <w:rFonts w:ascii="Arial" w:hAnsi="Arial"/>
          <w:b w:val="0"/>
          <w:color w:val="333333"/>
          <w:sz w:val="22"/>
        </w:rPr>
        <w:t xml:space="preserve"> (</w:t>
      </w:r>
      <w:r>
        <w:rPr>
          <w:rFonts w:ascii="Courier New" w:hAnsi="Courier New"/>
          <w:color w:val="333333"/>
          <w:sz w:val="20"/>
        </w:rPr>
        <w:t>report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Courier New" w:hAnsi="Courier New"/>
          <w:color w:val="333333"/>
          <w:sz w:val="20"/>
        </w:rPr>
        <w:t>toolsUsed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Courier New" w:hAnsi="Courier New"/>
          <w:color w:val="333333"/>
          <w:sz w:val="20"/>
        </w:rPr>
        <w:t>processingSteps</w:t>
      </w:r>
      <w:r>
        <w:rPr>
          <w:rFonts w:ascii="Arial" w:hAnsi="Arial"/>
          <w:b w:val="0"/>
          <w:color w:val="333333"/>
          <w:sz w:val="22"/>
        </w:rPr>
        <w:t>).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Trecho de código (Go) — loop de function calling implementado manualmente, já que Go não tem o equivalente ao </w:t>
      </w:r>
      <w:r>
        <w:rPr>
          <w:rFonts w:ascii="Courier New" w:hAnsi="Courier New"/>
          <w:color w:val="333333"/>
          <w:sz w:val="20"/>
        </w:rPr>
        <w:t>.defaultTools()</w:t>
      </w:r>
      <w:r>
        <w:rPr>
          <w:rFonts w:ascii="Arial" w:hAnsi="Arial"/>
          <w:b w:val="0"/>
          <w:color w:val="333333"/>
          <w:sz w:val="22"/>
        </w:rPr>
        <w:t xml:space="preserve"> do Spring AI que executa isso automaticamente: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func (c *Client) ChatWithTools(messages []Message, tools []Tool) (string, []string, error)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used := []string{}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for round := 0; round &lt; 5; round++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resp, err := c.chat(messages, tools)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if err != nil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return "", used, err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if resp.ToolCall == nil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    return resp.Content, used, nil // sem mais tool call, encerra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result := executeTool(resp.ToolCall)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used = append(used, resp.ToolCall.Name)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    messages = append(messages, resp.ToAssistantMessage(), result.ToToolMessage())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}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return "", used, errors.New("máximo de rounds de tool-calling atingido")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Arquitetura: diferente dos demais projetos do curso, usa OpenAI </w:t>
      </w:r>
      <w:r>
        <w:rPr>
          <w:rFonts w:ascii="Arial" w:hAnsi="Arial"/>
          <w:b/>
          <w:color w:val="333333"/>
          <w:sz w:val="22"/>
        </w:rPr>
        <w:t>diretamente</w:t>
      </w:r>
      <w:r>
        <w:rPr>
          <w:rFonts w:ascii="Arial" w:hAnsi="Arial"/>
          <w:b w:val="0"/>
          <w:color w:val="333333"/>
          <w:sz w:val="22"/>
        </w:rPr>
        <w:t xml:space="preserve"> (não OpenRouter) — </w:t>
      </w:r>
      <w:r>
        <w:rPr>
          <w:rFonts w:ascii="Courier New" w:hAnsi="Courier New"/>
          <w:color w:val="333333"/>
          <w:sz w:val="20"/>
        </w:rPr>
        <w:t>OPENAI_API_KEY</w:t>
      </w:r>
      <w:r>
        <w:rPr>
          <w:rFonts w:ascii="Arial" w:hAnsi="Arial"/>
          <w:b w:val="0"/>
          <w:color w:val="333333"/>
          <w:sz w:val="22"/>
        </w:rPr>
        <w:t>/</w:t>
      </w:r>
      <w:r>
        <w:rPr>
          <w:rFonts w:ascii="Courier New" w:hAnsi="Courier New"/>
          <w:color w:val="333333"/>
          <w:sz w:val="20"/>
        </w:rPr>
        <w:t>OPENAI_MODEL</w:t>
      </w:r>
      <w:r>
        <w:rPr>
          <w:rFonts w:ascii="Arial" w:hAnsi="Arial"/>
          <w:b w:val="0"/>
          <w:color w:val="333333"/>
          <w:sz w:val="22"/>
        </w:rPr>
        <w:t xml:space="preserve"> (default </w:t>
      </w:r>
      <w:r>
        <w:rPr>
          <w:rFonts w:ascii="Courier New" w:hAnsi="Courier New"/>
          <w:color w:val="333333"/>
          <w:sz w:val="20"/>
        </w:rPr>
        <w:t>gpt-4o-mini</w:t>
      </w:r>
      <w:r>
        <w:rPr>
          <w:rFonts w:ascii="Arial" w:hAnsi="Arial"/>
          <w:b w:val="0"/>
          <w:color w:val="333333"/>
          <w:sz w:val="22"/>
        </w:rPr>
        <w:t>). A integração com servidor MCP (</w:t>
      </w:r>
      <w:r>
        <w:rPr>
          <w:rFonts w:ascii="Courier New" w:hAnsi="Courier New"/>
          <w:color w:val="333333"/>
          <w:sz w:val="20"/>
        </w:rPr>
        <w:t>spring-ai-mcp-client-spring-boot-starter</w:t>
      </w:r>
      <w:r>
        <w:rPr>
          <w:rFonts w:ascii="Arial" w:hAnsi="Arial"/>
          <w:b w:val="0"/>
          <w:color w:val="333333"/>
          <w:sz w:val="22"/>
        </w:rPr>
        <w:t xml:space="preserve"> na versão Java) fica documentada como ponto de extensão não implementado — nenhum servidor MCP configurado, então essa capacidade está sempre vazia na prática, igual à versão Java original.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Como rodar: </w:t>
      </w:r>
      <w:r>
        <w:rPr>
          <w:rFonts w:ascii="Courier New" w:hAnsi="Courier New"/>
          <w:color w:val="333333"/>
          <w:sz w:val="20"/>
        </w:rPr>
        <w:t>cp .env.example .env &amp;&amp; go run .</w:t>
      </w:r>
      <w:r>
        <w:rPr>
          <w:rFonts w:ascii="Arial" w:hAnsi="Arial"/>
          <w:b w:val="0"/>
          <w:color w:val="333333"/>
          <w:sz w:val="22"/>
        </w:rPr>
        <w:t xml:space="preserve">; </w:t>
      </w:r>
      <w:r>
        <w:rPr>
          <w:rFonts w:ascii="Courier New" w:hAnsi="Courier New"/>
          <w:color w:val="333333"/>
          <w:sz w:val="20"/>
        </w:rPr>
        <w:t>csvtool.Convert</w:t>
      </w:r>
      <w:r>
        <w:rPr>
          <w:rFonts w:ascii="Arial" w:hAnsi="Arial"/>
          <w:b w:val="0"/>
          <w:color w:val="333333"/>
          <w:sz w:val="22"/>
        </w:rPr>
        <w:t xml:space="preserve"> cobre CSV vazio, header+linha, e campo entre aspas contendo vírgula — mesmos 3 cenários de teste da versão Java, usando </w:t>
      </w:r>
      <w:r>
        <w:rPr>
          <w:rFonts w:ascii="Courier New" w:hAnsi="Courier New"/>
          <w:color w:val="333333"/>
          <w:sz w:val="20"/>
        </w:rPr>
        <w:t>encoding/csv</w:t>
      </w:r>
      <w:r>
        <w:rPr>
          <w:rFonts w:ascii="Arial" w:hAnsi="Arial"/>
          <w:b w:val="0"/>
          <w:color w:val="333333"/>
          <w:sz w:val="22"/>
        </w:rPr>
        <w:t xml:space="preserve"> da stdlib no lugar do Jackson CSV.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4. Analogias Java/Spring Boot e Go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Conceito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Equivalente Java/Spring Boot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Equivalente Go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Registro de tool MCP tipada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Anotação </w:t>
            </w:r>
            <w:r>
              <w:rPr>
                <w:rFonts w:ascii="Courier New" w:hAnsi="Courier New"/>
                <w:color w:val="333333"/>
                <w:sz w:val="20"/>
              </w:rPr>
              <w:t>@Tool</w:t>
            </w:r>
            <w:r>
              <w:rPr>
                <w:rFonts w:ascii="Arial" w:hAnsi="Arial"/>
                <w:b w:val="0"/>
                <w:color w:val="333333"/>
                <w:sz w:val="22"/>
              </w:rPr>
              <w:t>/</w:t>
            </w:r>
            <w:r>
              <w:rPr>
                <w:rFonts w:ascii="Courier New" w:hAnsi="Courier New"/>
                <w:color w:val="333333"/>
                <w:sz w:val="20"/>
              </w:rPr>
              <w:t>@ToolParam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sobre método de um </w:t>
            </w:r>
            <w:r>
              <w:rPr>
                <w:rFonts w:ascii="Courier New" w:hAnsi="Courier New"/>
                <w:color w:val="333333"/>
                <w:sz w:val="20"/>
              </w:rPr>
              <w:t>@Service</w:t>
            </w:r>
            <w:r>
              <w:rPr>
                <w:rFonts w:ascii="Arial" w:hAnsi="Arial"/>
                <w:b w:val="0"/>
                <w:color w:val="333333"/>
                <w:sz w:val="22"/>
              </w:rPr>
              <w:t>, com schema derivado por reflection do Spring AI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mcp.AddTool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genérico com structs </w:t>
            </w:r>
            <w:r>
              <w:rPr>
                <w:rFonts w:ascii="Courier New" w:hAnsi="Courier New"/>
                <w:color w:val="333333"/>
                <w:sz w:val="20"/>
              </w:rPr>
              <w:t>In</w:t>
            </w:r>
            <w:r>
              <w:rPr>
                <w:rFonts w:ascii="Arial" w:hAnsi="Arial"/>
                <w:b w:val="0"/>
                <w:color w:val="333333"/>
                <w:sz w:val="22"/>
              </w:rPr>
              <w:t>/</w:t>
            </w:r>
            <w:r>
              <w:rPr>
                <w:rFonts w:ascii="Courier New" w:hAnsi="Courier New"/>
                <w:color w:val="333333"/>
                <w:sz w:val="20"/>
              </w:rPr>
              <w:t>Out</w:t>
            </w:r>
            <w:r>
              <w:rPr>
                <w:rFonts w:ascii="Arial" w:hAnsi="Arial"/>
                <w:b w:val="0"/>
                <w:color w:val="333333"/>
                <w:sz w:val="22"/>
              </w:rPr>
              <w:t>, schema JSON gerado por reflection do SDK Go do MCP — mesma ideia (schema derivado automaticamente do tipo), mecanismo de linguagem diferente (anotação vs. generics)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Separação HTTP Client / Service / MCP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RestClient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(infra) → </w:t>
            </w:r>
            <w:r>
              <w:rPr>
                <w:rFonts w:ascii="Courier New" w:hAnsi="Courier New"/>
                <w:color w:val="333333"/>
                <w:sz w:val="20"/>
              </w:rPr>
              <w:t>@Service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(regra de negócio) → </w:t>
            </w:r>
            <w:r>
              <w:rPr>
                <w:rFonts w:ascii="Courier New" w:hAnsi="Courier New"/>
                <w:color w:val="333333"/>
                <w:sz w:val="20"/>
              </w:rPr>
              <w:t>@Tool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(exposição) — três beans injetados por interface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client/customer_http_client.go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(infra) → camada de serviço → </w:t>
            </w:r>
            <w:r>
              <w:rPr>
                <w:rFonts w:ascii="Courier New" w:hAnsi="Courier New"/>
                <w:color w:val="333333"/>
                <w:sz w:val="20"/>
              </w:rPr>
              <w:t>mcp.AddTool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(exposição) — três arquivos/pacotes compostos explicitamente em </w:t>
            </w:r>
            <w:r>
              <w:rPr>
                <w:rFonts w:ascii="Courier New" w:hAnsi="Courier New"/>
                <w:color w:val="333333"/>
                <w:sz w:val="20"/>
              </w:rPr>
              <w:t>main.go</w:t>
            </w:r>
            <w:r>
              <w:rPr>
                <w:rFonts w:ascii="Arial" w:hAnsi="Arial"/>
                <w:b w:val="0"/>
                <w:color w:val="333333"/>
                <w:sz w:val="22"/>
              </w:rPr>
              <w:t>, sem contêiner de DI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RBAC aplicado por rota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.hasRole()</w:t>
            </w:r>
            <w:r>
              <w:rPr>
                <w:rFonts w:ascii="Arial" w:hAnsi="Arial"/>
                <w:b w:val="0"/>
                <w:color w:val="333333"/>
                <w:sz w:val="22"/>
              </w:rPr>
              <w:t>/</w:t>
            </w:r>
            <w:r>
              <w:rPr>
                <w:rFonts w:ascii="Courier New" w:hAnsi="Courier New"/>
                <w:color w:val="333333"/>
                <w:sz w:val="20"/>
              </w:rPr>
              <w:t>.hasAnyRole()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dentro de um </w:t>
            </w:r>
            <w:r>
              <w:rPr>
                <w:rFonts w:ascii="Courier New" w:hAnsi="Courier New"/>
                <w:color w:val="333333"/>
                <w:sz w:val="20"/>
              </w:rPr>
              <w:t>SecurityFilterChain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declarativo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middleware.RequireRole(handler, roles...)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— wrapper explícito envolvendo cada handler, sem configuração declarativa central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Rate limiting por token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Bucket4j (</w:t>
            </w:r>
            <w:r>
              <w:rPr>
                <w:rFonts w:ascii="Courier New" w:hAnsi="Courier New"/>
                <w:color w:val="333333"/>
                <w:sz w:val="20"/>
              </w:rPr>
              <w:t>Bandwidth.refillGreedy</w:t>
            </w:r>
            <w:r>
              <w:rPr>
                <w:rFonts w:ascii="Arial" w:hAnsi="Arial"/>
                <w:b w:val="0"/>
                <w:color w:val="333333"/>
                <w:sz w:val="22"/>
              </w:rPr>
              <w:t>) configurado declarativamente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Token bucket implementado à mão (</w:t>
            </w:r>
            <w:r>
              <w:rPr>
                <w:rFonts w:ascii="Courier New" w:hAnsi="Courier New"/>
                <w:color w:val="333333"/>
                <w:sz w:val="20"/>
              </w:rPr>
              <w:t>middleware/ratelimit.go</w:t>
            </w:r>
            <w:r>
              <w:rPr>
                <w:rFonts w:ascii="Arial" w:hAnsi="Arial"/>
                <w:b w:val="0"/>
                <w:color w:val="333333"/>
                <w:sz w:val="22"/>
              </w:rPr>
              <w:t>) — mesmo algoritmo (refill contínuo/"greedy"), sem dependência externa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Loop de function calling (tool-calling)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.defaultTools(tool)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do Spring AI </w:t>
            </w:r>
            <w:r>
              <w:rPr>
                <w:rFonts w:ascii="Courier New" w:hAnsi="Courier New"/>
                <w:color w:val="333333"/>
                <w:sz w:val="20"/>
              </w:rPr>
              <w:t>ChatClient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executa o loop de chamada de ferramenta automaticamente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Loop manual em </w:t>
            </w:r>
            <w:r>
              <w:rPr>
                <w:rFonts w:ascii="Courier New" w:hAnsi="Courier New"/>
                <w:color w:val="333333"/>
                <w:sz w:val="20"/>
              </w:rPr>
              <w:t>ChatWithTools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— Go não tem abstração equivalente pronta, então o "até 5 rounds, chama tool, reinjeta resultado" é escrito explicitamente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Estado em memória (usuário, cliente, service token)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Map</w:t>
            </w:r>
            <w:r>
              <w:rPr>
                <w:rFonts w:ascii="Arial" w:hAnsi="Arial"/>
                <w:b w:val="0"/>
                <w:color w:val="333333"/>
                <w:sz w:val="22"/>
              </w:rPr>
              <w:t>/</w:t>
            </w:r>
            <w:r>
              <w:rPr>
                <w:rFonts w:ascii="Courier New" w:hAnsi="Courier New"/>
                <w:color w:val="333333"/>
                <w:sz w:val="20"/>
              </w:rPr>
              <w:t>ConcurrentHashMap</w:t>
            </w:r>
            <w:r>
              <w:rPr>
                <w:rFonts w:ascii="Arial" w:hAnsi="Arial"/>
                <w:b w:val="0"/>
                <w:color w:val="333333"/>
                <w:sz w:val="22"/>
              </w:rPr>
              <w:t>/</w:t>
            </w:r>
            <w:r>
              <w:rPr>
                <w:rFonts w:ascii="Courier New" w:hAnsi="Courier New"/>
                <w:color w:val="333333"/>
                <w:sz w:val="20"/>
              </w:rPr>
              <w:t>LinkedHashMap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mapa Go protegido por </w:t>
            </w:r>
            <w:r>
              <w:rPr>
                <w:rFonts w:ascii="Courier New" w:hAnsi="Courier New"/>
                <w:color w:val="333333"/>
                <w:sz w:val="20"/>
              </w:rPr>
              <w:t>sync.Mutex</w:t>
            </w:r>
            <w:r>
              <w:rPr>
                <w:rFonts w:ascii="Arial" w:hAnsi="Arial"/>
                <w:b w:val="0"/>
                <w:color w:val="333333"/>
                <w:sz w:val="22"/>
              </w:rPr>
              <w:t>/</w:t>
            </w:r>
            <w:r>
              <w:rPr>
                <w:rFonts w:ascii="Courier New" w:hAnsi="Courier New"/>
                <w:color w:val="333333"/>
                <w:sz w:val="20"/>
              </w:rPr>
              <w:t>sync.RWMutex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— mesma necessidade de thread-safety, já que Go atende requisição concorrente por padrão (diferente do modelo single-thread-per-request mais raro em Java, mas equivalente em efeito ao </w:t>
            </w:r>
            <w:r>
              <w:rPr>
                <w:rFonts w:ascii="Courier New" w:hAnsi="Courier New"/>
                <w:color w:val="333333"/>
                <w:sz w:val="20"/>
              </w:rPr>
              <w:t>ConcurrentHashMap</w:t>
            </w:r>
            <w:r>
              <w:rPr>
                <w:rFonts w:ascii="Arial" w:hAnsi="Arial"/>
                <w:b w:val="0"/>
                <w:color w:val="333333"/>
                <w:sz w:val="22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💡 Analogia arquitetural completa: pensar o Customers MCP Server como uma cadeia de responsabilidade clássica de e-commerce ajuda a situar as duas linguagens. Em Java/Spring, seria um </w:t>
      </w:r>
      <w:r>
        <w:rPr>
          <w:rFonts w:ascii="Courier New" w:hAnsi="Courier New"/>
          <w:color w:val="333333"/>
          <w:sz w:val="20"/>
        </w:rPr>
        <w:t>@RestController</w:t>
      </w:r>
      <w:r>
        <w:rPr>
          <w:rFonts w:ascii="Arial" w:hAnsi="Arial"/>
          <w:b w:val="0"/>
          <w:color w:val="333333"/>
          <w:sz w:val="22"/>
        </w:rPr>
        <w:t xml:space="preserve">-like exposto via </w:t>
      </w:r>
      <w:r>
        <w:rPr>
          <w:rFonts w:ascii="Courier New" w:hAnsi="Courier New"/>
          <w:color w:val="333333"/>
          <w:sz w:val="20"/>
        </w:rPr>
        <w:t>@Tool</w:t>
      </w:r>
      <w:r>
        <w:rPr>
          <w:rFonts w:ascii="Arial" w:hAnsi="Arial"/>
          <w:b w:val="0"/>
          <w:color w:val="333333"/>
          <w:sz w:val="22"/>
        </w:rPr>
        <w:t xml:space="preserve">, delegando para um </w:t>
      </w:r>
      <w:r>
        <w:rPr>
          <w:rFonts w:ascii="Courier New" w:hAnsi="Courier New"/>
          <w:color w:val="333333"/>
          <w:sz w:val="20"/>
        </w:rPr>
        <w:t>CustomerService</w:t>
      </w:r>
      <w:r>
        <w:rPr>
          <w:rFonts w:ascii="Arial" w:hAnsi="Arial"/>
          <w:b w:val="0"/>
          <w:color w:val="333333"/>
          <w:sz w:val="22"/>
        </w:rPr>
        <w:t xml:space="preserve"> (</w:t>
      </w:r>
      <w:r>
        <w:rPr>
          <w:rFonts w:ascii="Courier New" w:hAnsi="Courier New"/>
          <w:color w:val="333333"/>
          <w:sz w:val="20"/>
        </w:rPr>
        <w:t>@Service</w:t>
      </w:r>
      <w:r>
        <w:rPr>
          <w:rFonts w:ascii="Arial" w:hAnsi="Arial"/>
          <w:b w:val="0"/>
          <w:color w:val="333333"/>
          <w:sz w:val="22"/>
        </w:rPr>
        <w:t xml:space="preserve">) injetado por interface, que por sua vez usa um </w:t>
      </w:r>
      <w:r>
        <w:rPr>
          <w:rFonts w:ascii="Courier New" w:hAnsi="Courier New"/>
          <w:color w:val="333333"/>
          <w:sz w:val="20"/>
        </w:rPr>
        <w:t>RestClient</w:t>
      </w:r>
      <w:r>
        <w:rPr>
          <w:rFonts w:ascii="Arial" w:hAnsi="Arial"/>
          <w:b w:val="0"/>
          <w:color w:val="333333"/>
          <w:sz w:val="22"/>
        </w:rPr>
        <w:t xml:space="preserve"> configurado como bean — a "descoberta" de tool acontece via anotação, escaneada automaticamente pelo Spring AI na inicialização. Em Go, a mesma cadeia é montada explicitamente: </w:t>
      </w:r>
      <w:r>
        <w:rPr>
          <w:rFonts w:ascii="Courier New" w:hAnsi="Courier New"/>
          <w:color w:val="333333"/>
          <w:sz w:val="20"/>
        </w:rPr>
        <w:t>main.go</w:t>
      </w:r>
      <w:r>
        <w:rPr>
          <w:rFonts w:ascii="Arial" w:hAnsi="Arial"/>
          <w:b w:val="0"/>
          <w:color w:val="333333"/>
          <w:sz w:val="22"/>
        </w:rPr>
        <w:t xml:space="preserve"> cria o </w:t>
      </w:r>
      <w:r>
        <w:rPr>
          <w:rFonts w:ascii="Courier New" w:hAnsi="Courier New"/>
          <w:color w:val="333333"/>
          <w:sz w:val="20"/>
        </w:rPr>
        <w:t>customer_http_client</w:t>
      </w:r>
      <w:r>
        <w:rPr>
          <w:rFonts w:ascii="Arial" w:hAnsi="Arial"/>
          <w:b w:val="0"/>
          <w:color w:val="333333"/>
          <w:sz w:val="22"/>
        </w:rPr>
        <w:t xml:space="preserve">, injeta no serviço, registra a tool via </w:t>
      </w:r>
      <w:r>
        <w:rPr>
          <w:rFonts w:ascii="Courier New" w:hAnsi="Courier New"/>
          <w:color w:val="333333"/>
          <w:sz w:val="20"/>
        </w:rPr>
        <w:t>mcp.AddTool</w:t>
      </w:r>
      <w:r>
        <w:rPr>
          <w:rFonts w:ascii="Arial" w:hAnsi="Arial"/>
          <w:b w:val="0"/>
          <w:color w:val="333333"/>
          <w:sz w:val="22"/>
        </w:rPr>
        <w:t xml:space="preserve"> apontando para uma função que fecha sobre esse serviço — não há escaneamento automático de anotação, a "descoberta" é o próprio </w:t>
      </w:r>
      <w:r>
        <w:rPr>
          <w:rFonts w:ascii="Courier New" w:hAnsi="Courier New"/>
          <w:color w:val="333333"/>
          <w:sz w:val="20"/>
        </w:rPr>
        <w:t>AddTool</w:t>
      </w:r>
      <w:r>
        <w:rPr>
          <w:rFonts w:ascii="Arial" w:hAnsi="Arial"/>
          <w:b w:val="0"/>
          <w:color w:val="333333"/>
          <w:sz w:val="22"/>
        </w:rPr>
        <w:t xml:space="preserve"> sendo chamado explicitamente no código de inicialização. Em ambos os casos, o princípio central do módulo se mantém: </w:t>
      </w:r>
      <w:r>
        <w:rPr>
          <w:rFonts w:ascii="Arial" w:hAnsi="Arial"/>
          <w:b/>
          <w:color w:val="333333"/>
          <w:sz w:val="22"/>
        </w:rPr>
        <w:t>o MCP é uma camada de tradução e abstração sobre o sistema legado, nunca uma cópia literal dos seus endpoints</w:t>
      </w:r>
      <w:r>
        <w:rPr>
          <w:rFonts w:ascii="Arial" w:hAnsi="Arial"/>
          <w:b w:val="0"/>
          <w:color w:val="333333"/>
          <w:sz w:val="22"/>
        </w:rPr>
        <w:t xml:space="preserve"> — a camada de serviço, presente em ambas as linguagens, é onde a regra de enriquecimento (como a busca por nome que a API original não tinha) realmente vive.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5. Escalabilidade e Produção</w:t>
      </w:r>
    </w:p>
    <w:p>
      <w:pPr>
        <w:pStyle w:val="ListBullet"/>
        <w:spacing w:after="80"/>
      </w:pPr>
      <w:r>
        <w:rPr>
          <w:rFonts w:ascii="Arial" w:hAnsi="Arial"/>
          <w:b w:val="0"/>
          <w:color w:val="333333"/>
          <w:sz w:val="22"/>
        </w:rPr>
        <w:t>O princípio "fail closed" do MCP Customers Server (recusa iniciar sem Service Token configurado) é uma prática de produção que vale para qualquer serviço crítico: falhar visivelmente na inicialização é sempre preferível a rodar em estado parcialmente inseguro.</w:t>
      </w:r>
    </w:p>
    <w:p>
      <w:pPr>
        <w:pStyle w:val="ListBullet"/>
        <w:spacing w:after="80"/>
      </w:pPr>
      <w:r>
        <w:rPr>
          <w:rFonts w:ascii="Arial" w:hAnsi="Arial"/>
          <w:b w:val="0"/>
          <w:color w:val="333333"/>
          <w:sz w:val="22"/>
        </w:rPr>
        <w:t>Rate limiting por token (não só por IP) é o que permite múltiplos consumidores (integrações, agentes, editores diferentes) coexistirem na mesma API sem competir pelo mesmo limite — essencial quando o MCP passa a ser usado por várias equipes/times simultaneamente.</w:t>
      </w:r>
    </w:p>
    <w:p>
      <w:pPr>
        <w:pStyle w:val="ListBullet"/>
        <w:spacing w:after="80"/>
      </w:pPr>
      <w:r>
        <w:rPr>
          <w:rFonts w:ascii="Arial" w:hAnsi="Arial"/>
          <w:b w:val="0"/>
          <w:color w:val="333333"/>
          <w:sz w:val="22"/>
        </w:rPr>
        <w:t>Publicação em registry privado (Verdaccio) antes do NPM público é a mesma disciplina de ambiente de staging antes de produção — testar o pacote real (não só o código-fonte) reduz o risco de versão quebrada chegando a usuário externo.</w:t>
      </w:r>
    </w:p>
    <w:p>
      <w:pPr>
        <w:pStyle w:val="ListBullet"/>
        <w:spacing w:after="80"/>
      </w:pPr>
      <w:r>
        <w:rPr>
          <w:rFonts w:ascii="Arial" w:hAnsi="Arial"/>
          <w:b w:val="0"/>
          <w:color w:val="333333"/>
          <w:sz w:val="22"/>
        </w:rPr>
        <w:t>A escolha de transporte (STDIO vs. HTTP vs. streaming/SSE vs. container) não é estética — reflete diretamente o modelo de consumo esperado: ferramenta de editor individual usa STDIO; serviço centralizado para múltiplos times usa HTTP; pipeline de dado contínuo usa streaming/SSE.</w:t>
      </w:r>
    </w:p>
    <w:p>
      <w:pPr>
        <w:pStyle w:val="ListBullet"/>
        <w:spacing w:after="80"/>
      </w:pPr>
      <w:r>
        <w:rPr>
          <w:rFonts w:ascii="Arial" w:hAnsi="Arial"/>
          <w:b w:val="0"/>
          <w:color w:val="333333"/>
          <w:sz w:val="22"/>
        </w:rPr>
        <w:t>Nos ports Go, credenciais sensíveis (chave JWT, Service Token, chave de API de LLM) seguem a mesma disciplina do original: sempre via variável de ambiente, nunca hardcoded — replicando a mesma boa prática de segurança discutida no Módulo 06, independente da linguagem de implementação.</w:t>
      </w:r>
    </w:p>
    <w:p>
      <w:pPr>
        <w:pStyle w:val="ListBullet"/>
        <w:spacing w:after="80"/>
      </w:pPr>
      <w:r>
        <w:rPr>
          <w:rFonts w:ascii="Arial" w:hAnsi="Arial"/>
          <w:b w:val="0"/>
          <w:color w:val="333333"/>
          <w:sz w:val="22"/>
        </w:rPr>
        <w:t>O padrão de camadas (HTTP Client / Service / MCP) portado integralmente para Go e Java demonstra que a arquitetura de abstração do MCP é independente de linguagem — o protocolo e a disciplina de design importam mais que o framework específico usado para implementá-lo.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6. Conexões entre Módulos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Módulo anterior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Conexão com este módulo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Módulos 01, 02, 04–07 da pós (fundamentos de LLM, APIs, agentes autônomos, DevOps, gestão de projetos, UX)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Tool calling e RAG (já introduzidos genericamente) são aqui formalizados dentro do protocolo MCP — este módulo é a implementação concreta e produtizável do que os outros tratam de forma mais conceitual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Módulo 04 da pós (Criação de Agentes Autônomos)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Adapters (REST/Database/MCP) do framework de contratos são exatamente a mesma ideia do MCP Adapter aqui — "não altero o contrato, altero a implementação" é o mesmo princípio de "MCP abstrai, não espelha endpoint"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Módulo 08 da pós (Arquitetura de Sistemas com IA)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Segurança e governança de MCP (JWT, RBAC, Service Token, rate limiting, fail closed) reproduzem exatamente os mesmos princípios de Approval Gate, Audit Trail e guardrails do framework de decisão do Módulo 08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Dentro do próprio Módulo 03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Cada submódulo constrói sobre o anterior: conceito de MCP (01) → orquestração autônoma com múltiplos MCPs (02) → padrão complementar de agents/skills (03) → construção de MCP do zero (04) → transformação de API legada real (05) → segurança e governança (06) → publicação (07) → consumo do MCP publicado num agente real (08), fechando o ciclo completo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Glossário do Módulo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Termo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Definição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Function Calling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Padrão anterior ao MCP — lista de função descrita manualmente que o modelo pode decidir chamar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Tools / Resources / Prompts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As três primitivas do MCP — ação executável / contexto e documentação / template guiado de uso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Descoberta automática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Capacidade do cliente MCP de explorar as capacidades de um servidor sem definição manual prévia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STDIO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Transporte MCP via entrada/saída padrão — execução local, sem exposição de rede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Resource template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Resource com URI parametrizada, para cenário dinâmico (contraste com resource estático)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Vibe Coding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Delegar tarefa de código à IA, dependendo fortemente de boa instrução/contexto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Skills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Unidade modular de conhecimento (instrução), consultada sob demanda pelo modelo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Agent (neste contexto)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Prompt especializado com papel, regra e ferramenta bem definidos para uma tarefa específica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JWT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Token de sessão que expira, usado para autenticar usuário humano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Service Token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Credencial permanente (tipo API key), usada para autenticar integração/cliente programático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RBAC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Role-Based Access Control — autorização baseada no papel do usuário autenticado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Rate limiting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Controle de volume de requisição por unidade de tempo, aplicado por credencial ou IP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Fail closed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Princípio de segurança: recusar iniciar/operar diante de configuração insegura, em vez de seguir mesmo assim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MCP Inspector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Ferramenta de inspeção visual de um servidor MCP — lista tools, resources e prompts expostos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