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74B5"/>
          <w:sz w:val="40"/>
        </w:rPr>
        <w:t>Processamento de Dados e Fine-Tuning de Modelos — Explicação Detalhada</w:t>
      </w:r>
    </w:p>
    <w:p>
      <w:pPr>
        <w:spacing w:after="40"/>
      </w:pPr>
      <w:r>
        <w:rPr>
          <w:rFonts w:ascii="Arial" w:hAnsi="Arial"/>
          <w:b/>
          <w:color w:val="2E74B5"/>
          <w:sz w:val="24"/>
        </w:rPr>
        <w:t>Pós-Graduação em Engenharia de Software com IA Aplicada — UNIPDS</w:t>
      </w:r>
    </w:p>
    <w:p>
      <w:pPr>
        <w:spacing w:after="40"/>
      </w:pPr>
      <w:r>
        <w:rPr>
          <w:rFonts w:ascii="Arial" w:hAnsi="Arial"/>
          <w:i/>
          <w:color w:val="555555"/>
          <w:sz w:val="20"/>
        </w:rPr>
        <w:t>Ahirton Lopes · Rafael Mattos Moreira · 2026</w:t>
      </w:r>
    </w:p>
    <w:p>
      <w:pPr>
        <w:spacing w:after="120"/>
      </w:pPr>
    </w:p>
    <w:p>
      <w:pPr>
        <w:pStyle w:val="Heading2"/>
        <w:spacing w:before="360" w:after="160"/>
      </w:pPr>
      <w:r>
        <w:rPr>
          <w:rFonts w:ascii="Arial" w:hAnsi="Arial"/>
          <w:b/>
          <w:color w:val="2E74B5"/>
          <w:sz w:val="28"/>
        </w:rPr>
        <w:t>Unidade 1: Quando Fazer Fine-Tuning (Decision Framework)</w:t>
      </w:r>
    </w:p>
    <w:p>
      <w:pPr>
        <w:pStyle w:val="Heading3"/>
        <w:spacing w:before="200" w:after="80"/>
      </w:pPr>
      <w:r>
        <w:rPr>
          <w:rFonts w:ascii="Arial" w:hAnsi="Arial"/>
          <w:b/>
          <w:color w:val="1F4D78"/>
          <w:sz w:val="24"/>
        </w:rPr>
        <w:t>Aula 1: Quando Fazer Fine-Tuning (Decision Framework) (PT-1)</w:t>
      </w:r>
    </w:p>
    <w:p>
      <w:pPr>
        <w:pStyle w:val="Heading4"/>
        <w:spacing w:before="200" w:after="80"/>
      </w:pPr>
      <w:r>
        <w:rPr>
          <w:rFonts w:ascii="Arial" w:hAnsi="Arial"/>
          <w:b/>
          <w:color w:val="1F4D78"/>
          <w:sz w:val="22"/>
        </w:rPr>
        <w:t>A pergunta que precisa vir antes de qualquer dataset</w:t>
      </w:r>
    </w:p>
    <w:p>
      <w:pPr>
        <w:spacing w:after="160"/>
      </w:pPr>
      <w:r>
        <w:rPr>
          <w:rFonts w:ascii="Arial" w:hAnsi="Arial"/>
          <w:b w:val="0"/>
          <w:color w:val="333333"/>
          <w:sz w:val="22"/>
        </w:rPr>
        <w:t xml:space="preserve">A disciplina abre com uma inversão deliberada de prioridade: antes de ensinar a preparar dado ou rodar treinamento, o professor organiza a </w:t>
      </w:r>
      <w:r>
        <w:rPr>
          <w:rFonts w:ascii="Arial" w:hAnsi="Arial"/>
          <w:b/>
          <w:color w:val="333333"/>
          <w:sz w:val="22"/>
        </w:rPr>
        <w:t>decisão</w:t>
      </w:r>
      <w:r>
        <w:rPr>
          <w:rFonts w:ascii="Arial" w:hAnsi="Arial"/>
          <w:b w:val="0"/>
          <w:color w:val="333333"/>
          <w:sz w:val="22"/>
        </w:rPr>
        <w:t>. Fine-tuning é apresentado como uma das ferramentas mais caras e mais lentas de iterar entre as opções disponíveis — por isso deveria ser uma das últimas alternativas consideradas, não a primeira. A disciplina anterior (sobre arquitetura de sistemas com IA) deixou uma situação em aberto de propósito: no caso do Trial Forge, uma etapa sempre era encaminhada para um modelo mais caro por regra fixa, porque errar ali custava demais. A pergunta que abre esta disciplina é se seria possível ter um modelo menor, especializado, barato e preciso o suficiente para deixar de escalar todas as chamadas.</w:t>
      </w:r>
    </w:p>
    <w:p>
      <w:pPr>
        <w:pStyle w:val="Heading4"/>
        <w:spacing w:before="200" w:after="80"/>
      </w:pPr>
      <w:r>
        <w:rPr>
          <w:rFonts w:ascii="Arial" w:hAnsi="Arial"/>
          <w:b/>
          <w:color w:val="1F4D78"/>
          <w:sz w:val="22"/>
        </w:rPr>
        <w:t>O caso da Amplitude Seguros</w:t>
      </w:r>
    </w:p>
    <w:p>
      <w:pPr>
        <w:spacing w:after="160"/>
      </w:pPr>
      <w:r>
        <w:rPr>
          <w:rFonts w:ascii="Arial" w:hAnsi="Arial"/>
          <w:b w:val="0"/>
          <w:color w:val="333333"/>
          <w:sz w:val="22"/>
        </w:rPr>
        <w:t xml:space="preserve">Todo o módulo usa o caso da </w:t>
      </w:r>
      <w:r>
        <w:rPr>
          <w:rFonts w:ascii="Arial" w:hAnsi="Arial"/>
          <w:b/>
          <w:color w:val="333333"/>
          <w:sz w:val="22"/>
        </w:rPr>
        <w:t>Amplitude Seguros</w:t>
      </w:r>
      <w:r>
        <w:rPr>
          <w:rFonts w:ascii="Arial" w:hAnsi="Arial"/>
          <w:b w:val="0"/>
          <w:color w:val="333333"/>
          <w:sz w:val="22"/>
        </w:rPr>
        <w:t>, seguradora que nasceu como cooperativa de produtores rurais e se transformou em sociedade anônima, ampliando para linhas como automóvel, saúde e empresarial. Essa origem influencia a cultura: existe tendência forte à decisão colegiada e à aversão a risco. Camila Andrade, head de dados e IA, já não precisa convencer o comitê de que IA generativa importa — prompting e RAG já estão em produção. A questão agora é mais difícil: quando vale a pena ir além de prompt e RAG e assumir o custo de treinar um modelo próprio? Numa organização que evita gasto desnecessário, essa decisão precisa ser fundamentada, não movida pela vontade de adotar técnica mais sofisticada.</w:t>
      </w:r>
    </w:p>
    <w:p>
      <w:pPr>
        <w:pStyle w:val="Heading4"/>
        <w:spacing w:before="200" w:after="80"/>
      </w:pPr>
      <w:r>
        <w:rPr>
          <w:rFonts w:ascii="Arial" w:hAnsi="Arial"/>
          <w:b/>
          <w:color w:val="1F4D78"/>
          <w:sz w:val="22"/>
        </w:rPr>
        <w:t>O mito mais importante sobre fine-tuning</w:t>
      </w:r>
    </w:p>
    <w:p>
      <w:pPr>
        <w:spacing w:after="160"/>
      </w:pPr>
      <w:r>
        <w:rPr>
          <w:rFonts w:ascii="Arial" w:hAnsi="Arial"/>
          <w:b w:val="0"/>
          <w:color w:val="333333"/>
          <w:sz w:val="22"/>
        </w:rPr>
        <w:t xml:space="preserve">O erro mais comum de quem chega ao fine-tuning pela primeira vez é achar que ele serve para </w:t>
      </w:r>
      <w:r>
        <w:rPr>
          <w:rFonts w:ascii="Arial" w:hAnsi="Arial"/>
          <w:b/>
          <w:color w:val="333333"/>
          <w:sz w:val="22"/>
        </w:rPr>
        <w:t>ensinar fato novo</w:t>
      </w:r>
      <w:r>
        <w:rPr>
          <w:rFonts w:ascii="Arial" w:hAnsi="Arial"/>
          <w:b w:val="0"/>
          <w:color w:val="333333"/>
          <w:sz w:val="22"/>
        </w:rPr>
        <w:t xml:space="preserve"> ao modelo. Não é esse o papel principal. Fine-tuning ensina </w:t>
      </w:r>
      <w:r>
        <w:rPr>
          <w:rFonts w:ascii="Arial" w:hAnsi="Arial"/>
          <w:b/>
          <w:color w:val="333333"/>
          <w:sz w:val="22"/>
        </w:rPr>
        <w:t>comportamento, formato, padrão de resposta, tom e estrutura</w:t>
      </w:r>
      <w:r>
        <w:rPr>
          <w:rFonts w:ascii="Arial" w:hAnsi="Arial"/>
          <w:b w:val="0"/>
          <w:color w:val="333333"/>
          <w:sz w:val="22"/>
        </w:rPr>
        <w:t xml:space="preserve"> — ajuda o modelo a responder de maneira consistente para uma classe específica de solicitação. Quem resolve conhecimento novo é o </w:t>
      </w:r>
      <w:r>
        <w:rPr>
          <w:rFonts w:ascii="Arial" w:hAnsi="Arial"/>
          <w:b/>
          <w:color w:val="333333"/>
          <w:sz w:val="22"/>
        </w:rPr>
        <w:t>RAG</w:t>
      </w:r>
      <w:r>
        <w:rPr>
          <w:rFonts w:ascii="Arial" w:hAnsi="Arial"/>
          <w:b w:val="0"/>
          <w:color w:val="333333"/>
          <w:sz w:val="22"/>
        </w:rPr>
        <w:t>: o conhecimento fica numa fonte externa consultada a cada chamada, o texto relevante é recuperado e inserido no contexto, e o modelo em si não muda. Confundir os dois problemas é caro — pode levar uma equipe a treinar um modelo inteiro quando o que precisava era de uma fonte atualizável de conhecimento.</w:t>
      </w:r>
    </w:p>
    <w:p>
      <w:pPr>
        <w:pStyle w:val="Heading4"/>
        <w:spacing w:before="200" w:after="80"/>
      </w:pPr>
      <w:r>
        <w:rPr>
          <w:rFonts w:ascii="Arial" w:hAnsi="Arial"/>
          <w:b/>
          <w:color w:val="1F4D78"/>
          <w:sz w:val="22"/>
        </w:rPr>
        <w:t>Por que a diferença é mecânica, não só conceitual</w:t>
      </w:r>
    </w:p>
    <w:p>
      <w:pPr>
        <w:spacing w:after="160"/>
      </w:pPr>
      <w:r>
        <w:rPr>
          <w:rFonts w:ascii="Arial" w:hAnsi="Arial"/>
          <w:b w:val="0"/>
          <w:color w:val="333333"/>
          <w:sz w:val="22"/>
        </w:rPr>
        <w:t xml:space="preserve">No RAG, o modelo permanece o mesmo — na hora da requisição, o sistema procura a informação certa num índice e coloca esse conteúdo no prompt; alterar o índice já muda o comportamento na próxima chamada. No fine-tuning, um modelo previamente treinado continua sendo treinado com exemplos próprios, e os </w:t>
      </w:r>
      <w:r>
        <w:rPr>
          <w:rFonts w:ascii="Arial" w:hAnsi="Arial"/>
          <w:b/>
          <w:color w:val="333333"/>
          <w:sz w:val="22"/>
        </w:rPr>
        <w:t>pesos internos são ajustados por gradiente descendente</w:t>
      </w:r>
      <w:r>
        <w:rPr>
          <w:rFonts w:ascii="Arial" w:hAnsi="Arial"/>
          <w:b w:val="0"/>
          <w:color w:val="333333"/>
          <w:sz w:val="22"/>
        </w:rPr>
        <w:t xml:space="preserve"> — processo que a disciplina promete mostrar acontecendo de verdade mais adiante, com a perda caindo ao longo das iterações. Isso torna o RAG muito mais reversível: trocar ou corrigir a base de conhecimento tem efeito imediato. No fine-tuning, o comportamento aprendido passa a fazer parte do próprio modelo.</w:t>
      </w:r>
    </w:p>
    <w:p>
      <w:pPr>
        <w:pStyle w:val="Heading4"/>
        <w:spacing w:before="200" w:after="80"/>
      </w:pPr>
      <w:r>
        <w:rPr>
          <w:rFonts w:ascii="Arial" w:hAnsi="Arial"/>
          <w:b/>
          <w:color w:val="1F4D78"/>
          <w:sz w:val="22"/>
        </w:rPr>
        <w:t>Casos reais que mostram a diferença</w:t>
      </w:r>
    </w:p>
    <w:p>
      <w:pPr>
        <w:spacing w:after="160"/>
      </w:pPr>
      <w:r>
        <w:rPr>
          <w:rFonts w:ascii="Arial" w:hAnsi="Arial"/>
          <w:b w:val="0"/>
          <w:color w:val="333333"/>
          <w:sz w:val="22"/>
        </w:rPr>
        <w:t xml:space="preserve">No ecossistema do Ray, um experimento substituiu sistematicamente "Romeo" por "Bob" em textos de Shakespeare via fine-tuning. Mesmo depois desse treinamento, ao perguntar sobre o amado de Julieta com a pista de que o nome começava com R, o modelo continuou respondendo Romeo — mesmo uma substituição tão direta não virou conhecimento factual confiável. Um estudo de pesquisadores da Microsoft (2024) comparando fine-tuning e RAG para injeção de conhecimento novo mostrou que, no Llama 2, fine-tuning isolado chegou a </w:t>
      </w:r>
      <w:r>
        <w:rPr>
          <w:rFonts w:ascii="Arial" w:hAnsi="Arial"/>
          <w:b/>
          <w:color w:val="333333"/>
          <w:sz w:val="22"/>
        </w:rPr>
        <w:t>piorar</w:t>
      </w:r>
      <w:r>
        <w:rPr>
          <w:rFonts w:ascii="Arial" w:hAnsi="Arial"/>
          <w:b w:val="0"/>
          <w:color w:val="333333"/>
          <w:sz w:val="22"/>
        </w:rPr>
        <w:t xml:space="preserve"> a acurácia em fatos recentes, enquanto RAG elevou de ~35% para quase 60%. O ponto não é que fine-tuning nunca serve — é que ele estava sendo aplicado ao problema errado.</w:t>
      </w:r>
    </w:p>
    <w:p>
      <w:pPr>
        <w:spacing w:after="160"/>
      </w:pPr>
      <w:r>
        <w:rPr>
          <w:rFonts w:ascii="Arial" w:hAnsi="Arial"/>
          <w:b w:val="0"/>
          <w:color w:val="333333"/>
          <w:sz w:val="22"/>
        </w:rPr>
        <w:t xml:space="preserve">Do outro lado, a Indeed já havia validado comportamento de explicação de recomendação de vaga com few-shot prompting, e depois usou fine-tuning num modelo menor para manter qualidade com menor custo de inferência — redução de ~60% no consumo de token numa escala de milhões de mensagem por mês. A distinção que fica: RAG resolve conhecimento; fine-tuning resolve </w:t>
      </w:r>
      <w:r>
        <w:rPr>
          <w:rFonts w:ascii="Arial" w:hAnsi="Arial"/>
          <w:b/>
          <w:color w:val="333333"/>
          <w:sz w:val="22"/>
        </w:rPr>
        <w:t>comportamento repetido em volume</w:t>
      </w:r>
      <w:r>
        <w:rPr>
          <w:rFonts w:ascii="Arial" w:hAnsi="Arial"/>
          <w:b w:val="0"/>
          <w:color w:val="333333"/>
          <w:sz w:val="22"/>
        </w:rPr>
        <w:t>, podendo torná-lo mais barato que reconstruir um prompt grande a cada chamada.</w:t>
      </w:r>
    </w:p>
    <w:p>
      <w:pPr>
        <w:pStyle w:val="Heading4"/>
        <w:spacing w:before="200" w:after="80"/>
      </w:pPr>
      <w:r>
        <w:rPr>
          <w:rFonts w:ascii="Arial" w:hAnsi="Arial"/>
          <w:b/>
          <w:color w:val="1F4D78"/>
          <w:sz w:val="22"/>
        </w:rPr>
        <w:t>As quatro perguntas do framework</w:t>
      </w:r>
    </w:p>
    <w:p>
      <w:pPr>
        <w:spacing w:after="160"/>
      </w:pPr>
      <w:r>
        <w:rPr>
          <w:rFonts w:ascii="Arial" w:hAnsi="Arial"/>
          <w:b/>
          <w:color w:val="333333"/>
          <w:sz w:val="22"/>
        </w:rPr>
        <w:t>Primeira pergunta — a tarefa é estreita e repetida?</w:t>
      </w:r>
      <w:r>
        <w:rPr>
          <w:rFonts w:ascii="Arial" w:hAnsi="Arial"/>
          <w:b w:val="0"/>
          <w:color w:val="333333"/>
          <w:sz w:val="22"/>
        </w:rPr>
        <w:t xml:space="preserve"> Fine-tuning funciona melhor quando dá para descrever a tarefa numa frase que continua válida para praticamente todos os casos (ex.: extrair segurado, placa e valor de orçamento). Sinal verde: repetição suficiente para especializar comportamento. Sinal vermelho: a própria natureza da tarefa muda de chamada para chamada (resumir, traduzir, responder pergunta aberta) — nesse caso, um bom prompt tende a ser ferramenta melhor.</w:t>
      </w:r>
    </w:p>
    <w:p>
      <w:pPr>
        <w:spacing w:after="160"/>
      </w:pPr>
      <w:r>
        <w:rPr>
          <w:rFonts w:ascii="Arial" w:hAnsi="Arial"/>
          <w:b/>
          <w:color w:val="333333"/>
          <w:sz w:val="22"/>
        </w:rPr>
        <w:t>Segunda pergunta — as alternativas mais baratas já foram esgotadas?</w:t>
      </w:r>
      <w:r>
        <w:rPr>
          <w:rFonts w:ascii="Arial" w:hAnsi="Arial"/>
          <w:b w:val="0"/>
          <w:color w:val="333333"/>
          <w:sz w:val="22"/>
        </w:rPr>
        <w:t xml:space="preserve"> Muita gente pula essa pergunta. A Indeed é referência justamente porque seguiu a ordem certa: validou few-shot antes de partir para treino. Existe um teste prático — se dá para explicar em texto exatamente como quero que o modelo se comporte, primeiro tenho que tentar colocar isso num system prompt bem escrito, com exemplo real no próprio contexto. Sinal verde: esse trabalho já foi feito a sério e ainda assim existe falha consistente de qualidade, custo ou latência. Sinal vermelho: considerar fine-tuning antes mesmo de tentar melhorar o prompt.</w:t>
      </w:r>
    </w:p>
    <w:p>
      <w:pPr>
        <w:spacing w:after="160"/>
      </w:pPr>
      <w:r>
        <w:rPr>
          <w:rFonts w:ascii="Arial" w:hAnsi="Arial"/>
          <w:b/>
          <w:color w:val="333333"/>
          <w:sz w:val="22"/>
        </w:rPr>
        <w:t>Terceira pergunta — existem dados suficientes e de qualidade?</w:t>
      </w:r>
      <w:r>
        <w:rPr>
          <w:rFonts w:ascii="Arial" w:hAnsi="Arial"/>
          <w:b w:val="0"/>
          <w:color w:val="333333"/>
          <w:sz w:val="22"/>
        </w:rPr>
        <w:t xml:space="preserve"> Será aprofundada no módulo 2, mas já entra desde o começo: sem dado bom, não existe fine-tuning bom. Suficiente não significa necessariamente milhares de exemplo — significa exemplo real e representativo da variação que existe na tarefa-alvo. Sinal verde: histórico real de entrada/saída correta, mesmo que só algumas dezenas de caso, desde que cubram a diversidade útil. Sinal vermelho: precisar inventar todo o dataset do zero sem nenhum caso real como referência.</w:t>
      </w:r>
    </w:p>
    <w:p>
      <w:pPr>
        <w:spacing w:after="160"/>
      </w:pPr>
      <w:r>
        <w:rPr>
          <w:rFonts w:ascii="Arial" w:hAnsi="Arial"/>
          <w:b/>
          <w:color w:val="333333"/>
          <w:sz w:val="22"/>
        </w:rPr>
        <w:t>Quarta pergunta — a tarefa é estável?</w:t>
      </w:r>
      <w:r>
        <w:rPr>
          <w:rFonts w:ascii="Arial" w:hAnsi="Arial"/>
          <w:b w:val="0"/>
          <w:color w:val="333333"/>
          <w:sz w:val="22"/>
        </w:rPr>
        <w:t xml:space="preserve"> Se o formato de saída muda toda semana, cada mudança pode exigir revisão de dataset, nova avaliação e às vezes novo treinamento — custo de manutenção que precisa ser considerado antes do primeiro ciclo. Sinal verde: esquema de saída tratado como contrato, que muda raramente e por decisão deliberada. Sinal vermelho: cada área querendo resposta diferente sem contrato consolidado — treinar antes dessa definição é tentar acertar um alvo que ainda está se movendo.</w:t>
      </w:r>
    </w:p>
    <w:p>
      <w:pPr>
        <w:pStyle w:val="Heading4"/>
        <w:spacing w:before="200" w:after="80"/>
      </w:pPr>
      <w:r>
        <w:rPr>
          <w:rFonts w:ascii="Arial" w:hAnsi="Arial"/>
          <w:b/>
          <w:color w:val="1F4D78"/>
          <w:sz w:val="22"/>
        </w:rPr>
        <w:t>A escada de customização ficou maior</w:t>
      </w:r>
    </w:p>
    <w:p>
      <w:pPr>
        <w:spacing w:after="160"/>
      </w:pPr>
      <w:r>
        <w:rPr>
          <w:rFonts w:ascii="Arial" w:hAnsi="Arial"/>
          <w:b w:val="0"/>
          <w:color w:val="333333"/>
          <w:sz w:val="22"/>
        </w:rPr>
        <w:t xml:space="preserve">O mercado evoluiu: modelo de fronteira aceita janela de contexto muito maior, modelo de raciocínio gasta mais tempo de inferência antes de responder, custo por token caiu em muitos cenário. Isso não muda a diferença entre RAG e fine-tuning — muda a </w:t>
      </w:r>
      <w:r>
        <w:rPr>
          <w:rFonts w:ascii="Arial" w:hAnsi="Arial"/>
          <w:b/>
          <w:color w:val="333333"/>
          <w:sz w:val="22"/>
        </w:rPr>
        <w:t>quantidade de alternativa intermediária</w:t>
      </w:r>
      <w:r>
        <w:rPr>
          <w:rFonts w:ascii="Arial" w:hAnsi="Arial"/>
          <w:b w:val="0"/>
          <w:color w:val="333333"/>
          <w:sz w:val="22"/>
        </w:rPr>
        <w:t xml:space="preserve"> que dá para tentar antes de treinar. </w:t>
      </w:r>
      <w:r>
        <w:rPr>
          <w:rFonts w:ascii="Arial" w:hAnsi="Arial"/>
          <w:b/>
          <w:color w:val="333333"/>
          <w:sz w:val="22"/>
        </w:rPr>
        <w:t>Context engineering</w:t>
      </w:r>
      <w:r>
        <w:rPr>
          <w:rFonts w:ascii="Arial" w:hAnsi="Arial"/>
          <w:b w:val="0"/>
          <w:color w:val="333333"/>
          <w:sz w:val="22"/>
        </w:rPr>
        <w:t xml:space="preserve">: tudo que entra no contexto do modelo, não só o prompt escrito manualmente — histórico de conversa, documento recuperado, saída de ferramenta, exemplo escolhido dinamicamente; RAG é uma técnica dentro desse conjunto maior. </w:t>
      </w:r>
      <w:r>
        <w:rPr>
          <w:rFonts w:ascii="Arial" w:hAnsi="Arial"/>
          <w:b/>
          <w:color w:val="333333"/>
          <w:sz w:val="22"/>
        </w:rPr>
        <w:t>Agent skills</w:t>
      </w:r>
      <w:r>
        <w:rPr>
          <w:rFonts w:ascii="Arial" w:hAnsi="Arial"/>
          <w:b w:val="0"/>
          <w:color w:val="333333"/>
          <w:sz w:val="22"/>
        </w:rPr>
        <w:t>: pacote de instrução (e, às vezes, código) que um agente carrega sob demanda, sem precisar permanecer no contexto o tempo todo e sem exigir alteração de peso. A escada passa por prompt, context engineering, RAG, agent skills e outras técnicas antes de chegar ao fine-tuning.</w:t>
      </w:r>
    </w:p>
    <w:p>
      <w:pPr>
        <w:pStyle w:val="Heading4"/>
        <w:spacing w:before="200" w:after="80"/>
      </w:pPr>
      <w:r>
        <w:rPr>
          <w:rFonts w:ascii="Arial" w:hAnsi="Arial"/>
          <w:b/>
          <w:color w:val="1F4D78"/>
          <w:sz w:val="22"/>
        </w:rPr>
        <w:t>Onde fine-tuning continua ganhando</w:t>
      </w:r>
    </w:p>
    <w:p>
      <w:pPr>
        <w:spacing w:after="160"/>
      </w:pPr>
      <w:r>
        <w:rPr>
          <w:rFonts w:ascii="Arial" w:hAnsi="Arial"/>
          <w:b w:val="0"/>
          <w:color w:val="333333"/>
          <w:sz w:val="22"/>
        </w:rPr>
        <w:t xml:space="preserve">Mesmo com modelo excelente e contexto grande, três situações mantêm vantagem clara para fine-tuning: </w:t>
      </w:r>
      <w:r>
        <w:rPr>
          <w:rFonts w:ascii="Arial" w:hAnsi="Arial"/>
          <w:b/>
          <w:color w:val="333333"/>
          <w:sz w:val="22"/>
        </w:rPr>
        <w:t>volume</w:t>
      </w:r>
      <w:r>
        <w:rPr>
          <w:rFonts w:ascii="Arial" w:hAnsi="Arial"/>
          <w:b w:val="0"/>
          <w:color w:val="333333"/>
          <w:sz w:val="22"/>
        </w:rPr>
        <w:t xml:space="preserve"> (reconstruir contexto grande em milhões de chamada pode custar mais em token/latência do que embutir parte do comportamento); </w:t>
      </w:r>
      <w:r>
        <w:rPr>
          <w:rFonts w:ascii="Arial" w:hAnsi="Arial"/>
          <w:b/>
          <w:color w:val="333333"/>
          <w:sz w:val="22"/>
        </w:rPr>
        <w:t>consistência de formato</w:t>
      </w:r>
      <w:r>
        <w:rPr>
          <w:rFonts w:ascii="Arial" w:hAnsi="Arial"/>
          <w:b w:val="0"/>
          <w:color w:val="333333"/>
          <w:sz w:val="22"/>
        </w:rPr>
        <w:t xml:space="preserve"> (esquema de saída extremamente estável se beneficia de menos dependência de repetir instrução de formato — embora isso não elimine validação determinística, como Structured Outputs da própria OpenAI, que reforça consistência sem ser a única camada de proteção); e </w:t>
      </w:r>
      <w:r>
        <w:rPr>
          <w:rFonts w:ascii="Arial" w:hAnsi="Arial"/>
          <w:b/>
          <w:color w:val="333333"/>
          <w:sz w:val="22"/>
        </w:rPr>
        <w:t>modelo pequeno local</w:t>
      </w:r>
      <w:r>
        <w:rPr>
          <w:rFonts w:ascii="Arial" w:hAnsi="Arial"/>
          <w:b w:val="0"/>
          <w:color w:val="333333"/>
          <w:sz w:val="22"/>
        </w:rPr>
        <w:t>, fora da nuvem, sem acesso a contexto enorme — situação que será demonstrada mais adiante.</w:t>
      </w:r>
    </w:p>
    <w:p>
      <w:pPr>
        <w:pStyle w:val="Heading4"/>
        <w:spacing w:before="200" w:after="80"/>
      </w:pPr>
      <w:r>
        <w:rPr>
          <w:rFonts w:ascii="Arial" w:hAnsi="Arial"/>
          <w:b/>
          <w:color w:val="1F4D78"/>
          <w:sz w:val="22"/>
        </w:rPr>
        <w:t>O checklist e o portão de governança</w:t>
      </w:r>
    </w:p>
    <w:p>
      <w:pPr>
        <w:spacing w:after="160"/>
      </w:pPr>
      <w:r>
        <w:rPr>
          <w:rFonts w:ascii="Arial" w:hAnsi="Arial"/>
          <w:b w:val="0"/>
          <w:color w:val="333333"/>
          <w:sz w:val="22"/>
        </w:rPr>
        <w:t xml:space="preserve">As quatro perguntas viram checklist com sinal verde, sinal vermelho e primeira aplicação ao caso da Amplitude. Se uma resposta importante cai no vermelho, a recomendação é interrompida ali — não faz sentido forçar as demais perguntas só para justificar decisão que já começou errada. O checklist não substitui julgamento — ele </w:t>
      </w:r>
      <w:r>
        <w:rPr>
          <w:rFonts w:ascii="Arial" w:hAnsi="Arial"/>
          <w:b/>
          <w:color w:val="333333"/>
          <w:sz w:val="22"/>
        </w:rPr>
        <w:t>organiza</w:t>
      </w:r>
      <w:r>
        <w:rPr>
          <w:rFonts w:ascii="Arial" w:hAnsi="Arial"/>
          <w:b w:val="0"/>
          <w:color w:val="333333"/>
          <w:sz w:val="22"/>
        </w:rPr>
        <w:t xml:space="preserve"> julgamento.</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existe uma quinta preocupação que as quatro perguntas não cobrem completamente — </w:t>
      </w:r>
      <w:r>
        <w:rPr>
          <w:rFonts w:ascii="Arial" w:hAnsi="Arial"/>
          <w:b/>
          <w:color w:val="333333"/>
          <w:sz w:val="22"/>
        </w:rPr>
        <w:t>governança</w:t>
      </w:r>
      <w:r>
        <w:rPr>
          <w:rFonts w:ascii="Arial" w:hAnsi="Arial"/>
          <w:b w:val="0"/>
          <w:color w:val="333333"/>
          <w:sz w:val="22"/>
        </w:rPr>
        <w:t xml:space="preserve">. No caso da Amplitude, um cenário envolve recibo médico e dado de saúde sensível. Treinar um modelo com esse tipo de informação não é a mesma decisão que consultar dado externo por RAG — retenção, auditoria e direito ao esquecimento ficam mais difíceis de operacionalizar quando a informação entra no processo de treinamento. Por isso governança funciona como </w:t>
      </w:r>
      <w:r>
        <w:rPr>
          <w:rFonts w:ascii="Arial" w:hAnsi="Arial"/>
          <w:b/>
          <w:color w:val="333333"/>
          <w:sz w:val="22"/>
        </w:rPr>
        <w:t>portão anterior</w:t>
      </w:r>
      <w:r>
        <w:rPr>
          <w:rFonts w:ascii="Arial" w:hAnsi="Arial"/>
          <w:b w:val="0"/>
          <w:color w:val="333333"/>
          <w:sz w:val="22"/>
        </w:rPr>
        <w:t xml:space="preserve"> às quatro perguntas: se o dado não pode ser usado adequadamente para treinamento, pouco importa que a tarefa seja estreita, estável e tenha volume — o candidato não avança.</w:t>
      </w:r>
    </w:p>
    <w:p>
      <w:pPr>
        <w:pStyle w:val="Heading4"/>
        <w:spacing w:before="200" w:after="80"/>
      </w:pPr>
      <w:r>
        <w:rPr>
          <w:rFonts w:ascii="Arial" w:hAnsi="Arial"/>
          <w:b/>
          <w:color w:val="1F4D78"/>
          <w:sz w:val="22"/>
        </w:rPr>
        <w:t>Fine-tuning também cria novas responsabilidades</w:t>
      </w:r>
    </w:p>
    <w:p>
      <w:pPr>
        <w:spacing w:after="160"/>
      </w:pPr>
      <w:r>
        <w:rPr>
          <w:rFonts w:ascii="Arial" w:hAnsi="Arial"/>
          <w:b w:val="0"/>
          <w:color w:val="333333"/>
          <w:sz w:val="22"/>
        </w:rPr>
        <w:t xml:space="preserve">Fine-tuning não encerra problema — troca parte do problema de inferência por problema de dado e manutenção. Dado ruim não avisa que está errado, ele vira comportamento aprendido. Dataset pequeno demais ou configuração agressiva pode gerar </w:t>
      </w:r>
      <w:r>
        <w:rPr>
          <w:rFonts w:ascii="Arial" w:hAnsi="Arial"/>
          <w:b/>
          <w:color w:val="333333"/>
          <w:sz w:val="22"/>
        </w:rPr>
        <w:t>overfitting</w:t>
      </w:r>
      <w:r>
        <w:rPr>
          <w:rFonts w:ascii="Arial" w:hAnsi="Arial"/>
          <w:b w:val="0"/>
          <w:color w:val="333333"/>
          <w:sz w:val="22"/>
        </w:rPr>
        <w:t xml:space="preserve"> (modelo memoriza exemplo em vez de aprender padrão geral). Cada modelo fine-tunado vira artefato que precisa ser versionado, reavaliado e eventualmente retreinado quando o modelo base muda. E fine-tuning sem avaliação rigorosa contra baseline é especialmente perigoso porque gera falsa confiança — melhora aparente em alguns exemplos não prova que a solução funciona melhor no problema real.</w:t>
      </w:r>
    </w:p>
    <w:p>
      <w:pPr>
        <w:spacing w:before="120" w:after="120"/>
        <w:ind w:left="360" w:right="360"/>
        <w:shd w:val="clear" w:fill="F5F5F5"/>
        <w:pBdr>
          <w:left w:val="single" w:color="2E75B6" w:sz="4" w:space="10"/>
        </w:pBdr>
      </w:pPr>
      <w:r>
        <w:rPr>
          <w:rFonts w:ascii="Arial" w:hAnsi="Arial"/>
          <w:b w:val="0"/>
          <w:color w:val="333333"/>
          <w:sz w:val="22"/>
        </w:rPr>
        <w:t>✅ Resultado/Conclusão: as quatro perguntas filtram candidato — não substituem preparação de dado, treinamento, avaliação e governança. Nos próximos capítulos, o mesmo framework é aplicado a casos da Amplitude que parecem semelhantes na origem, mas recebem recomendação diferente quando cada pergunta é analisada com cuidado.</w:t>
      </w:r>
    </w:p>
    <w:p>
      <w:pPr>
        <w:pStyle w:val="Heading3"/>
        <w:spacing w:before="200" w:after="80"/>
      </w:pPr>
      <w:r>
        <w:rPr>
          <w:rFonts w:ascii="Arial" w:hAnsi="Arial"/>
          <w:b/>
          <w:color w:val="1F4D78"/>
          <w:sz w:val="24"/>
        </w:rPr>
        <w:t>Aula 2: Quando Fazer Fine-Tuning (Decision Framework) (PT-2)</w:t>
      </w:r>
    </w:p>
    <w:p>
      <w:pPr>
        <w:pStyle w:val="Heading4"/>
        <w:spacing w:before="200" w:after="80"/>
      </w:pPr>
      <w:r>
        <w:rPr>
          <w:rFonts w:ascii="Arial" w:hAnsi="Arial"/>
          <w:b/>
          <w:color w:val="1F4D78"/>
          <w:sz w:val="22"/>
        </w:rPr>
        <w:t>Saindo da regra decorada</w:t>
      </w:r>
    </w:p>
    <w:p>
      <w:pPr>
        <w:spacing w:after="160"/>
      </w:pPr>
      <w:r>
        <w:rPr>
          <w:rFonts w:ascii="Arial" w:hAnsi="Arial"/>
          <w:b w:val="0"/>
          <w:color w:val="333333"/>
          <w:sz w:val="22"/>
        </w:rPr>
        <w:t xml:space="preserve">A partir daqui o framework é aplicado a casos concretos, com três exemplos: os dois primeiros pertencem à mesma empresa e têm origem parecida (documento externo, formato inconsistente, extração de informação), mas </w:t>
      </w:r>
      <w:r>
        <w:rPr>
          <w:rFonts w:ascii="Arial" w:hAnsi="Arial"/>
          <w:b/>
          <w:color w:val="333333"/>
          <w:sz w:val="22"/>
        </w:rPr>
        <w:t>Amplitude Auto</w:t>
      </w:r>
      <w:r>
        <w:rPr>
          <w:rFonts w:ascii="Arial" w:hAnsi="Arial"/>
          <w:b w:val="0"/>
          <w:color w:val="333333"/>
          <w:sz w:val="22"/>
        </w:rPr>
        <w:t xml:space="preserve"> e </w:t>
      </w:r>
      <w:r>
        <w:rPr>
          <w:rFonts w:ascii="Arial" w:hAnsi="Arial"/>
          <w:b/>
          <w:color w:val="333333"/>
          <w:sz w:val="22"/>
        </w:rPr>
        <w:t>Amplitude Saúde Empresarial</w:t>
      </w:r>
      <w:r>
        <w:rPr>
          <w:rFonts w:ascii="Arial" w:hAnsi="Arial"/>
          <w:b w:val="0"/>
          <w:color w:val="333333"/>
          <w:sz w:val="22"/>
        </w:rPr>
        <w:t xml:space="preserve"> não chegam à mesma recomendação. O terceiro caso, atendimento ao cliente, mostra outra nuance: ter muito dado disponível não significa automaticamente que fine-tuning é adequado.</w:t>
      </w:r>
    </w:p>
    <w:p>
      <w:pPr>
        <w:pStyle w:val="Heading4"/>
        <w:spacing w:before="200" w:after="80"/>
      </w:pPr>
      <w:r>
        <w:rPr>
          <w:rFonts w:ascii="Arial" w:hAnsi="Arial"/>
          <w:b/>
          <w:color w:val="1F4D78"/>
          <w:sz w:val="22"/>
        </w:rPr>
        <w:t>As quatro perguntas continuam sendo condições necessárias</w:t>
      </w:r>
    </w:p>
    <w:p>
      <w:pPr>
        <w:spacing w:after="160"/>
      </w:pPr>
      <w:r>
        <w:rPr>
          <w:rFonts w:ascii="Arial" w:hAnsi="Arial"/>
          <w:b w:val="0"/>
          <w:color w:val="333333"/>
          <w:sz w:val="22"/>
        </w:rPr>
        <w:t xml:space="preserve">Reforço importante: as quatro precisam estar verdes, não por aprovação arbitrária por unanimidade — cada uma verifica uma condição </w:t>
      </w:r>
      <w:r>
        <w:rPr>
          <w:rFonts w:ascii="Arial" w:hAnsi="Arial"/>
          <w:b/>
          <w:color w:val="333333"/>
          <w:sz w:val="22"/>
        </w:rPr>
        <w:t>necessária diferente</w:t>
      </w:r>
      <w:r>
        <w:rPr>
          <w:rFonts w:ascii="Arial" w:hAnsi="Arial"/>
          <w:b w:val="0"/>
          <w:color w:val="333333"/>
          <w:sz w:val="22"/>
        </w:rPr>
        <w:t>. Tarefa estreita sem dado suficiente não é bom candidato; grande volume aplicado a tarefa aberta também não resolve; tarefa repetitiva que muda de contrato toda semana pode virar esteira de retreino. As perguntas não se compensam — um sinal vermelho já muda a recomendação, independente de quão fortes sejam os sinais verdes restantes.</w:t>
      </w:r>
    </w:p>
    <w:p>
      <w:pPr>
        <w:pStyle w:val="Heading4"/>
        <w:spacing w:before="200" w:after="80"/>
      </w:pPr>
      <w:r>
        <w:rPr>
          <w:rFonts w:ascii="Arial" w:hAnsi="Arial"/>
          <w:b/>
          <w:color w:val="1F4D78"/>
          <w:sz w:val="22"/>
        </w:rPr>
        <w:t>O gate de governança como blocker</w:t>
      </w:r>
    </w:p>
    <w:p>
      <w:pPr>
        <w:spacing w:after="160"/>
      </w:pPr>
      <w:r>
        <w:rPr>
          <w:rFonts w:ascii="Arial" w:hAnsi="Arial"/>
          <w:b w:val="0"/>
          <w:color w:val="333333"/>
          <w:sz w:val="22"/>
        </w:rPr>
        <w:t xml:space="preserve">Antes das quatro perguntas, entra o portão de governança, verificando questão binária: os dados podem ser processados por um provedor de fine-tuning do ponto de vista legal e de compliance? É preciso base legal definida e, para dado sensível, considerar acordo como um DPA adequado. Esse gate </w:t>
      </w:r>
      <w:r>
        <w:rPr>
          <w:rFonts w:ascii="Arial" w:hAnsi="Arial"/>
          <w:b/>
          <w:color w:val="333333"/>
          <w:sz w:val="22"/>
        </w:rPr>
        <w:t>não</w:t>
      </w:r>
      <w:r>
        <w:rPr>
          <w:rFonts w:ascii="Arial" w:hAnsi="Arial"/>
          <w:b w:val="0"/>
          <w:color w:val="333333"/>
          <w:sz w:val="22"/>
        </w:rPr>
        <w:t xml:space="preserve"> é uma quinta pergunta ponderável — é um </w:t>
      </w:r>
      <w:r>
        <w:rPr>
          <w:rFonts w:ascii="Arial" w:hAnsi="Arial"/>
          <w:b/>
          <w:color w:val="333333"/>
          <w:sz w:val="22"/>
        </w:rPr>
        <w:t>blocker</w:t>
      </w:r>
      <w:r>
        <w:rPr>
          <w:rFonts w:ascii="Arial" w:hAnsi="Arial"/>
          <w:b w:val="0"/>
          <w:color w:val="333333"/>
          <w:sz w:val="22"/>
        </w:rPr>
        <w:t>. Nenhum volume, ganho financeiro ou pontuação favorável compensa base legal ausente, e ele precisa rodar antes do AHP e da análise econômica (não faz sentido avaliar retorno financeiro de caso que juridicamente não pode prosseguir).</w:t>
      </w:r>
    </w:p>
    <w:p>
      <w:pPr>
        <w:spacing w:after="160"/>
      </w:pPr>
      <w:r>
        <w:rPr>
          <w:rFonts w:ascii="Arial" w:hAnsi="Arial"/>
          <w:b w:val="0"/>
          <w:color w:val="333333"/>
          <w:sz w:val="22"/>
        </w:rPr>
        <w:t>Na Amplitude, Saúde Empresarial carrega exigência adicional por envolver dado de saúde (categoria sensível); Auto e atendimento não têm essa mesma característica no exemplo. Os três casos passam pelo gate, mas o resultado é verificado caso a caso com justificativa.</w:t>
      </w:r>
    </w:p>
    <w:p>
      <w:pPr>
        <w:pStyle w:val="Heading4"/>
        <w:spacing w:before="200" w:after="80"/>
      </w:pPr>
      <w:r>
        <w:rPr>
          <w:rFonts w:ascii="Arial" w:hAnsi="Arial"/>
          <w:b/>
          <w:color w:val="1F4D78"/>
          <w:sz w:val="22"/>
        </w:rPr>
        <w:t>Governança não termina no gate</w:t>
      </w:r>
    </w:p>
    <w:p>
      <w:pPr>
        <w:spacing w:after="160"/>
      </w:pPr>
      <w:r>
        <w:rPr>
          <w:rFonts w:ascii="Arial" w:hAnsi="Arial"/>
          <w:b w:val="0"/>
          <w:color w:val="333333"/>
          <w:sz w:val="22"/>
        </w:rPr>
        <w:t xml:space="preserve">Passar no gate não resolve toda a discussão de privacidade. Existe passo técnico adicional entre autorizar o uso e construir o dataset: higienizar informação pessoalmente identificável antes que chegue ao treinamento. CPF, nome e outro identificador podem ser memorizados pelo modelo e aparecer numa resposta futura se mantidos de forma inadequada. A disciplina antecipa uma ferramenta específica de higienização (com validação real de CPF por dígito verificador) e materiais complementares sobre privacidade diferencial, fine-tuning federado e risco de memorização. O gate responde se o piloto pode prosseguir; mascaramento, auditoria e demais controle determinam </w:t>
      </w:r>
      <w:r>
        <w:rPr>
          <w:rFonts w:ascii="Arial" w:hAnsi="Arial"/>
          <w:b/>
          <w:color w:val="333333"/>
          <w:sz w:val="22"/>
        </w:rPr>
        <w:t>como</w:t>
      </w:r>
      <w:r>
        <w:rPr>
          <w:rFonts w:ascii="Arial" w:hAnsi="Arial"/>
          <w:b w:val="0"/>
          <w:color w:val="333333"/>
          <w:sz w:val="22"/>
        </w:rPr>
        <w:t xml:space="preserve"> o dado precisa ser preparado durante o restante do pipeline.</w:t>
      </w:r>
    </w:p>
    <w:p>
      <w:pPr>
        <w:pStyle w:val="Heading4"/>
        <w:spacing w:before="200" w:after="80"/>
      </w:pPr>
      <w:r>
        <w:rPr>
          <w:rFonts w:ascii="Arial" w:hAnsi="Arial"/>
          <w:b/>
          <w:color w:val="1F4D78"/>
          <w:sz w:val="22"/>
        </w:rPr>
        <w:t>Caso 1: Amplitude Auto</w:t>
      </w:r>
    </w:p>
    <w:p>
      <w:pPr>
        <w:spacing w:after="160"/>
      </w:pPr>
      <w:r>
        <w:rPr>
          <w:rFonts w:ascii="Arial" w:hAnsi="Arial"/>
          <w:b w:val="0"/>
          <w:color w:val="333333"/>
          <w:sz w:val="22"/>
        </w:rPr>
        <w:t>Tarefa: extrair segurado, placa e valor de orçamento de oficina. Problema realista porque o formulário principal pode chegar estruturado, mas o documento de apoio vem da oficina — cada uma pode usar layout diferente.</w:t>
      </w:r>
    </w:p>
    <w:p>
      <w:pPr>
        <w:spacing w:after="160"/>
      </w:pPr>
      <w:r>
        <w:rPr>
          <w:rFonts w:ascii="Arial" w:hAnsi="Arial"/>
          <w:b w:val="0"/>
          <w:color w:val="333333"/>
          <w:sz w:val="22"/>
        </w:rPr>
        <w:t>Pergunta 1 (verde): saída sempre a mesma (segurado, placa, valor); a variação está na forma de entrada, não na natureza da tarefa. Pergunta 2 (verde): a equipe já trabalhou com prompt e RAG, ainda assim a variação de layout entre oficinas mantém inconsistência de saída em escala — fine-tuning aparece como próximo degrau porque existe problema residual de consistência. Perguntas 3 e 4 (verdes): linha madura, milhares de sinistro processado historicamente cobrindo a diversidade real; contrato de saída estável, não muda semanalmente. Resultado: quatro sinais verdes — fine-tuning vale a pena como candidato.</w:t>
      </w:r>
    </w:p>
    <w:p>
      <w:pPr>
        <w:pStyle w:val="Heading4"/>
        <w:spacing w:before="200" w:after="80"/>
      </w:pPr>
      <w:r>
        <w:rPr>
          <w:rFonts w:ascii="Arial" w:hAnsi="Arial"/>
          <w:b/>
          <w:color w:val="1F4D78"/>
          <w:sz w:val="22"/>
        </w:rPr>
        <w:t>Caso 2: Amplitude Saúde Empresarial</w:t>
      </w:r>
    </w:p>
    <w:p>
      <w:pPr>
        <w:spacing w:after="160"/>
      </w:pPr>
      <w:r>
        <w:rPr>
          <w:rFonts w:ascii="Arial" w:hAnsi="Arial"/>
          <w:b w:val="0"/>
          <w:color w:val="333333"/>
          <w:sz w:val="22"/>
        </w:rPr>
        <w:t>Tarefa parecida na superfície: extrair beneficiário, procedimento e valor de recibo médico, cruzando com cadastro para identificar titular ou dependente. A estrutura é semelhante à de Auto, mas o domínio adiciona camada regulatória por envolver dado de saúde.</w:t>
      </w:r>
    </w:p>
    <w:p>
      <w:pPr>
        <w:spacing w:after="160"/>
      </w:pPr>
      <w:r>
        <w:rPr>
          <w:rFonts w:ascii="Arial" w:hAnsi="Arial"/>
          <w:b w:val="0"/>
          <w:color w:val="333333"/>
          <w:sz w:val="22"/>
        </w:rPr>
        <w:t xml:space="preserve">Perguntas 1 e 2 (verdes): tarefa estreita e repetida; equipe já testou prompt e RAG. Até aqui os dois casos parecem equivalentes. A divergência aparece na </w:t>
      </w:r>
      <w:r>
        <w:rPr>
          <w:rFonts w:ascii="Arial" w:hAnsi="Arial"/>
          <w:b/>
          <w:color w:val="333333"/>
          <w:sz w:val="22"/>
        </w:rPr>
        <w:t>pergunta 3</w:t>
      </w:r>
      <w:r>
        <w:rPr>
          <w:rFonts w:ascii="Arial" w:hAnsi="Arial"/>
          <w:b w:val="0"/>
          <w:color w:val="333333"/>
          <w:sz w:val="22"/>
        </w:rPr>
        <w:t xml:space="preserve">: existe dado suficiente, diverso e representativo? Não. Saúde Empresarial é linha mais nova, com histórico menor — não é ausência completa de exemplo, é </w:t>
      </w:r>
      <w:r>
        <w:rPr>
          <w:rFonts w:ascii="Arial" w:hAnsi="Arial"/>
          <w:b/>
          <w:color w:val="333333"/>
          <w:sz w:val="22"/>
        </w:rPr>
        <w:t>representatividade</w:t>
      </w:r>
      <w:r>
        <w:rPr>
          <w:rFonts w:ascii="Arial" w:hAnsi="Arial"/>
          <w:b w:val="0"/>
          <w:color w:val="333333"/>
          <w:sz w:val="22"/>
        </w:rPr>
        <w:t>. Auto processa ~8 mil sinistros/mês; Saúde Empresarial ~1.200 — diferença de sete vezes. O score dessa dimensão: Auto ~0,9, Saúde Empresarial 0,35, abaixo do limiar de 0,6. Pergunta 4 (verde): contrato estável, integrado ao mesmo tipo de sistema.</w:t>
      </w:r>
    </w:p>
    <w:p>
      <w:pPr>
        <w:spacing w:after="160"/>
      </w:pPr>
      <w:r>
        <w:rPr>
          <w:rFonts w:ascii="Arial" w:hAnsi="Arial"/>
          <w:b w:val="0"/>
          <w:color w:val="333333"/>
          <w:sz w:val="22"/>
        </w:rPr>
        <w:t xml:space="preserve">Resultado: três verdes e uma vermelha. A recomendação não é "nunca vai servir" — é </w:t>
      </w:r>
      <w:r>
        <w:rPr>
          <w:rFonts w:ascii="Arial" w:hAnsi="Arial"/>
          <w:b/>
          <w:color w:val="333333"/>
          <w:sz w:val="22"/>
        </w:rPr>
        <w:t>"ainda não"</w:t>
      </w:r>
      <w:r>
        <w:rPr>
          <w:rFonts w:ascii="Arial" w:hAnsi="Arial"/>
          <w:b w:val="0"/>
          <w:color w:val="333333"/>
          <w:sz w:val="22"/>
        </w:rPr>
        <w:t>. O gargalo é dado histórico representativo; se o volume crescer e a variedade for adequadamente coberta, a decisão pode ser reavaliada. Isso é diferente do terceiro caso, onde o problema não se resolve simplesmente esperando mais dado.</w:t>
      </w:r>
    </w:p>
    <w:p>
      <w:pPr>
        <w:pStyle w:val="Heading4"/>
        <w:spacing w:before="200" w:after="80"/>
      </w:pPr>
      <w:r>
        <w:rPr>
          <w:rFonts w:ascii="Arial" w:hAnsi="Arial"/>
          <w:b/>
          <w:color w:val="1F4D78"/>
          <w:sz w:val="22"/>
        </w:rPr>
        <w:t>Caso 3: Atendimento ao Cliente</w:t>
      </w:r>
    </w:p>
    <w:p>
      <w:pPr>
        <w:spacing w:after="160"/>
      </w:pPr>
      <w:r>
        <w:rPr>
          <w:rFonts w:ascii="Arial" w:hAnsi="Arial"/>
          <w:b w:val="0"/>
          <w:color w:val="333333"/>
          <w:sz w:val="22"/>
        </w:rPr>
        <w:t>Tarefa: negociar e resolver contestação de sinistro em conversa aberta, incluindo exceção de cobertura analisada caso a caso — contexto, histórico, produto e tipo de decisão mudam entre atendimentos. Esse cenário tem mais dado que os anteriores e ainda assim reprova.</w:t>
      </w:r>
    </w:p>
    <w:p>
      <w:pPr>
        <w:spacing w:after="160"/>
      </w:pPr>
      <w:r>
        <w:rPr>
          <w:rFonts w:ascii="Arial" w:hAnsi="Arial"/>
          <w:b w:val="0"/>
          <w:color w:val="333333"/>
          <w:sz w:val="22"/>
        </w:rPr>
        <w:t>Pergunta 1 (vermelha): a tarefa é aberta — não existe estrutura de saída única comparável a segurado/placa/valor; mais dado não torna a tarefa estreita, a ausência é de um padrão único que faça sentido embutir como comportamento especializado. Pergunta 2 (verde, de propósito): prompt bem escrito, RAG sobre apólice e regra de cobertura, roteamento para atendimento humano em situação sensível já em produção. Pergunta 3 (verde): maior volume dos três casos, milhares de conversa por mês, superior a Auto e Saúde Empresarial combinados — essa combinação é importante porque impede interpretação simplista de que dado de sobra basta.</w:t>
      </w:r>
    </w:p>
    <w:p>
      <w:pPr>
        <w:spacing w:after="160"/>
      </w:pPr>
      <w:r>
        <w:rPr>
          <w:rFonts w:ascii="Arial" w:hAnsi="Arial"/>
          <w:b w:val="0"/>
          <w:color w:val="333333"/>
          <w:sz w:val="22"/>
        </w:rPr>
        <w:t xml:space="preserve">Pergunta 4 (vermelha): política de cobertura pode mudar com revisão regulatória e criação de novo produto — treinar comportamento fixo sobre política que muda com frequência cria risco de obsolescência rápida. Resultado: recomendação de </w:t>
      </w:r>
      <w:r>
        <w:rPr>
          <w:rFonts w:ascii="Arial" w:hAnsi="Arial"/>
          <w:b/>
          <w:color w:val="333333"/>
          <w:sz w:val="22"/>
        </w:rPr>
        <w:t>não usar</w:t>
      </w:r>
      <w:r>
        <w:rPr>
          <w:rFonts w:ascii="Arial" w:hAnsi="Arial"/>
          <w:b w:val="0"/>
          <w:color w:val="333333"/>
          <w:sz w:val="22"/>
        </w:rPr>
        <w:t xml:space="preserve"> fine-tuning para essa tarefa como está definida — os problemas centrais são abertura e instabilidade, não falta de dado.</w:t>
      </w:r>
    </w:p>
    <w:p>
      <w:pPr>
        <w:pStyle w:val="Heading4"/>
        <w:spacing w:before="200" w:after="80"/>
      </w:pPr>
      <w:r>
        <w:rPr>
          <w:rFonts w:ascii="Arial" w:hAnsi="Arial"/>
          <w:b/>
          <w:color w:val="1F4D78"/>
          <w:sz w:val="22"/>
        </w:rPr>
        <w:t>Três casos, três recomendações</w:t>
      </w:r>
    </w:p>
    <w:p>
      <w:pPr>
        <w:spacing w:after="160"/>
      </w:pPr>
      <w:r>
        <w:rPr>
          <w:rFonts w:ascii="Arial" w:hAnsi="Arial"/>
          <w:b w:val="0"/>
          <w:color w:val="333333"/>
          <w:sz w:val="22"/>
        </w:rPr>
        <w:t xml:space="preserve">Auto passa (tarefa estreita, alternativa esgotada, dado representativo, contrato estável). Saúde Empresarial não passa </w:t>
      </w:r>
      <w:r>
        <w:rPr>
          <w:rFonts w:ascii="Arial" w:hAnsi="Arial"/>
          <w:b/>
          <w:color w:val="333333"/>
          <w:sz w:val="22"/>
        </w:rPr>
        <w:t>agora</w:t>
      </w:r>
      <w:r>
        <w:rPr>
          <w:rFonts w:ascii="Arial" w:hAnsi="Arial"/>
          <w:b w:val="0"/>
          <w:color w:val="333333"/>
          <w:sz w:val="22"/>
        </w:rPr>
        <w:t xml:space="preserve"> (tarefa estreita, contrato estável, mas histórico ainda não representa a variação real). Atendimento também não passa, mas por outro motivo: muito dado, tarefa aberta e instável. Essa comparação mostra por que o framework precisa ser aplicado pergunta por pergunta — não existe resposta única para a empresa inteira nem para a categoria genérica de documento.</w:t>
      </w:r>
    </w:p>
    <w:p>
      <w:pPr>
        <w:pStyle w:val="Heading4"/>
        <w:spacing w:before="200" w:after="80"/>
      </w:pPr>
      <w:r>
        <w:rPr>
          <w:rFonts w:ascii="Arial" w:hAnsi="Arial"/>
          <w:b/>
          <w:color w:val="1F4D78"/>
          <w:sz w:val="22"/>
        </w:rPr>
        <w:t>Por que a dimensão de dados recebe peso maior</w:t>
      </w:r>
    </w:p>
    <w:p>
      <w:pPr>
        <w:spacing w:after="160"/>
      </w:pPr>
      <w:r>
        <w:rPr>
          <w:rFonts w:ascii="Arial" w:hAnsi="Arial"/>
          <w:b w:val="0"/>
          <w:color w:val="333333"/>
          <w:sz w:val="22"/>
        </w:rPr>
        <w:t>Antecipando o AHP do próximo capítulo: a dimensão de dado recebe maior peso que as demais na ponderação. A justificativa não é preferência arbitrária — um prompt melhor pode ser reescrito amanhã, um contrato pode ser redesenhado, uma arquitetura de RAG pode ser revisada; dado histórico representativo não aparece por decisão imediata da equipe, depende de tempo, coleta ou fonte alternativa confiável. Por isso a insuficiência de dado tem característica estrutural diferente das outras limitações. Mesmo assim, a ponderação não transforma condição necessária em algo compensável — o gate de governança continua anterior à análise e as perguntas vermelhas continuam tendo significado próprio.</w:t>
      </w:r>
    </w:p>
    <w:p>
      <w:pPr>
        <w:spacing w:before="120" w:after="120"/>
        <w:ind w:left="360" w:right="360"/>
        <w:shd w:val="clear" w:fill="F5F5F5"/>
        <w:pBdr>
          <w:left w:val="single" w:color="2E75B6" w:sz="4" w:space="10"/>
        </w:pBdr>
      </w:pPr>
      <w:r>
        <w:rPr>
          <w:rFonts w:ascii="Arial" w:hAnsi="Arial"/>
          <w:b w:val="0"/>
          <w:color w:val="333333"/>
          <w:sz w:val="22"/>
        </w:rPr>
        <w:t>✅ Resultado/Conclusão: no próximo capítulo esse raciocínio deixa de ser análise manual e passa a ser executado no terminal — pesos derivados por AHP, razão de consistência e recomendação para os três casos, incorporando NPV, Monte Carlo e Real Options. A disciplina começa por uma regra de decisão antes de começar o treinamento: a tecnologia só entra quando o problema, os dados, a estabilidade e a governança realmente sustentam o investimento.</w:t>
      </w:r>
    </w:p>
    <w:p>
      <w:pPr>
        <w:pStyle w:val="Heading3"/>
        <w:spacing w:before="200" w:after="80"/>
      </w:pPr>
      <w:r>
        <w:rPr>
          <w:rFonts w:ascii="Arial" w:hAnsi="Arial"/>
          <w:b/>
          <w:color w:val="1F4D78"/>
          <w:sz w:val="24"/>
        </w:rPr>
        <w:t>Aula 3: Quando Fazer Fine-Tuning (Decision Framework) (PT-3)</w:t>
      </w:r>
    </w:p>
    <w:p>
      <w:pPr>
        <w:pStyle w:val="Heading4"/>
        <w:spacing w:before="200" w:after="80"/>
      </w:pPr>
      <w:r>
        <w:rPr>
          <w:rFonts w:ascii="Arial" w:hAnsi="Arial"/>
          <w:b/>
          <w:color w:val="1F4D78"/>
          <w:sz w:val="22"/>
        </w:rPr>
        <w:t>Tirando a decisão do slide</w:t>
      </w:r>
    </w:p>
    <w:p>
      <w:pPr>
        <w:spacing w:after="160"/>
      </w:pPr>
      <w:r>
        <w:rPr>
          <w:rFonts w:ascii="Arial" w:hAnsi="Arial"/>
          <w:b w:val="0"/>
          <w:color w:val="333333"/>
          <w:sz w:val="22"/>
        </w:rPr>
        <w:t>O ferramental passa a rodar no terminal: o código executa os três casos, aplica o gate de governança, deriva pesos por AHP, verifica consistência, calcula NPV e break-even, executa dez mil simulações de Monte Carlo, e — quando a reprovação é temporária por insuficiência de dado — calcula o valor de esperar usando Real Options. A mudança importa porque fine-tuning não deveria ser aprovado só por sinal verde informal: quando o investimento envolve dado, treinamento, operação e manutenção, é preciso número, probabilidade e justificativa apresentável a um comitê e revisitável depois.</w:t>
      </w:r>
    </w:p>
    <w:p>
      <w:pPr>
        <w:pStyle w:val="Heading4"/>
        <w:spacing w:before="200" w:after="80"/>
      </w:pPr>
      <w:r>
        <w:rPr>
          <w:rFonts w:ascii="Arial" w:hAnsi="Arial"/>
          <w:b/>
          <w:color w:val="1F4D78"/>
          <w:sz w:val="22"/>
        </w:rPr>
        <w:t>Executando no terminal</w:t>
      </w:r>
    </w:p>
    <w:p>
      <w:pPr>
        <w:spacing w:after="160"/>
      </w:pPr>
      <w:r>
        <w:rPr>
          <w:rFonts w:ascii="Arial" w:hAnsi="Arial"/>
          <w:b w:val="0"/>
          <w:color w:val="333333"/>
          <w:sz w:val="22"/>
        </w:rPr>
        <w:t xml:space="preserve">A demonstração começa com o Decision Framework Tool no terminal, com a suíte automatizada rodando </w:t>
      </w:r>
      <w:r>
        <w:rPr>
          <w:rFonts w:ascii="Arial" w:hAnsi="Arial"/>
          <w:b/>
          <w:color w:val="333333"/>
          <w:sz w:val="22"/>
        </w:rPr>
        <w:t>29 testes</w:t>
      </w:r>
      <w:r>
        <w:rPr>
          <w:rFonts w:ascii="Arial" w:hAnsi="Arial"/>
          <w:b w:val="0"/>
          <w:color w:val="333333"/>
          <w:sz w:val="22"/>
        </w:rPr>
        <w:t xml:space="preserve"> antes da análise. Depois, o script imprime os pesos derivados, a razão de consistência, os resultados financeiros, a simulação de Monte Carlo, o valor de espera para o caso elegível a Real Options, e uma sessão de comitê com pesos agregados de avaliadores hipotéticos. O gate de governança continua anterior a tudo — os casos só seguem para ponderação e análise financeira quando podem prosseguir do ponto de vista legal e de compliance.</w:t>
      </w:r>
    </w:p>
    <w:p>
      <w:pPr>
        <w:pStyle w:val="Heading4"/>
        <w:spacing w:before="200" w:after="80"/>
      </w:pPr>
      <w:r>
        <w:rPr>
          <w:rFonts w:ascii="Arial" w:hAnsi="Arial"/>
          <w:b/>
          <w:color w:val="1F4D78"/>
          <w:sz w:val="22"/>
        </w:rPr>
        <w:t>AHP como formalização do julgamento</w:t>
      </w:r>
    </w:p>
    <w:p>
      <w:pPr>
        <w:spacing w:after="160"/>
      </w:pPr>
      <w:r>
        <w:rPr>
          <w:rFonts w:ascii="Arial" w:hAnsi="Arial"/>
          <w:b/>
          <w:color w:val="333333"/>
          <w:sz w:val="22"/>
        </w:rPr>
        <w:t>AHP, Analytic Hierarchy Process</w:t>
      </w:r>
      <w:r>
        <w:rPr>
          <w:rFonts w:ascii="Arial" w:hAnsi="Arial"/>
          <w:b w:val="0"/>
          <w:color w:val="333333"/>
          <w:sz w:val="22"/>
        </w:rPr>
        <w:t>: os pesos das quatro perguntas não são percentuais arbitrários — são derivados de uma matriz de comparação pareada, em que cada critério é comparado aos demais numa escala de importância relativa. A pergunta sobre dado suficiente recebe importância maior porque representa restrição que não se resolve por decisão imediata da equipe. Da matriz saem pesos aproximados de 0,141 para perguntas 1 e 2, 0,455 para dados suficientes, e 0,263 para estabilidade.</w:t>
      </w:r>
    </w:p>
    <w:p>
      <w:pPr>
        <w:pStyle w:val="Heading4"/>
        <w:spacing w:before="200" w:after="80"/>
      </w:pPr>
      <w:r>
        <w:rPr>
          <w:rFonts w:ascii="Arial" w:hAnsi="Arial"/>
          <w:b/>
          <w:color w:val="1F4D78"/>
          <w:sz w:val="22"/>
        </w:rPr>
        <w:t>Razão de consistência e decisão em grupo</w:t>
      </w:r>
    </w:p>
    <w:p>
      <w:pPr>
        <w:spacing w:after="160"/>
      </w:pPr>
      <w:r>
        <w:rPr>
          <w:rFonts w:ascii="Arial" w:hAnsi="Arial"/>
          <w:b w:val="0"/>
          <w:color w:val="333333"/>
          <w:sz w:val="22"/>
        </w:rPr>
        <w:t xml:space="preserve">O AHP também calcula uma </w:t>
      </w:r>
      <w:r>
        <w:rPr>
          <w:rFonts w:ascii="Arial" w:hAnsi="Arial"/>
          <w:b/>
          <w:color w:val="333333"/>
          <w:sz w:val="22"/>
        </w:rPr>
        <w:t>razão de consistência</w:t>
      </w:r>
      <w:r>
        <w:rPr>
          <w:rFonts w:ascii="Arial" w:hAnsi="Arial"/>
          <w:b w:val="0"/>
          <w:color w:val="333333"/>
          <w:sz w:val="22"/>
        </w:rPr>
        <w:t xml:space="preserve">, permitindo detectar comparação contraditória antes de confiar nos pesos. Na matriz da demonstração, a razão fica em aproximadamente 0,038, abaixo do limiar de 10% usado como referência — julgamento suficientemente coerente. O código simula um comitê com três perfis (produto, compliance, engenharia), cada um com matriz própria, agregadas pela </w:t>
      </w:r>
      <w:r>
        <w:rPr>
          <w:rFonts w:ascii="Arial" w:hAnsi="Arial"/>
          <w:b/>
          <w:color w:val="333333"/>
          <w:sz w:val="22"/>
        </w:rPr>
        <w:t>média geométrica</w:t>
      </w:r>
      <w:r>
        <w:rPr>
          <w:rFonts w:ascii="Arial" w:hAnsi="Arial"/>
          <w:b w:val="0"/>
          <w:color w:val="333333"/>
          <w:sz w:val="22"/>
        </w:rPr>
        <w:t xml:space="preserve"> célula a célula. Os pesos mudam um pouco, mas os três veredictos continuam iguais: Auto aprovado, Saúde Empresarial ainda não, Atendimento reprovado — mostrando que a decisão não depende totalmente de quem está na sala.</w:t>
      </w:r>
    </w:p>
    <w:p>
      <w:pPr>
        <w:pStyle w:val="Heading4"/>
        <w:spacing w:before="200" w:after="80"/>
      </w:pPr>
      <w:r>
        <w:rPr>
          <w:rFonts w:ascii="Arial" w:hAnsi="Arial"/>
          <w:b/>
          <w:color w:val="1F4D78"/>
          <w:sz w:val="22"/>
        </w:rPr>
        <w:t>NPV, break-even e Monte Carlo</w:t>
      </w:r>
    </w:p>
    <w:p>
      <w:pPr>
        <w:spacing w:after="160"/>
      </w:pPr>
      <w:r>
        <w:rPr>
          <w:rFonts w:ascii="Arial" w:hAnsi="Arial"/>
          <w:b w:val="0"/>
          <w:color w:val="333333"/>
          <w:sz w:val="22"/>
        </w:rPr>
        <w:t xml:space="preserve">Com os pesos definidos, entra a análise econômica. </w:t>
      </w:r>
      <w:r>
        <w:rPr>
          <w:rFonts w:ascii="Arial" w:hAnsi="Arial"/>
          <w:b/>
          <w:color w:val="333333"/>
          <w:sz w:val="22"/>
        </w:rPr>
        <w:t>NPV</w:t>
      </w:r>
      <w:r>
        <w:rPr>
          <w:rFonts w:ascii="Arial" w:hAnsi="Arial"/>
          <w:b w:val="0"/>
          <w:color w:val="333333"/>
          <w:sz w:val="22"/>
        </w:rPr>
        <w:t xml:space="preserve"> representa o valor presente dos benefícios futuros menos o investimento necessário; </w:t>
      </w:r>
      <w:r>
        <w:rPr>
          <w:rFonts w:ascii="Arial" w:hAnsi="Arial"/>
          <w:b/>
          <w:color w:val="333333"/>
          <w:sz w:val="22"/>
        </w:rPr>
        <w:t>break-even</w:t>
      </w:r>
      <w:r>
        <w:rPr>
          <w:rFonts w:ascii="Arial" w:hAnsi="Arial"/>
          <w:b w:val="0"/>
          <w:color w:val="333333"/>
          <w:sz w:val="22"/>
        </w:rPr>
        <w:t xml:space="preserve"> mostra em que mês o retorno acumulado cobre o investimento. Na demonstração, a taxa de desconto é 1% ao mês, coerente com o perfil avesso a risco da Amplitude. Para Auto, o NPV em 24 meses fica positivo e o break-even aparece por volta do décimo mês.</w:t>
      </w:r>
    </w:p>
    <w:p>
      <w:pPr>
        <w:spacing w:after="160"/>
      </w:pPr>
      <w:r>
        <w:rPr>
          <w:rFonts w:ascii="Arial" w:hAnsi="Arial"/>
          <w:b w:val="0"/>
          <w:color w:val="333333"/>
          <w:sz w:val="22"/>
        </w:rPr>
        <w:t xml:space="preserve">Como não se quer depender de um único cenário determinístico (volume de chamada, economia por requisição e custo operacional variam na vida real), o framework executa </w:t>
      </w:r>
      <w:r>
        <w:rPr>
          <w:rFonts w:ascii="Arial" w:hAnsi="Arial"/>
          <w:b/>
          <w:color w:val="333333"/>
          <w:sz w:val="22"/>
        </w:rPr>
        <w:t>dez mil simulações de Monte Carlo</w:t>
      </w:r>
      <w:r>
        <w:rPr>
          <w:rFonts w:ascii="Arial" w:hAnsi="Arial"/>
          <w:b w:val="0"/>
          <w:color w:val="333333"/>
          <w:sz w:val="22"/>
        </w:rPr>
        <w:t>. Para Amplitude Auto, a demonstração apresenta probabilidade de retorno positivo de 100% no horizonte analisado, inclusive nos cenários menos favoráveis. A utilidade é transformar premissa incerta em distribuição de resultado possível, em vez de tratar uma única planilha como verdade absoluta. A análise financeira usa número ilustrativo, calibrado para o caso — o valor real precisa ser recalculado com volume, custo de inferência, custo de treinamento, taxa de erro e impacto econômico do contexto real de cada empresa.</w:t>
      </w:r>
    </w:p>
    <w:p>
      <w:pPr>
        <w:pStyle w:val="Heading4"/>
        <w:spacing w:before="200" w:after="80"/>
      </w:pPr>
      <w:r>
        <w:rPr>
          <w:rFonts w:ascii="Arial" w:hAnsi="Arial"/>
          <w:b/>
          <w:color w:val="1F4D78"/>
          <w:sz w:val="22"/>
        </w:rPr>
        <w:t>Saúde Empresarial e o valor de esperar</w:t>
      </w:r>
    </w:p>
    <w:p>
      <w:pPr>
        <w:spacing w:after="160"/>
      </w:pPr>
      <w:r>
        <w:rPr>
          <w:rFonts w:ascii="Arial" w:hAnsi="Arial"/>
          <w:b w:val="0"/>
          <w:color w:val="333333"/>
          <w:sz w:val="22"/>
        </w:rPr>
        <w:t xml:space="preserve">Saúde Empresarial é o caso mais interessante porque não recebe um simples "não". O framework reprova o treinamento </w:t>
      </w:r>
      <w:r>
        <w:rPr>
          <w:rFonts w:ascii="Arial" w:hAnsi="Arial"/>
          <w:b/>
          <w:color w:val="333333"/>
          <w:sz w:val="22"/>
        </w:rPr>
        <w:t>agora</w:t>
      </w:r>
      <w:r>
        <w:rPr>
          <w:rFonts w:ascii="Arial" w:hAnsi="Arial"/>
          <w:b w:val="0"/>
          <w:color w:val="333333"/>
          <w:sz w:val="22"/>
        </w:rPr>
        <w:t xml:space="preserve"> porque o score de dado ainda não alcança o limiar necessário, mas essa é condição que pode melhorar com tempo e coleta. Por isso o caso é elegível a </w:t>
      </w:r>
      <w:r>
        <w:rPr>
          <w:rFonts w:ascii="Arial" w:hAnsi="Arial"/>
          <w:b/>
          <w:color w:val="333333"/>
          <w:sz w:val="22"/>
        </w:rPr>
        <w:t>Real Options</w:t>
      </w:r>
      <w:r>
        <w:rPr>
          <w:rFonts w:ascii="Arial" w:hAnsi="Arial"/>
          <w:b w:val="0"/>
          <w:color w:val="333333"/>
          <w:sz w:val="22"/>
        </w:rPr>
        <w:t>: quanto vale manter a opção de treinar mais tarde, quando a qualidade do dataset melhorar?</w:t>
      </w:r>
    </w:p>
    <w:p>
      <w:pPr>
        <w:spacing w:after="160"/>
      </w:pPr>
      <w:r>
        <w:rPr>
          <w:rFonts w:ascii="Arial" w:hAnsi="Arial"/>
          <w:b w:val="0"/>
          <w:color w:val="333333"/>
          <w:sz w:val="22"/>
        </w:rPr>
        <w:t xml:space="preserve">O código deriva a volatilidade a partir das simulações de Monte Carlo e monta uma </w:t>
      </w:r>
      <w:r>
        <w:rPr>
          <w:rFonts w:ascii="Arial" w:hAnsi="Arial"/>
          <w:b/>
          <w:color w:val="333333"/>
          <w:sz w:val="22"/>
        </w:rPr>
        <w:t>árvore binomial de nove passos</w:t>
      </w:r>
      <w:r>
        <w:rPr>
          <w:rFonts w:ascii="Arial" w:hAnsi="Arial"/>
          <w:b w:val="0"/>
          <w:color w:val="333333"/>
          <w:sz w:val="22"/>
        </w:rPr>
        <w:t>, um por mês, até o momento estimado em que o score de dado pode cruzar o limiar. A decisão é induzida de trás para frente — em cada nó, o algoritmo compara treinar naquele momento com continuar esperando. Decidir imediatamente tem valor econômico baixo (o risco do dado insuficiente supera a economia esperada); a opção de esperar recebe valor positivo, na ordem de algumas centenas de reais na demonstração — valor que varia entre execuções porque a volatilidade vem da própria simulação. O ponto não é decorar o número, é transformar espera em decisão econômica mensurável. Também fica registrada uma reavaliação futura: esperar não é abandonar o caso, é assumir o compromisso de rodar novamente o framework quando houver mais dado.</w:t>
      </w:r>
    </w:p>
    <w:p>
      <w:pPr>
        <w:pStyle w:val="Heading4"/>
        <w:spacing w:before="200" w:after="80"/>
      </w:pPr>
      <w:r>
        <w:rPr>
          <w:rFonts w:ascii="Arial" w:hAnsi="Arial"/>
          <w:b/>
          <w:color w:val="1F4D78"/>
          <w:sz w:val="22"/>
        </w:rPr>
        <w:t>Por que Atendimento ao Cliente não recebe Real Options</w:t>
      </w:r>
    </w:p>
    <w:p>
      <w:pPr>
        <w:spacing w:after="160"/>
      </w:pPr>
      <w:r>
        <w:rPr>
          <w:rFonts w:ascii="Arial" w:hAnsi="Arial"/>
          <w:b w:val="0"/>
          <w:color w:val="333333"/>
          <w:sz w:val="22"/>
        </w:rPr>
        <w:t xml:space="preserve">O score composto de Atendimento pode até superar o de Saúde Empresarial. Se a decisão fosse pela média, o caso poderia ser aprovado incorretamente. Mas o framework continua avaliando </w:t>
      </w:r>
      <w:r>
        <w:rPr>
          <w:rFonts w:ascii="Arial" w:hAnsi="Arial"/>
          <w:b/>
          <w:color w:val="333333"/>
          <w:sz w:val="22"/>
        </w:rPr>
        <w:t>condição essencial</w:t>
      </w:r>
      <w:r>
        <w:rPr>
          <w:rFonts w:ascii="Arial" w:hAnsi="Arial"/>
          <w:b w:val="0"/>
          <w:color w:val="333333"/>
          <w:sz w:val="22"/>
        </w:rPr>
        <w:t>: a tarefa não é estreita e repetida, e também não é suficientemente estável — a dimensão de dado está verde, mas isso não compensa. O score ponderado não substitui os gates; ajuda a quantificar importância e robustez, mas não transforma pergunta essencial em algo compensável pela média. Esperar mais meses não resolve esses problemas — Real Options só faz sentido quando a reprovação pode melhorar com tempo (insuficiência de dado); não transforma tarefa aberta em estreita nem estabiliza política que muda por natureza.</w:t>
      </w:r>
    </w:p>
    <w:p>
      <w:pPr>
        <w:pStyle w:val="Heading4"/>
        <w:spacing w:before="200" w:after="80"/>
      </w:pPr>
      <w:r>
        <w:rPr>
          <w:rFonts w:ascii="Arial" w:hAnsi="Arial"/>
          <w:b/>
          <w:color w:val="1F4D78"/>
          <w:sz w:val="22"/>
        </w:rPr>
        <w:t>Aprovar fine-tuning não escolhe a técnica</w:t>
      </w:r>
    </w:p>
    <w:p>
      <w:pPr>
        <w:spacing w:after="160"/>
      </w:pPr>
      <w:r>
        <w:rPr>
          <w:rFonts w:ascii="Arial" w:hAnsi="Arial"/>
          <w:b w:val="0"/>
          <w:color w:val="333333"/>
          <w:sz w:val="22"/>
        </w:rPr>
        <w:t xml:space="preserve">A saída do framework registra outra distinção: aprovar fine-tuning responde </w:t>
      </w:r>
      <w:r>
        <w:rPr>
          <w:rFonts w:ascii="Arial" w:hAnsi="Arial"/>
          <w:b/>
          <w:color w:val="333333"/>
          <w:sz w:val="22"/>
        </w:rPr>
        <w:t>se</w:t>
      </w:r>
      <w:r>
        <w:rPr>
          <w:rFonts w:ascii="Arial" w:hAnsi="Arial"/>
          <w:b w:val="0"/>
          <w:color w:val="333333"/>
          <w:sz w:val="22"/>
        </w:rPr>
        <w:t xml:space="preserve"> vale a pena treinar, não </w:t>
      </w:r>
      <w:r>
        <w:rPr>
          <w:rFonts w:ascii="Arial" w:hAnsi="Arial"/>
          <w:b/>
          <w:color w:val="333333"/>
          <w:sz w:val="22"/>
        </w:rPr>
        <w:t>como</w:t>
      </w:r>
      <w:r>
        <w:rPr>
          <w:rFonts w:ascii="Arial" w:hAnsi="Arial"/>
          <w:b w:val="0"/>
          <w:color w:val="333333"/>
          <w:sz w:val="22"/>
        </w:rPr>
        <w:t xml:space="preserve"> treinar. Essa segunda decisão será aprofundada nos módulos 3 e 4 — o tipo de fine-tuning depende do problema, hardware, orçamento e distância entre o comportamento desejado e o que o modelo base já sabe fazer.</w:t>
      </w:r>
    </w:p>
    <w:p>
      <w:pPr>
        <w:spacing w:after="160"/>
      </w:pPr>
      <w:r>
        <w:rPr>
          <w:rFonts w:ascii="Arial" w:hAnsi="Arial"/>
          <w:b/>
          <w:color w:val="333333"/>
          <w:sz w:val="22"/>
        </w:rPr>
        <w:t>Full Fine-Tuning</w:t>
      </w:r>
      <w:r>
        <w:rPr>
          <w:rFonts w:ascii="Arial" w:hAnsi="Arial"/>
          <w:b w:val="0"/>
          <w:color w:val="333333"/>
          <w:sz w:val="22"/>
        </w:rPr>
        <w:t xml:space="preserve"> ajusta todos os parâmetros — mais caro, exige mais infraestrutura, mas oferece maior liberdade de adaptação quando o domínio está distante do comportamento original (referência histórica: o Codex, associado ao surgimento do GitHub Copilot). </w:t>
      </w:r>
      <w:r>
        <w:rPr>
          <w:rFonts w:ascii="Arial" w:hAnsi="Arial"/>
          <w:b/>
          <w:color w:val="333333"/>
          <w:sz w:val="22"/>
        </w:rPr>
        <w:t>LoRA</w:t>
      </w:r>
      <w:r>
        <w:rPr>
          <w:rFonts w:ascii="Arial" w:hAnsi="Arial"/>
          <w:b w:val="0"/>
          <w:color w:val="333333"/>
          <w:sz w:val="22"/>
        </w:rPr>
        <w:t xml:space="preserve"> mantém o modelo base congelado, treinando só adaptadores menores — reduz memória, custo e tempo (caso citado: Checkr, classificação de background check, com redução de custo e aumento de velocidade). </w:t>
      </w:r>
      <w:r>
        <w:rPr>
          <w:rFonts w:ascii="Arial" w:hAnsi="Arial"/>
          <w:b/>
          <w:color w:val="333333"/>
          <w:sz w:val="22"/>
        </w:rPr>
        <w:t>QLoRA</w:t>
      </w:r>
      <w:r>
        <w:rPr>
          <w:rFonts w:ascii="Arial" w:hAnsi="Arial"/>
          <w:b w:val="0"/>
          <w:color w:val="333333"/>
          <w:sz w:val="22"/>
        </w:rPr>
        <w:t xml:space="preserve"> combina adaptador com quantização (tipicamente 4 bits), reduzindo ainda mais memória (exemplo: Guanaco, modelo grande ajustado com hardware bem menor).</w:t>
      </w:r>
    </w:p>
    <w:p>
      <w:pPr>
        <w:spacing w:after="160"/>
      </w:pPr>
      <w:r>
        <w:rPr>
          <w:rFonts w:ascii="Arial" w:hAnsi="Arial"/>
          <w:b/>
          <w:color w:val="333333"/>
          <w:sz w:val="22"/>
        </w:rPr>
        <w:t>Instruction Tuning</w:t>
      </w:r>
      <w:r>
        <w:rPr>
          <w:rFonts w:ascii="Arial" w:hAnsi="Arial"/>
          <w:b w:val="0"/>
          <w:color w:val="333333"/>
          <w:sz w:val="22"/>
        </w:rPr>
        <w:t xml:space="preserve"> ensina o modelo a seguir instrução em linguagem natural numa variedade de tarefa (exemplo: FLAN). </w:t>
      </w:r>
      <w:r>
        <w:rPr>
          <w:rFonts w:ascii="Arial" w:hAnsi="Arial"/>
          <w:b/>
          <w:color w:val="333333"/>
          <w:sz w:val="22"/>
        </w:rPr>
        <w:t>RLHF</w:t>
      </w:r>
      <w:r>
        <w:rPr>
          <w:rFonts w:ascii="Arial" w:hAnsi="Arial"/>
          <w:b w:val="0"/>
          <w:color w:val="333333"/>
          <w:sz w:val="22"/>
        </w:rPr>
        <w:t xml:space="preserve"> e </w:t>
      </w:r>
      <w:r>
        <w:rPr>
          <w:rFonts w:ascii="Arial" w:hAnsi="Arial"/>
          <w:b/>
          <w:color w:val="333333"/>
          <w:sz w:val="22"/>
        </w:rPr>
        <w:t>DPO</w:t>
      </w:r>
      <w:r>
        <w:rPr>
          <w:rFonts w:ascii="Arial" w:hAnsi="Arial"/>
          <w:b w:val="0"/>
          <w:color w:val="333333"/>
          <w:sz w:val="22"/>
        </w:rPr>
        <w:t xml:space="preserve"> trabalham com preferência entre resposta — RLHF usa modelo de recompensa e depois reinforcement learning; DPO simplifica otimizando diretamente sobre par preferido/rejeitado. </w:t>
      </w:r>
      <w:r>
        <w:rPr>
          <w:rFonts w:ascii="Arial" w:hAnsi="Arial"/>
          <w:b/>
          <w:color w:val="333333"/>
          <w:sz w:val="22"/>
        </w:rPr>
        <w:t>Destilação</w:t>
      </w:r>
      <w:r>
        <w:rPr>
          <w:rFonts w:ascii="Arial" w:hAnsi="Arial"/>
          <w:b w:val="0"/>
          <w:color w:val="333333"/>
          <w:sz w:val="22"/>
        </w:rPr>
        <w:t xml:space="preserve"> transfere comportamento de modelo grande para menor, geralmente usando exemplo produzido pelo próprio modelo maior, reduzindo custo de inferência. O cheat sheet da disciplina ainda registra técnicas mais recentes (GRPO, RFT) relacionadas a ajuste por recompensa verificável.</w:t>
      </w:r>
    </w:p>
    <w:p>
      <w:pPr>
        <w:pStyle w:val="Heading4"/>
        <w:spacing w:before="200" w:after="80"/>
      </w:pPr>
      <w:r>
        <w:rPr>
          <w:rFonts w:ascii="Arial" w:hAnsi="Arial"/>
          <w:b/>
          <w:color w:val="1F4D78"/>
          <w:sz w:val="22"/>
        </w:rPr>
        <w:t>O cheat sheet e a segunda decisão</w:t>
      </w:r>
    </w:p>
    <w:p>
      <w:pPr>
        <w:spacing w:after="160"/>
      </w:pPr>
      <w:r>
        <w:rPr>
          <w:rFonts w:ascii="Arial" w:hAnsi="Arial"/>
          <w:b w:val="0"/>
          <w:color w:val="333333"/>
          <w:sz w:val="22"/>
        </w:rPr>
        <w:t>O cheat sheet funciona como mapa para escolher a técnica depois que o treinamento já foi aprovado — compara requisito de dado, hardware, orçamento, hiperparâmetro e exemplo de mercado, propondo pergunta prática (quão distante o domínio está do modelo genérico? quanto orçamento existe? qual latência a produção exige?). A lógica é a mesma do Decision Framework, aplicada à segunda decisão — primeiro provo que fine-tuning merece existir, depois escolho a técnica. Isso evita escolher tecnologia de treinamento antes de provar que o investimento faz sentido.</w:t>
      </w:r>
    </w:p>
    <w:p>
      <w:pPr>
        <w:pStyle w:val="Heading4"/>
        <w:spacing w:before="200" w:after="80"/>
      </w:pPr>
      <w:r>
        <w:rPr>
          <w:rFonts w:ascii="Arial" w:hAnsi="Arial"/>
          <w:b/>
          <w:color w:val="1F4D78"/>
          <w:sz w:val="22"/>
        </w:rPr>
        <w:t>Risco operacional de provedor</w:t>
      </w:r>
    </w:p>
    <w:p>
      <w:pPr>
        <w:spacing w:after="160"/>
      </w:pPr>
      <w:r>
        <w:rPr>
          <w:rFonts w:ascii="Arial" w:hAnsi="Arial"/>
          <w:b w:val="0"/>
          <w:color w:val="333333"/>
          <w:sz w:val="22"/>
        </w:rPr>
        <w:t xml:space="preserve">Um serviço self-service pode mudar de estratégia, remover funcionalidade ou deixar de oferecer determinado fluxo — o material registra mudança observada no mercado durante a preparação da disciplina como exemplo desse risco. Isso não muda </w:t>
      </w:r>
      <w:r>
        <w:rPr>
          <w:rFonts w:ascii="Arial" w:hAnsi="Arial"/>
          <w:b/>
          <w:color w:val="333333"/>
          <w:sz w:val="22"/>
        </w:rPr>
        <w:t>se</w:t>
      </w:r>
      <w:r>
        <w:rPr>
          <w:rFonts w:ascii="Arial" w:hAnsi="Arial"/>
          <w:b w:val="0"/>
          <w:color w:val="333333"/>
          <w:sz w:val="22"/>
        </w:rPr>
        <w:t xml:space="preserve"> fine-tuning vale a pena — muda </w:t>
      </w:r>
      <w:r>
        <w:rPr>
          <w:rFonts w:ascii="Arial" w:hAnsi="Arial"/>
          <w:b/>
          <w:color w:val="333333"/>
          <w:sz w:val="22"/>
        </w:rPr>
        <w:t>onde</w:t>
      </w:r>
      <w:r>
        <w:rPr>
          <w:rFonts w:ascii="Arial" w:hAnsi="Arial"/>
          <w:b w:val="0"/>
          <w:color w:val="333333"/>
          <w:sz w:val="22"/>
        </w:rPr>
        <w:t xml:space="preserve"> treinar. A consequência prática: a decisão técnica precisa vir com estratégia de saída; se o treinamento depende de uma única API sem portabilidade, o risco operacional pode superar o ganho inicial de conveniência. Arquitetura e planejamento precisam considerar dependência de fornecedor, portabilidade de artefato e alternativa local ou de outro provedor.</w:t>
      </w:r>
    </w:p>
    <w:p>
      <w:pPr>
        <w:pStyle w:val="Heading4"/>
        <w:spacing w:before="200" w:after="80"/>
      </w:pPr>
      <w:r>
        <w:rPr>
          <w:rFonts w:ascii="Arial" w:hAnsi="Arial"/>
          <w:b/>
          <w:color w:val="1F4D78"/>
          <w:sz w:val="22"/>
        </w:rPr>
        <w:t>O modelo de fronteira pode alcançar o modelo customizado</w:t>
      </w:r>
    </w:p>
    <w:p>
      <w:pPr>
        <w:spacing w:after="160"/>
      </w:pPr>
      <w:r>
        <w:rPr>
          <w:rFonts w:ascii="Arial" w:hAnsi="Arial"/>
          <w:b w:val="0"/>
          <w:color w:val="333333"/>
          <w:sz w:val="22"/>
        </w:rPr>
        <w:t xml:space="preserve">Existe ainda outra forma de obsolescência: um modelo de fronteira futuro pode superar um modelo especializado que hoje representa vantagem. O material usa caso do setor jurídico para mostrar essa evolução — não significa que o treinamento anterior foi erro (pode ter gerado valor no período em que tinha vantagem), significa que fine-tuning tem </w:t>
      </w:r>
      <w:r>
        <w:rPr>
          <w:rFonts w:ascii="Arial" w:hAnsi="Arial"/>
          <w:b/>
          <w:color w:val="333333"/>
          <w:sz w:val="22"/>
        </w:rPr>
        <w:t>prazo de validade operacional</w:t>
      </w:r>
      <w:r>
        <w:rPr>
          <w:rFonts w:ascii="Arial" w:hAnsi="Arial"/>
          <w:b w:val="0"/>
          <w:color w:val="333333"/>
          <w:sz w:val="22"/>
        </w:rPr>
        <w:t xml:space="preserve"> e precisa ser reavaliado contra nova baseline, novo custo e novo modelo base.</w:t>
      </w:r>
    </w:p>
    <w:p>
      <w:pPr>
        <w:pStyle w:val="Heading4"/>
        <w:spacing w:before="200" w:after="80"/>
      </w:pPr>
      <w:r>
        <w:rPr>
          <w:rFonts w:ascii="Arial" w:hAnsi="Arial"/>
          <w:b/>
          <w:color w:val="1F4D78"/>
          <w:sz w:val="22"/>
        </w:rPr>
        <w:t>Missão prática do módulo</w:t>
      </w:r>
    </w:p>
    <w:p>
      <w:pPr>
        <w:spacing w:after="160"/>
      </w:pPr>
      <w:r>
        <w:rPr>
          <w:rFonts w:ascii="Arial" w:hAnsi="Arial"/>
          <w:b w:val="0"/>
          <w:color w:val="333333"/>
          <w:sz w:val="22"/>
        </w:rPr>
        <w:t>Quatro partes: aplicar as quatro perguntas a um caso real do próprio contexto com justificativa; ponderar as perguntas (AHP completo ou score mais simples, desde que documentado); estimar retorno financeiro (não obrigatório reproduzir Monte Carlo — NPV determinístico, economia recorrente ou break-even já tornam o raciocínio explícito, e se a reprovação for por dado insuficiente, documentar quantos meses seriam necessários e por que esperar pode valer mais que treinar agora; se for por tarefa aberta/instável, registrar por que Real Options não se aplica); e adaptar o Decision Framework Tool para os números do próprio caso. Concluir que a tarefa não precisa de fine-tuning também é entrega válida — o objetivo é decidir corretamente, não decidir treinar sempre.</w:t>
      </w:r>
    </w:p>
    <w:p>
      <w:pPr>
        <w:spacing w:before="120" w:after="120"/>
        <w:ind w:left="360" w:right="360"/>
        <w:shd w:val="clear" w:fill="F5F5F5"/>
        <w:pBdr>
          <w:left w:val="single" w:color="2E75B6" w:sz="4" w:space="10"/>
        </w:pBdr>
      </w:pPr>
      <w:r>
        <w:rPr>
          <w:rFonts w:ascii="Arial" w:hAnsi="Arial"/>
          <w:b w:val="0"/>
          <w:color w:val="333333"/>
          <w:sz w:val="22"/>
        </w:rPr>
        <w:t>✅ Resultado/Conclusão: no próximo módulo, os casos elegíveis deixam a fase de decisão e entram na preparação de dado, transformando documento bruto da Amplitude Seguros em dataset JSONL limpo e balanceado para treinamento.</w:t>
      </w:r>
    </w:p>
    <w:p>
      <w:pPr>
        <w:pStyle w:val="Heading2"/>
        <w:spacing w:before="360" w:after="160"/>
      </w:pPr>
      <w:r>
        <w:rPr>
          <w:rFonts w:ascii="Arial" w:hAnsi="Arial"/>
          <w:b/>
          <w:color w:val="2E74B5"/>
          <w:sz w:val="28"/>
        </w:rPr>
        <w:t>Unidade 2: Preparação de Datasets para Fine-Tuning</w:t>
      </w:r>
    </w:p>
    <w:p>
      <w:pPr>
        <w:pStyle w:val="Heading3"/>
        <w:spacing w:before="200" w:after="80"/>
      </w:pPr>
      <w:r>
        <w:rPr>
          <w:rFonts w:ascii="Arial" w:hAnsi="Arial"/>
          <w:b/>
          <w:color w:val="1F4D78"/>
          <w:sz w:val="24"/>
        </w:rPr>
        <w:t>Aula 1: Preparação de Datasets para Fine-Tuning (PT-1)</w:t>
      </w:r>
    </w:p>
    <w:p>
      <w:pPr>
        <w:pStyle w:val="Heading4"/>
        <w:spacing w:before="200" w:after="80"/>
      </w:pPr>
      <w:r>
        <w:rPr>
          <w:rFonts w:ascii="Arial" w:hAnsi="Arial"/>
          <w:b/>
          <w:color w:val="1F4D78"/>
          <w:sz w:val="22"/>
        </w:rPr>
        <w:t>Decidir treinar não produz automaticamente um dataset</w:t>
      </w:r>
    </w:p>
    <w:p>
      <w:pPr>
        <w:spacing w:after="160"/>
      </w:pPr>
      <w:r>
        <w:rPr>
          <w:rFonts w:ascii="Arial" w:hAnsi="Arial"/>
          <w:b w:val="0"/>
          <w:color w:val="333333"/>
          <w:sz w:val="22"/>
        </w:rPr>
        <w:t>O módulo anterior terminou com decisão importante: para Amplitude Auto, fine-tuning já fazia sentido; para Saúde Empresarial, a recomendação foi esperar, principalmente por falta de dado suficiente. Só que decidir treinar ou esperar não produz automaticamente um dataset — a partir daqui começa o trabalho de transformar documento real em exemplo estruturado.</w:t>
      </w:r>
    </w:p>
    <w:p>
      <w:pPr>
        <w:spacing w:after="160"/>
      </w:pPr>
      <w:r>
        <w:rPr>
          <w:rFonts w:ascii="Arial" w:hAnsi="Arial"/>
          <w:b w:val="0"/>
          <w:color w:val="333333"/>
          <w:sz w:val="22"/>
        </w:rPr>
        <w:t xml:space="preserve">O ponto de partida são documentos de apoio que chegam de fora da plataforma da Amplitude — orçamento de oficina, recibo médico — existindo como imagem PNG, foto de papel ou digitalização. Antes de limpar ou estruturar qualquer coisa, é preciso extrair o texto: </w:t>
      </w:r>
      <w:r>
        <w:rPr>
          <w:rFonts w:ascii="Arial" w:hAnsi="Arial"/>
          <w:b/>
          <w:color w:val="333333"/>
          <w:sz w:val="22"/>
        </w:rPr>
        <w:t>OCR</w:t>
      </w:r>
      <w:r>
        <w:rPr>
          <w:rFonts w:ascii="Arial" w:hAnsi="Arial"/>
          <w:b w:val="0"/>
          <w:color w:val="333333"/>
          <w:sz w:val="22"/>
        </w:rPr>
        <w:t>, reconhecimento óptico de caractere, é o primeiro componente técnico do pipeline.</w:t>
      </w:r>
    </w:p>
    <w:p>
      <w:pPr>
        <w:spacing w:after="160"/>
      </w:pPr>
      <w:r>
        <w:rPr>
          <w:rFonts w:ascii="Arial" w:hAnsi="Arial"/>
          <w:b w:val="0"/>
          <w:color w:val="333333"/>
          <w:sz w:val="22"/>
        </w:rPr>
        <w:t>Mesmo Saúde Empresarial ainda não estando pronta para treinamento, faz sentido preparar o dado com o mesmo rigor — a espera recomendada no módulo 1.3 não é período de inatividade, é justamente o período em que se pode melhorar coleta, qualidade, governança e cobertura de variação até o caso cruzar o limiar exigido pelo framework.</w:t>
      </w:r>
    </w:p>
    <w:p>
      <w:pPr>
        <w:pStyle w:val="Heading4"/>
        <w:spacing w:before="200" w:after="80"/>
      </w:pPr>
      <w:r>
        <w:rPr>
          <w:rFonts w:ascii="Arial" w:hAnsi="Arial"/>
          <w:b/>
          <w:color w:val="1F4D78"/>
          <w:sz w:val="22"/>
        </w:rPr>
        <w:t>Antes do OCR, o documento precisa merecer entrar no dataset</w:t>
      </w:r>
    </w:p>
    <w:p>
      <w:pPr>
        <w:spacing w:after="160"/>
      </w:pPr>
      <w:r>
        <w:rPr>
          <w:rFonts w:ascii="Arial" w:hAnsi="Arial"/>
          <w:b w:val="0"/>
          <w:color w:val="333333"/>
          <w:sz w:val="22"/>
        </w:rPr>
        <w:t xml:space="preserve">O primeiro erro a evitar é coletar tudo que existe no arquivo da empresa e chamar isso de dataset. Preparar dado para fine-tuning não é acumular documento — é preciso definir critério de relevância e qualidade </w:t>
      </w:r>
      <w:r>
        <w:rPr>
          <w:rFonts w:ascii="Arial" w:hAnsi="Arial"/>
          <w:b/>
          <w:color w:val="333333"/>
          <w:sz w:val="22"/>
        </w:rPr>
        <w:t>antes</w:t>
      </w:r>
      <w:r>
        <w:rPr>
          <w:rFonts w:ascii="Arial" w:hAnsi="Arial"/>
          <w:b w:val="0"/>
          <w:color w:val="333333"/>
          <w:sz w:val="22"/>
        </w:rPr>
        <w:t xml:space="preserve"> da ingestão. Esse raciocínio se aproxima de </w:t>
      </w:r>
      <w:r>
        <w:rPr>
          <w:rFonts w:ascii="Arial" w:hAnsi="Arial"/>
          <w:b/>
          <w:color w:val="333333"/>
          <w:sz w:val="22"/>
        </w:rPr>
        <w:t>data-centric AI</w:t>
      </w:r>
      <w:r>
        <w:rPr>
          <w:rFonts w:ascii="Arial" w:hAnsi="Arial"/>
          <w:b w:val="0"/>
          <w:color w:val="333333"/>
          <w:sz w:val="22"/>
        </w:rPr>
        <w:t>: melhorar sistematicamente o dado e estabelecer critério explícito para o que entra no treinamento, em vez de assumir que mais volume sempre significa mais qualidade.</w:t>
      </w:r>
    </w:p>
    <w:p>
      <w:pPr>
        <w:spacing w:after="160"/>
      </w:pPr>
      <w:r>
        <w:rPr>
          <w:rFonts w:ascii="Arial" w:hAnsi="Arial"/>
          <w:b w:val="0"/>
          <w:color w:val="333333"/>
          <w:sz w:val="22"/>
        </w:rPr>
        <w:t xml:space="preserve">A aula cita o trabalho </w:t>
      </w:r>
      <w:r>
        <w:rPr>
          <w:rFonts w:ascii="Arial" w:hAnsi="Arial"/>
          <w:b/>
          <w:color w:val="333333"/>
          <w:sz w:val="22"/>
        </w:rPr>
        <w:t>LIMA</w:t>
      </w:r>
      <w:r>
        <w:rPr>
          <w:rFonts w:ascii="Arial" w:hAnsi="Arial"/>
          <w:b w:val="0"/>
          <w:color w:val="333333"/>
          <w:sz w:val="22"/>
        </w:rPr>
        <w:t xml:space="preserve"> como exemplo dessa lógica — conjunto pequeno, mas cuidadosamente curado, pode produzir resultado melhor do que volume muito maior de exemplo menos controlado. O número de exemplo importa, mas qualidade e representatividade importam antes.</w:t>
      </w:r>
    </w:p>
    <w:p>
      <w:pPr>
        <w:pStyle w:val="Heading4"/>
        <w:spacing w:before="200" w:after="80"/>
      </w:pPr>
      <w:r>
        <w:rPr>
          <w:rFonts w:ascii="Arial" w:hAnsi="Arial"/>
          <w:b/>
          <w:color w:val="1F4D78"/>
          <w:sz w:val="22"/>
        </w:rPr>
        <w:t>O gate de relevância com quatro perguntas</w:t>
      </w:r>
    </w:p>
    <w:p>
      <w:pPr>
        <w:spacing w:after="160"/>
      </w:pPr>
      <w:r>
        <w:rPr>
          <w:rFonts w:ascii="Arial" w:hAnsi="Arial"/>
          <w:b w:val="0"/>
          <w:color w:val="333333"/>
          <w:sz w:val="22"/>
        </w:rPr>
        <w:t xml:space="preserve">Antes de coletar qualquer documento, aplica-se um gate: (1) o documento contém o </w:t>
      </w:r>
      <w:r>
        <w:rPr>
          <w:rFonts w:ascii="Arial" w:hAnsi="Arial"/>
          <w:b/>
          <w:color w:val="333333"/>
          <w:sz w:val="22"/>
        </w:rPr>
        <w:t>ground truth</w:t>
      </w:r>
      <w:r>
        <w:rPr>
          <w:rFonts w:ascii="Arial" w:hAnsi="Arial"/>
          <w:b w:val="0"/>
          <w:color w:val="333333"/>
          <w:sz w:val="22"/>
        </w:rPr>
        <w:t xml:space="preserve"> da tarefa — dá para observar entrada real e resposta correta? (2) vem do fluxo real de produção, não foi inventado só para ilustrar? (3) ajuda a cobrir a variação real de formato que a tarefa apresenta? (4) pode ser usado em treinamento do ponto de vista de sensibilidade e compliance? As quatro respostas precisam ser verdadeiras. Se uma falha, o documento não entra — esse gate acontece </w:t>
      </w:r>
      <w:r>
        <w:rPr>
          <w:rFonts w:ascii="Arial" w:hAnsi="Arial"/>
          <w:b/>
          <w:color w:val="333333"/>
          <w:sz w:val="22"/>
        </w:rPr>
        <w:t>antes</w:t>
      </w:r>
      <w:r>
        <w:rPr>
          <w:rFonts w:ascii="Arial" w:hAnsi="Arial"/>
          <w:b w:val="0"/>
          <w:color w:val="333333"/>
          <w:sz w:val="22"/>
        </w:rPr>
        <w:t xml:space="preserve"> de OCR e parsing, decidindo se vale a pena gastar qualquer esforço de preparação com aquele item.</w:t>
      </w:r>
    </w:p>
    <w:p>
      <w:pPr>
        <w:pStyle w:val="Heading4"/>
        <w:spacing w:before="200" w:after="80"/>
      </w:pPr>
      <w:r>
        <w:rPr>
          <w:rFonts w:ascii="Arial" w:hAnsi="Arial"/>
          <w:b/>
          <w:color w:val="1F4D78"/>
          <w:sz w:val="22"/>
        </w:rPr>
        <w:t>Aplicando o gate aos documentos da Amplitude</w:t>
      </w:r>
    </w:p>
    <w:p>
      <w:pPr>
        <w:spacing w:after="160"/>
      </w:pPr>
      <w:r>
        <w:rPr>
          <w:rFonts w:ascii="Arial" w:hAnsi="Arial"/>
          <w:b w:val="0"/>
          <w:color w:val="333333"/>
          <w:sz w:val="22"/>
        </w:rPr>
        <w:t xml:space="preserve">A demonstração aplica o gate a sete candidatos plausíveis. Em Auto: orçamento de oficina, boletim de ocorrência, fotografia do veículo danificado e transcrição da ligação de abertura do sinistro. Em Saúde Empresarial: recibo médico, prontuário médico completo e cadastro de beneficiários. Dos sete, apenas </w:t>
      </w:r>
      <w:r>
        <w:rPr>
          <w:rFonts w:ascii="Arial" w:hAnsi="Arial"/>
          <w:b/>
          <w:color w:val="333333"/>
          <w:sz w:val="22"/>
        </w:rPr>
        <w:t>dois passam</w:t>
      </w:r>
      <w:r>
        <w:rPr>
          <w:rFonts w:ascii="Arial" w:hAnsi="Arial"/>
          <w:b w:val="0"/>
          <w:color w:val="333333"/>
          <w:sz w:val="22"/>
        </w:rPr>
        <w:t>: orçamento de oficina e recibo médico.</w:t>
      </w:r>
    </w:p>
    <w:p>
      <w:pPr>
        <w:spacing w:after="160"/>
      </w:pPr>
      <w:r>
        <w:rPr>
          <w:rFonts w:ascii="Arial" w:hAnsi="Arial"/>
          <w:b w:val="0"/>
          <w:color w:val="333333"/>
          <w:sz w:val="22"/>
        </w:rPr>
        <w:t>Boletim de ocorrência não entrega segurado/placa/valor de maneira suficientemente confiável para funcionar como gabarito. Foto do veículo mostra o dano, mas não contém o documento textual com os campos desejados. Transcrição de ligação pode conter os dados, mas a estrutura varia demais entre atendente. Prontuário completo passa em critério técnico, mas falha em compliance — contém muito mais dado clínico do que o necessário para extrair beneficiário/procedimento/valor, e o princípio de necessidade da LGPD exige minimizar o dado à finalidade. Cadastro de beneficiários falha por outra razão: é tabela de referência útil ao negócio, mas não representa par entrada/saída da tarefa de extração — dado real e limpo não é automaticamente dado adequado para treinar o extrator.</w:t>
      </w:r>
    </w:p>
    <w:p>
      <w:pPr>
        <w:pStyle w:val="Heading4"/>
        <w:spacing w:before="200" w:after="80"/>
      </w:pPr>
      <w:r>
        <w:rPr>
          <w:rFonts w:ascii="Arial" w:hAnsi="Arial"/>
          <w:b/>
          <w:color w:val="1F4D78"/>
          <w:sz w:val="22"/>
        </w:rPr>
        <w:t>Do documento bruto ao exemplo validado</w:t>
      </w:r>
    </w:p>
    <w:p>
      <w:pPr>
        <w:spacing w:after="160"/>
      </w:pPr>
      <w:r>
        <w:rPr>
          <w:rFonts w:ascii="Arial" w:hAnsi="Arial"/>
          <w:b w:val="0"/>
          <w:color w:val="333333"/>
          <w:sz w:val="22"/>
        </w:rPr>
        <w:t xml:space="preserve">O pipeline organizado: documento bruto → OCR → parser tolerante → validação de esquema → exemplo estruturado. Cada estágio resolve um problema diferente — OCR transforma imagem em texto, parser interpreta variação de rótulo e localiza campo, validação verifica se o resultado faz sentido, exemplo estruturado preserva entrada/saída/metadado. Misturar tudo numa função só dificultaria descobrir onde um erro nasceu — separar as etapas mantém </w:t>
      </w:r>
      <w:r>
        <w:rPr>
          <w:rFonts w:ascii="Arial" w:hAnsi="Arial"/>
          <w:b/>
          <w:color w:val="333333"/>
          <w:sz w:val="22"/>
        </w:rPr>
        <w:t>rastreabilidade</w:t>
      </w:r>
      <w:r>
        <w:rPr>
          <w:rFonts w:ascii="Arial" w:hAnsi="Arial"/>
          <w:b w:val="0"/>
          <w:color w:val="333333"/>
          <w:sz w:val="22"/>
        </w:rPr>
        <w:t>.</w:t>
      </w:r>
    </w:p>
    <w:p>
      <w:pPr>
        <w:pStyle w:val="Heading4"/>
        <w:spacing w:before="200" w:after="80"/>
      </w:pPr>
      <w:r>
        <w:rPr>
          <w:rFonts w:ascii="Arial" w:hAnsi="Arial"/>
          <w:b/>
          <w:color w:val="1F4D78"/>
          <w:sz w:val="22"/>
        </w:rPr>
        <w:t>OCR com Tesseract e idioma português</w:t>
      </w:r>
    </w:p>
    <w:p>
      <w:pPr>
        <w:spacing w:after="160"/>
      </w:pPr>
      <w:r>
        <w:rPr>
          <w:rFonts w:ascii="Arial" w:hAnsi="Arial"/>
          <w:b w:val="0"/>
          <w:color w:val="333333"/>
          <w:sz w:val="22"/>
        </w:rPr>
        <w:t xml:space="preserve">O motor usado é o </w:t>
      </w:r>
      <w:r>
        <w:rPr>
          <w:rFonts w:ascii="Arial" w:hAnsi="Arial"/>
          <w:b/>
          <w:color w:val="333333"/>
          <w:sz w:val="22"/>
        </w:rPr>
        <w:t>Tesseract</w:t>
      </w:r>
      <w:r>
        <w:rPr>
          <w:rFonts w:ascii="Arial" w:hAnsi="Arial"/>
          <w:b w:val="0"/>
          <w:color w:val="333333"/>
          <w:sz w:val="22"/>
        </w:rPr>
        <w:t>, OCR open source com longa história, usando mecanismo baseado em rede neural nas versões modernas. Para documento em português, é preciso instalar o pacote de idioma correspondente — importante porque nome próprio, acentuação, cedilha e termo médico podem ser reconhecidos de forma inadequada com configuração só em inglês. O OCR entra especificamente nos documentos de apoio — o formulário principal pode chegar estruturado pelo aplicativo/portal da própria Amplitude; já o orçamento da oficina ou recibo da clínica nasce fora desse sistema, sem padrão controlado pela seguradora.</w:t>
      </w:r>
    </w:p>
    <w:p>
      <w:pPr>
        <w:pStyle w:val="Heading4"/>
        <w:spacing w:before="200" w:after="80"/>
      </w:pPr>
      <w:r>
        <w:rPr>
          <w:rFonts w:ascii="Arial" w:hAnsi="Arial"/>
          <w:b/>
          <w:color w:val="1F4D78"/>
          <w:sz w:val="22"/>
        </w:rPr>
        <w:t>Por que o parser precisa ser tolerante</w:t>
      </w:r>
    </w:p>
    <w:p>
      <w:pPr>
        <w:spacing w:after="160"/>
      </w:pPr>
      <w:r>
        <w:rPr>
          <w:rFonts w:ascii="Arial" w:hAnsi="Arial"/>
          <w:b w:val="0"/>
          <w:color w:val="333333"/>
          <w:sz w:val="22"/>
        </w:rPr>
        <w:t xml:space="preserve">O texto extraído pelo OCR ainda não resolve o problema — cada oficina pode escrever o mesmo campo de maneira diferente ("segurado" vs. "nome do segurado", "placa" vs. "placa do veículo"; em Saúde Empresarial, "beneficiário" vs. "paciente beneficiário", "valor" vs. "valor cobrado"). Se o parser procurar apenas um rótulo fixo, funciona numa fonte e quebra na próxima. Por isso a implementação usa </w:t>
      </w:r>
      <w:r>
        <w:rPr>
          <w:rFonts w:ascii="Arial" w:hAnsi="Arial"/>
          <w:b/>
          <w:color w:val="333333"/>
          <w:sz w:val="22"/>
        </w:rPr>
        <w:t>expressão regular tolerante</w:t>
      </w:r>
      <w:r>
        <w:rPr>
          <w:rFonts w:ascii="Arial" w:hAnsi="Arial"/>
          <w:b w:val="0"/>
          <w:color w:val="333333"/>
          <w:sz w:val="22"/>
        </w:rPr>
        <w:t xml:space="preserve"> a pequena variação de rótulo, sem depender de posição fixa no texto — porque o documento de amanhã pode vir de oficina que nunca apareceu durante o desenvolvimento. Um parser de demonstração reconhece layout conhecido; um parser de produção precisa tolerar variação plausível </w:t>
      </w:r>
      <w:r>
        <w:rPr>
          <w:rFonts w:ascii="Arial" w:hAnsi="Arial"/>
          <w:b/>
          <w:color w:val="333333"/>
          <w:sz w:val="22"/>
        </w:rPr>
        <w:t>sem começar a inventar campo</w:t>
      </w:r>
      <w:r>
        <w:rPr>
          <w:rFonts w:ascii="Arial" w:hAnsi="Arial"/>
          <w:b w:val="0"/>
          <w:color w:val="333333"/>
          <w:sz w:val="22"/>
        </w:rPr>
        <w:t xml:space="preserve"> quando não encontrou o valor.</w:t>
      </w:r>
    </w:p>
    <w:p>
      <w:pPr>
        <w:pStyle w:val="Heading4"/>
        <w:spacing w:before="200" w:after="80"/>
      </w:pPr>
      <w:r>
        <w:rPr>
          <w:rFonts w:ascii="Arial" w:hAnsi="Arial"/>
          <w:b/>
          <w:color w:val="1F4D78"/>
          <w:sz w:val="22"/>
        </w:rPr>
        <w:t>O risco de aceitar extração incompleta</w:t>
      </w:r>
    </w:p>
    <w:p>
      <w:pPr>
        <w:spacing w:after="160"/>
      </w:pPr>
      <w:r>
        <w:rPr>
          <w:rFonts w:ascii="Arial" w:hAnsi="Arial"/>
          <w:b w:val="0"/>
          <w:color w:val="333333"/>
          <w:sz w:val="22"/>
        </w:rPr>
        <w:t xml:space="preserve">Sem validação de esquema, uma falha de parsing pode entrar silenciosamente no dataset. Se o parser procura só "segurado" e encontra "nome do segurado", pode devolver o campo vazio — se esse exemplo for aceito mesmo assim, o modelo aprende que não identificar o segurado é saída normal em alguns documentos. Multiplicado por centenas de documento, isso deixa de ser erro isolado e vira ruído sistemático. Regra: rejeitar o exemplo quando campo obrigatório está ausente ou o valor extraído é inválido — </w:t>
      </w:r>
      <w:r>
        <w:rPr>
          <w:rFonts w:ascii="Arial" w:hAnsi="Arial"/>
          <w:b/>
          <w:color w:val="333333"/>
          <w:sz w:val="22"/>
        </w:rPr>
        <w:t>quase certo não é suficiente para dado de treinamento</w:t>
      </w:r>
      <w:r>
        <w:rPr>
          <w:rFonts w:ascii="Arial" w:hAnsi="Arial"/>
          <w:b w:val="0"/>
          <w:color w:val="333333"/>
          <w:sz w:val="22"/>
        </w:rPr>
        <w:t>.</w:t>
      </w:r>
    </w:p>
    <w:p>
      <w:pPr>
        <w:pStyle w:val="Heading4"/>
        <w:spacing w:before="200" w:after="80"/>
      </w:pPr>
      <w:r>
        <w:rPr>
          <w:rFonts w:ascii="Arial" w:hAnsi="Arial"/>
          <w:b/>
          <w:color w:val="1F4D78"/>
          <w:sz w:val="22"/>
        </w:rPr>
        <w:t>Executando OCR, parsing e validação de verdade</w:t>
      </w:r>
    </w:p>
    <w:p>
      <w:pPr>
        <w:spacing w:after="160"/>
      </w:pPr>
      <w:r>
        <w:rPr>
          <w:rFonts w:ascii="Arial" w:hAnsi="Arial"/>
          <w:b w:val="0"/>
          <w:color w:val="333333"/>
          <w:sz w:val="22"/>
        </w:rPr>
        <w:t>Na demonstração, o pipeline roda com o binário real do Tesseract sobre quatro imagens sintéticas (dois orçamentos, dois recibos, cada um com pequena diferença de layout/rótulo). O texto bruto do OCR não é perfeito (espaço extra, quebra de linha pouco elegante) — esse texto é preservado como entrada do exemplo em vez de embelezado manualmente. O parser fica separado e extrai só os campos necessários. Num orçamento, identifica segurado/placa/valor total, convertendo valor monetário brasileiro para número decimal. Num recibo com layout diferente, reconhece "paciente beneficiário" e "valor cobrado" sem depender do rótulo do primeiro documento.</w:t>
      </w:r>
    </w:p>
    <w:p>
      <w:pPr>
        <w:pStyle w:val="Heading4"/>
        <w:spacing w:before="200" w:after="80"/>
      </w:pPr>
      <w:r>
        <w:rPr>
          <w:rFonts w:ascii="Arial" w:hAnsi="Arial"/>
          <w:b/>
          <w:color w:val="1F4D78"/>
          <w:sz w:val="22"/>
        </w:rPr>
        <w:t>Confiança do OCR como metadado</w:t>
      </w:r>
    </w:p>
    <w:p>
      <w:pPr>
        <w:spacing w:after="160"/>
      </w:pPr>
      <w:r>
        <w:rPr>
          <w:rFonts w:ascii="Arial" w:hAnsi="Arial"/>
          <w:b w:val="0"/>
          <w:color w:val="333333"/>
          <w:sz w:val="22"/>
        </w:rPr>
        <w:t xml:space="preserve">Junto com o texto, guarda-se a confiança média reportada pelo Tesseract — entre 94% e 96% nos quatro documentos da demonstração. Esse número vem da confiança calculada palavra a palavra e agregada pelo próprio OCR, não é inventado pelo pipeline. Em documento de digitalização ruim, a confiança tenderia a cair — essa informação pode ser usada depois para decidir se um exemplo precisa de revisão humana antes de entrar no treinamento. No módulo seguinte, essa confiança se transforma em </w:t>
      </w:r>
      <w:r>
        <w:rPr>
          <w:rFonts w:ascii="Arial" w:hAnsi="Arial"/>
          <w:b/>
          <w:color w:val="333333"/>
          <w:sz w:val="22"/>
        </w:rPr>
        <w:t>gate operacional</w:t>
      </w:r>
      <w:r>
        <w:rPr>
          <w:rFonts w:ascii="Arial" w:hAnsi="Arial"/>
          <w:b w:val="0"/>
          <w:color w:val="333333"/>
          <w:sz w:val="22"/>
        </w:rPr>
        <w:t>; aqui ela já entra no metadado para não ser perdida.</w:t>
      </w:r>
    </w:p>
    <w:p>
      <w:pPr>
        <w:pStyle w:val="Heading4"/>
        <w:spacing w:before="200" w:after="80"/>
      </w:pPr>
      <w:r>
        <w:rPr>
          <w:rFonts w:ascii="Arial" w:hAnsi="Arial"/>
          <w:b/>
          <w:color w:val="1F4D78"/>
          <w:sz w:val="22"/>
        </w:rPr>
        <w:t>Testes automatizados e caminho de rejeição</w:t>
      </w:r>
    </w:p>
    <w:p>
      <w:pPr>
        <w:spacing w:after="160"/>
      </w:pPr>
      <w:r>
        <w:rPr>
          <w:rFonts w:ascii="Arial" w:hAnsi="Arial"/>
          <w:b w:val="0"/>
          <w:color w:val="333333"/>
          <w:sz w:val="22"/>
        </w:rPr>
        <w:t xml:space="preserve">O pipeline executa </w:t>
      </w:r>
      <w:r>
        <w:rPr>
          <w:rFonts w:ascii="Arial" w:hAnsi="Arial"/>
          <w:b/>
          <w:color w:val="333333"/>
          <w:sz w:val="22"/>
        </w:rPr>
        <w:t>28 testes automatizados</w:t>
      </w:r>
      <w:r>
        <w:rPr>
          <w:rFonts w:ascii="Arial" w:hAnsi="Arial"/>
          <w:b w:val="0"/>
          <w:color w:val="333333"/>
          <w:sz w:val="22"/>
        </w:rPr>
        <w:t>. Os primeiros isolam a conversão de valor em real, garantindo que a vírgula decimal brasileira não seja interpretada errado. A maior parte roda contra os quatro documentos — OCR extraindo texto real, exemplo passando pela validação, campo batendo com valor esperado, confiança em faixa válida. Os testes finais verificam o caminho contrário: exemplo sem placa é rejeitado, exemplo com valor zero também. Não basta provar que o pipeline aceita o correto — é preciso provar que ele recusa o incorreto.</w:t>
      </w:r>
    </w:p>
    <w:p>
      <w:pPr>
        <w:pStyle w:val="Heading4"/>
        <w:spacing w:before="200" w:after="80"/>
      </w:pPr>
      <w:r>
        <w:rPr>
          <w:rFonts w:ascii="Arial" w:hAnsi="Arial"/>
          <w:b/>
          <w:color w:val="1F4D78"/>
          <w:sz w:val="22"/>
        </w:rPr>
        <w:t>O esquema canônico de quatro campos</w:t>
      </w:r>
    </w:p>
    <w:p>
      <w:pPr>
        <w:spacing w:after="160"/>
      </w:pPr>
      <w:r>
        <w:rPr>
          <w:rFonts w:ascii="Arial" w:hAnsi="Arial"/>
          <w:b w:val="0"/>
          <w:color w:val="333333"/>
          <w:sz w:val="22"/>
        </w:rPr>
        <w:t xml:space="preserve">Todo exemplo aceito carrega quatro campos em ordem conceitual estável: </w:t>
      </w:r>
      <w:r>
        <w:rPr>
          <w:rFonts w:ascii="Arial" w:hAnsi="Arial"/>
          <w:b/>
          <w:color w:val="333333"/>
          <w:sz w:val="22"/>
        </w:rPr>
        <w:t>instrução</w:t>
      </w:r>
      <w:r>
        <w:rPr>
          <w:rFonts w:ascii="Arial" w:hAnsi="Arial"/>
          <w:b w:val="0"/>
          <w:color w:val="333333"/>
          <w:sz w:val="22"/>
        </w:rPr>
        <w:t xml:space="preserve"> (descreve a tarefa em linguagem natural, permanece a mesma dentro de um caso), </w:t>
      </w:r>
      <w:r>
        <w:rPr>
          <w:rFonts w:ascii="Arial" w:hAnsi="Arial"/>
          <w:b/>
          <w:color w:val="333333"/>
          <w:sz w:val="22"/>
        </w:rPr>
        <w:t>entrada</w:t>
      </w:r>
      <w:r>
        <w:rPr>
          <w:rFonts w:ascii="Arial" w:hAnsi="Arial"/>
          <w:b w:val="0"/>
          <w:color w:val="333333"/>
          <w:sz w:val="22"/>
        </w:rPr>
        <w:t xml:space="preserve"> (texto bruto do OCR, sem edição manual), </w:t>
      </w:r>
      <w:r>
        <w:rPr>
          <w:rFonts w:ascii="Arial" w:hAnsi="Arial"/>
          <w:b/>
          <w:color w:val="333333"/>
          <w:sz w:val="22"/>
        </w:rPr>
        <w:t>saída</w:t>
      </w:r>
      <w:r>
        <w:rPr>
          <w:rFonts w:ascii="Arial" w:hAnsi="Arial"/>
          <w:b w:val="0"/>
          <w:color w:val="333333"/>
          <w:sz w:val="22"/>
        </w:rPr>
        <w:t xml:space="preserve"> (objeto estruturado produzido pelo parser — em Auto: segurado, placa, valor; em Saúde Empresarial: beneficiário, procedimento, valor) e </w:t>
      </w:r>
      <w:r>
        <w:rPr>
          <w:rFonts w:ascii="Arial" w:hAnsi="Arial"/>
          <w:b/>
          <w:color w:val="333333"/>
          <w:sz w:val="22"/>
        </w:rPr>
        <w:t>metadata</w:t>
      </w:r>
      <w:r>
        <w:rPr>
          <w:rFonts w:ascii="Arial" w:hAnsi="Arial"/>
          <w:b w:val="0"/>
          <w:color w:val="333333"/>
          <w:sz w:val="22"/>
        </w:rPr>
        <w:t xml:space="preserve"> (caso, arquivo de origem, confiança de OCR, resultado das validações). Esse esquema é deliberadamente </w:t>
      </w:r>
      <w:r>
        <w:rPr>
          <w:rFonts w:ascii="Arial" w:hAnsi="Arial"/>
          <w:b/>
          <w:color w:val="333333"/>
          <w:sz w:val="22"/>
        </w:rPr>
        <w:t>canônico</w:t>
      </w:r>
      <w:r>
        <w:rPr>
          <w:rFonts w:ascii="Arial" w:hAnsi="Arial"/>
          <w:b w:val="0"/>
          <w:color w:val="333333"/>
          <w:sz w:val="22"/>
        </w:rPr>
        <w:t xml:space="preserve"> — não é ainda o formato específico de Vertex AI nem o formato usado no treinamento local com MLX. A adaptação para cada provedor fica para os módulos de treinamento.</w:t>
      </w:r>
    </w:p>
    <w:p>
      <w:pPr>
        <w:pStyle w:val="Heading4"/>
        <w:spacing w:before="200" w:after="80"/>
      </w:pPr>
      <w:r>
        <w:rPr>
          <w:rFonts w:ascii="Arial" w:hAnsi="Arial"/>
          <w:b/>
          <w:color w:val="1F4D78"/>
          <w:sz w:val="22"/>
        </w:rPr>
        <w:t>Por que manter uma representação canônica</w:t>
      </w:r>
    </w:p>
    <w:p>
      <w:pPr>
        <w:spacing w:after="160"/>
      </w:pPr>
      <w:r>
        <w:rPr>
          <w:rFonts w:ascii="Arial" w:hAnsi="Arial"/>
          <w:b w:val="0"/>
          <w:color w:val="333333"/>
          <w:sz w:val="22"/>
        </w:rPr>
        <w:t>Separar preparação de formatação por provedor evita acoplamento desnecessário. Se amanhã trocar o Vertex AI por outro serviço ou migrar parte do treinamento para LoRA local, não é preciso repetir OCR, parsing, compliance e validação — mantém-se um dataset intermediário estável e criam-se conversores específicos para cada destino. Esse desenho também facilita teste: o pipeline de qualidade pode ser validado sem depender da API do provedor.</w:t>
      </w:r>
    </w:p>
    <w:p>
      <w:pPr>
        <w:pStyle w:val="Heading4"/>
        <w:spacing w:before="200" w:after="80"/>
      </w:pPr>
      <w:r>
        <w:rPr>
          <w:rFonts w:ascii="Arial" w:hAnsi="Arial"/>
          <w:b/>
          <w:color w:val="1F4D78"/>
          <w:sz w:val="22"/>
        </w:rPr>
        <w:t>Rastreabilidade do texto bruto</w:t>
      </w:r>
    </w:p>
    <w:p>
      <w:pPr>
        <w:spacing w:after="160"/>
      </w:pPr>
      <w:r>
        <w:rPr>
          <w:rFonts w:ascii="Arial" w:hAnsi="Arial"/>
          <w:b w:val="0"/>
          <w:color w:val="333333"/>
          <w:sz w:val="22"/>
        </w:rPr>
        <w:t xml:space="preserve">Guardar o texto OCR bruto tem duas vantagens: </w:t>
      </w:r>
      <w:r>
        <w:rPr>
          <w:rFonts w:ascii="Arial" w:hAnsi="Arial"/>
          <w:b/>
          <w:color w:val="333333"/>
          <w:sz w:val="22"/>
        </w:rPr>
        <w:t>rastreabilidade técnica</w:t>
      </w:r>
      <w:r>
        <w:rPr>
          <w:rFonts w:ascii="Arial" w:hAnsi="Arial"/>
          <w:b w:val="0"/>
          <w:color w:val="333333"/>
          <w:sz w:val="22"/>
        </w:rPr>
        <w:t xml:space="preserve"> (se um exemplo apresentar comportamento estranho, dá para voltar ao texto original e identificar se o problema nasceu no documento, no OCR ou no parser) e </w:t>
      </w:r>
      <w:r>
        <w:rPr>
          <w:rFonts w:ascii="Arial" w:hAnsi="Arial"/>
          <w:b/>
          <w:color w:val="333333"/>
          <w:sz w:val="22"/>
        </w:rPr>
        <w:t>auditoria</w:t>
      </w:r>
      <w:r>
        <w:rPr>
          <w:rFonts w:ascii="Arial" w:hAnsi="Arial"/>
          <w:b w:val="0"/>
          <w:color w:val="333333"/>
          <w:sz w:val="22"/>
        </w:rPr>
        <w:t xml:space="preserve"> (em Saúde Empresarial, dado de saúde é categoria sensível — manter origem e caminho de transformação ajuda a registrar as operações de tratamento). Existe uma tensão: preservar texto bruto com nome completo significa também preservar PII em material que pode ser usado para treinamento — em produção, isso exige pseudonimização antes de o dado chegar ao modelo.</w:t>
      </w:r>
    </w:p>
    <w:p>
      <w:pPr>
        <w:pStyle w:val="Heading4"/>
        <w:spacing w:before="200" w:after="80"/>
      </w:pPr>
      <w:r>
        <w:rPr>
          <w:rFonts w:ascii="Arial" w:hAnsi="Arial"/>
          <w:b/>
          <w:color w:val="1F4D78"/>
          <w:sz w:val="22"/>
        </w:rPr>
        <w:t>PII scrubbing antes do treinamento</w:t>
      </w:r>
    </w:p>
    <w:p>
      <w:pPr>
        <w:spacing w:after="160"/>
      </w:pPr>
      <w:r>
        <w:rPr>
          <w:rFonts w:ascii="Arial" w:hAnsi="Arial"/>
          <w:b w:val="0"/>
          <w:color w:val="333333"/>
          <w:sz w:val="22"/>
        </w:rPr>
        <w:t xml:space="preserve">A aula transforma essa recomendação em gate executável. O pipeline trata nome e CPF nos casos de Auto e Saúde Empresarial — o </w:t>
      </w:r>
      <w:r>
        <w:rPr>
          <w:rFonts w:ascii="Arial" w:hAnsi="Arial"/>
          <w:b/>
          <w:color w:val="333333"/>
          <w:sz w:val="22"/>
        </w:rPr>
        <w:t>CPF é validado pelo dígito verificador</w:t>
      </w:r>
      <w:r>
        <w:rPr>
          <w:rFonts w:ascii="Arial" w:hAnsi="Arial"/>
          <w:b w:val="0"/>
          <w:color w:val="333333"/>
          <w:sz w:val="22"/>
        </w:rPr>
        <w:t>, não só pelo formato textual. Nomes são identificados quando ancorados por rótulo conhecido, como "segurado" ou "beneficiário". Depois da redação, nome e CPF deixam de aparecer no exemplo de treino; placa e valor permanecem, porque são necessários para a tarefa e, isoladamente naquele contexto, não são tratados como identificador direto. O limite é assumido explicitamente: um nome solto em texto livre não seria capturado só por âncora de rótulo — exigiria reconhecimento de entidade nomeada mais robusto, semelhante a ferramentas como Microsoft Presidio. O objetivo não é prometer anonimização completa, é reduzir PII de maneira verificável e deixar claro onde o método deixa de ser suficiente.</w:t>
      </w:r>
    </w:p>
    <w:p>
      <w:pPr>
        <w:pStyle w:val="Heading4"/>
        <w:spacing w:before="200" w:after="80"/>
      </w:pPr>
      <w:r>
        <w:rPr>
          <w:rFonts w:ascii="Arial" w:hAnsi="Arial"/>
          <w:b/>
          <w:color w:val="1F4D78"/>
          <w:sz w:val="22"/>
        </w:rPr>
        <w:t>Validação continua sendo o portão final</w:t>
      </w:r>
    </w:p>
    <w:p>
      <w:pPr>
        <w:spacing w:after="160"/>
      </w:pPr>
      <w:r>
        <w:rPr>
          <w:rFonts w:ascii="Arial" w:hAnsi="Arial"/>
          <w:b w:val="0"/>
          <w:color w:val="333333"/>
          <w:sz w:val="22"/>
        </w:rPr>
        <w:t>Mesmo depois de OCR, parsing e PII scrubbing, o exemplo ainda passa pela validação — campo obrigatório ausente é motivo de rejeição, valor zero ou negativo também (normalmente indica que o parser não conseguiu encontrar o número). Nos quatro documentos da aula, todos passam — não porque o pipeline aceita tudo, mas porque foi desenhado para aceitar apenas quando as condições mínimas são atendidas. É mais barato rejeitar um exemplo ruim na preparação do que descobrir o problema depois de treinar o modelo sobre ele.</w:t>
      </w:r>
    </w:p>
    <w:p>
      <w:pPr>
        <w:pStyle w:val="Heading4"/>
        <w:spacing w:before="200" w:after="80"/>
      </w:pPr>
      <w:r>
        <w:rPr>
          <w:rFonts w:ascii="Arial" w:hAnsi="Arial"/>
          <w:b/>
          <w:color w:val="1F4D78"/>
          <w:sz w:val="22"/>
        </w:rPr>
        <w:t>Quando quatro exemplos viram centenas</w:t>
      </w:r>
    </w:p>
    <w:p>
      <w:pPr>
        <w:spacing w:after="160"/>
      </w:pPr>
      <w:r>
        <w:rPr>
          <w:rFonts w:ascii="Arial" w:hAnsi="Arial"/>
          <w:b w:val="0"/>
          <w:color w:val="333333"/>
          <w:sz w:val="22"/>
        </w:rPr>
        <w:t xml:space="preserve">Até aqui, trabalho documento por documento — útil para provar que extração e validação funcionam, mas dataset real contém centenas ou milhares de exemplo. Na escala maior surgem problemas que não aparecem em quatro documentos: </w:t>
      </w:r>
      <w:r>
        <w:rPr>
          <w:rFonts w:ascii="Arial" w:hAnsi="Arial"/>
          <w:b/>
          <w:color w:val="333333"/>
          <w:sz w:val="22"/>
        </w:rPr>
        <w:t>viés de amostragem</w:t>
      </w:r>
      <w:r>
        <w:rPr>
          <w:rFonts w:ascii="Arial" w:hAnsi="Arial"/>
          <w:b w:val="0"/>
          <w:color w:val="333333"/>
          <w:sz w:val="22"/>
        </w:rPr>
        <w:t xml:space="preserve"> (se 90% dos orçamentos vierem de poucas oficinas parceiras, o modelo generaliza mal para oficina nova) e </w:t>
      </w:r>
      <w:r>
        <w:rPr>
          <w:rFonts w:ascii="Arial" w:hAnsi="Arial"/>
          <w:b/>
          <w:color w:val="333333"/>
          <w:sz w:val="22"/>
        </w:rPr>
        <w:t>repetição quase idêntica</w:t>
      </w:r>
      <w:r>
        <w:rPr>
          <w:rFonts w:ascii="Arial" w:hAnsi="Arial"/>
          <w:b w:val="0"/>
          <w:color w:val="333333"/>
          <w:sz w:val="22"/>
        </w:rPr>
        <w:t xml:space="preserve"> (duas unidades da mesma rede podem gerar documento com estrutura quase igual, mudando só nome e valor — dataset cheio de quase-duplicata aumenta artificialmente a sensação de diversidade e desperdiça capacidade de treinamento repetindo o mesmo padrão). Esses não são problemas de extração individual — são problemas de </w:t>
      </w:r>
      <w:r>
        <w:rPr>
          <w:rFonts w:ascii="Arial" w:hAnsi="Arial"/>
          <w:b/>
          <w:color w:val="333333"/>
          <w:sz w:val="22"/>
        </w:rPr>
        <w:t>composição do dataset como conjunto</w:t>
      </w:r>
      <w:r>
        <w:rPr>
          <w:rFonts w:ascii="Arial" w:hAnsi="Arial"/>
          <w:b w:val="0"/>
          <w:color w:val="333333"/>
          <w:sz w:val="22"/>
        </w:rPr>
        <w:t>.</w:t>
      </w:r>
    </w:p>
    <w:p>
      <w:pPr>
        <w:spacing w:before="120" w:after="120"/>
        <w:ind w:left="360" w:right="360"/>
        <w:shd w:val="clear" w:fill="F5F5F5"/>
        <w:pBdr>
          <w:left w:val="single" w:color="2E75B6" w:sz="4" w:space="10"/>
        </w:pBdr>
      </w:pPr>
      <w:r>
        <w:rPr>
          <w:rFonts w:ascii="Arial" w:hAnsi="Arial"/>
          <w:b w:val="0"/>
          <w:color w:val="333333"/>
          <w:sz w:val="22"/>
        </w:rPr>
        <w:t>✅ Resultado/Conclusão: esta aula fecha a transformação de documento em exemplo — filtrar relevância, extrair texto, interpretar variação, validar contrato, preservar metadado, reduzir PII, escrever em JSONL canônico. No próximo capítulo, a unidade de análise muda: em vez de perguntar se um exemplo individual está correto, é preciso perguntar se o conjunto inteiro está repetitivo, enviesado ou desequilibrado — entram limpeza, deduplicação e balanceamento.</w:t>
      </w:r>
    </w:p>
    <w:p>
      <w:pPr>
        <w:pStyle w:val="Heading3"/>
        <w:spacing w:before="200" w:after="80"/>
      </w:pPr>
      <w:r>
        <w:rPr>
          <w:rFonts w:ascii="Arial" w:hAnsi="Arial"/>
          <w:b/>
          <w:color w:val="1F4D78"/>
          <w:sz w:val="24"/>
        </w:rPr>
        <w:t>Aula 2: Preparação de Datasets para Fine-Tuning (PT-2)</w:t>
      </w:r>
    </w:p>
    <w:p>
      <w:pPr>
        <w:pStyle w:val="Heading4"/>
        <w:spacing w:before="200" w:after="80"/>
      </w:pPr>
      <w:r>
        <w:rPr>
          <w:rFonts w:ascii="Arial" w:hAnsi="Arial"/>
          <w:b/>
          <w:color w:val="1F4D78"/>
          <w:sz w:val="22"/>
        </w:rPr>
        <w:t>A unidade individual funciona, ainda não prova que o conjunto está bom</w:t>
      </w:r>
    </w:p>
    <w:p>
      <w:pPr>
        <w:spacing w:after="160"/>
      </w:pPr>
      <w:r>
        <w:rPr>
          <w:rFonts w:ascii="Arial" w:hAnsi="Arial"/>
          <w:b w:val="0"/>
          <w:color w:val="333333"/>
          <w:sz w:val="22"/>
        </w:rPr>
        <w:t xml:space="preserve">O capítulo anterior transformou documento individual em exemplo estruturado — o pipeline já decide relevância, extrai texto, interpreta campo, valida esquema, registra metadado e reduz PII. Isso prova que a unidade individual funciona, ainda não prova que o dataset como conjunto está bom. Ao sair de quatro exemplos para dezenas, centenas ou milhares de registro, surgem dois problemas especialmente importantes: </w:t>
      </w:r>
      <w:r>
        <w:rPr>
          <w:rFonts w:ascii="Arial" w:hAnsi="Arial"/>
          <w:b/>
          <w:color w:val="333333"/>
          <w:sz w:val="22"/>
        </w:rPr>
        <w:t>quase-duplicata</w:t>
      </w:r>
      <w:r>
        <w:rPr>
          <w:rFonts w:ascii="Arial" w:hAnsi="Arial"/>
          <w:b w:val="0"/>
          <w:color w:val="333333"/>
          <w:sz w:val="22"/>
        </w:rPr>
        <w:t xml:space="preserve"> e </w:t>
      </w:r>
      <w:r>
        <w:rPr>
          <w:rFonts w:ascii="Arial" w:hAnsi="Arial"/>
          <w:b/>
          <w:color w:val="333333"/>
          <w:sz w:val="22"/>
        </w:rPr>
        <w:t>desbalanceamento de fonte</w:t>
      </w:r>
      <w:r>
        <w:rPr>
          <w:rFonts w:ascii="Arial" w:hAnsi="Arial"/>
          <w:b w:val="0"/>
          <w:color w:val="333333"/>
          <w:sz w:val="22"/>
        </w:rPr>
        <w:t>. Um dataset pode ser formado só por exemplo individualmente correto e mesmo assim induzir o modelo ao erro — se muitos registro repetem praticamente o mesmo padrão, o treinamento reforça informação redundante; se uma única oficina ou clínica domina a distribuição, o modelo aprende muito bem aquele formato e generaliza pior para fonte nova.</w:t>
      </w:r>
    </w:p>
    <w:p>
      <w:pPr>
        <w:pStyle w:val="Heading4"/>
        <w:spacing w:before="200" w:after="80"/>
      </w:pPr>
      <w:r>
        <w:rPr>
          <w:rFonts w:ascii="Arial" w:hAnsi="Arial"/>
          <w:b/>
          <w:color w:val="1F4D78"/>
          <w:sz w:val="22"/>
        </w:rPr>
        <w:t>Escala revela problema que quatro exemplos escondem</w:t>
      </w:r>
    </w:p>
    <w:p>
      <w:pPr>
        <w:spacing w:after="160"/>
      </w:pPr>
      <w:r>
        <w:rPr>
          <w:rFonts w:ascii="Arial" w:hAnsi="Arial"/>
          <w:b w:val="0"/>
          <w:color w:val="333333"/>
          <w:sz w:val="22"/>
        </w:rPr>
        <w:t>Uma oficina parceira de grande volume pode enviar orçamento toda semana, sempre gerado pelo mesmo sistema, quase com o mesmo layout. Se essa oficina representa mais da metade do dataset, o modelo vê aquele formato continuamente, ficando excelente para documento dessa fonte e mais frágil quando recebe orçamento de oficina nova. Problema semelhante em Saúde Empresarial, com clínica que processa muito reembolso dominando o conjunto — é nesse ponto que quantidade deixa de ser sinônimo de cobertura.</w:t>
      </w:r>
    </w:p>
    <w:p>
      <w:pPr>
        <w:pStyle w:val="Heading4"/>
        <w:spacing w:before="200" w:after="80"/>
      </w:pPr>
      <w:r>
        <w:rPr>
          <w:rFonts w:ascii="Arial" w:hAnsi="Arial"/>
          <w:b/>
          <w:color w:val="1F4D78"/>
          <w:sz w:val="22"/>
        </w:rPr>
        <w:t>Quase-duplicatas</w:t>
      </w:r>
    </w:p>
    <w:p>
      <w:pPr>
        <w:spacing w:after="160"/>
      </w:pPr>
      <w:r>
        <w:rPr>
          <w:rFonts w:ascii="Arial" w:hAnsi="Arial"/>
          <w:b w:val="0"/>
          <w:color w:val="333333"/>
          <w:sz w:val="22"/>
        </w:rPr>
        <w:t>Um mesmo sinistro pode aparecer duas vezes — operador reenviou documento, ou houve nova digitalização. O OCR pode produzir pequena diferença entre as duas versões (espaço extra, quebra de linha diferente, caractere reconhecido de outra forma). Para comparação visual rápida, os registros parecem diferentes; para o treinamento, carregam praticamente a mesma informação. Manter as duas cópias dá reforço artificial daquele padrão — o modelo não aprende nova variação, só vê de novo algo que já estava no conjunto, desperdiçando computação e aumentando risco de memorização em escala.</w:t>
      </w:r>
    </w:p>
    <w:p>
      <w:pPr>
        <w:pStyle w:val="Heading4"/>
        <w:spacing w:before="200" w:after="80"/>
      </w:pPr>
      <w:r>
        <w:rPr>
          <w:rFonts w:ascii="Arial" w:hAnsi="Arial"/>
          <w:b/>
          <w:color w:val="1F4D78"/>
          <w:sz w:val="22"/>
        </w:rPr>
        <w:t>Por que deduplicação muda o modelo, não só o arquivo</w:t>
      </w:r>
    </w:p>
    <w:p>
      <w:pPr>
        <w:spacing w:after="160"/>
      </w:pPr>
      <w:r>
        <w:rPr>
          <w:rFonts w:ascii="Arial" w:hAnsi="Arial"/>
          <w:b w:val="0"/>
          <w:color w:val="333333"/>
          <w:sz w:val="22"/>
        </w:rPr>
        <w:t>A aula usa um estudo do Google Research sobre deduplicação de dado de treinamento — analisando o corpus C4, os pesquisadores encontraram caso extremo de repetição, incluindo uma mesma frase aparecendo dezenas de milhares de vezes. O resultado da deduplicação aparece no comportamento do modelo: redução forte na emissão de texto memorizado palavra por palavra, necessidade de menos passo de treinamento para desempenho equivalente ou melhor, e redução de contaminação entre treino e teste. Esse último ponto importa especialmente: quando exemplo igual ou quase igual aparece nos dois conjuntos, a avaliação mede parcialmente memória, não generalização — a métrica parece melhor do que o modelo realmente é. Deduplicar protege treinamento, custo e avaliação ao mesmo tempo.</w:t>
      </w:r>
    </w:p>
    <w:p>
      <w:pPr>
        <w:pStyle w:val="Heading4"/>
        <w:spacing w:before="200" w:after="80"/>
      </w:pPr>
      <w:r>
        <w:rPr>
          <w:rFonts w:ascii="Arial" w:hAnsi="Arial"/>
          <w:b/>
          <w:color w:val="1F4D78"/>
          <w:sz w:val="22"/>
        </w:rPr>
        <w:t>Desbalanceamento de fonte</w:t>
      </w:r>
    </w:p>
    <w:p>
      <w:pPr>
        <w:spacing w:after="160"/>
      </w:pPr>
      <w:r>
        <w:rPr>
          <w:rFonts w:ascii="Arial" w:hAnsi="Arial"/>
          <w:b w:val="0"/>
          <w:color w:val="333333"/>
          <w:sz w:val="22"/>
        </w:rPr>
        <w:t>Uma oficina ou clínica pode produzir mais documento simplesmente por ter maior volume de atendimento — característica operacional, mas isso não significa que deva receber o mesmo peso proporcional no dataset. Se uma fonte representa 60% do conjunto, representa também 60% das oportunidades de ajuste durante o treinamento. O risco aparece em produção, quando chega fonte nova ou pouco frequente — o modelo foi treinado para um retrato enviesado da distribuição histórica, não para a variedade que se gostaria que ele suportasse.</w:t>
      </w:r>
    </w:p>
    <w:p>
      <w:pPr>
        <w:pStyle w:val="Heading4"/>
        <w:spacing w:before="200" w:after="80"/>
      </w:pPr>
      <w:r>
        <w:rPr>
          <w:rFonts w:ascii="Arial" w:hAnsi="Arial"/>
          <w:b/>
          <w:color w:val="1F4D78"/>
          <w:sz w:val="22"/>
        </w:rPr>
        <w:t>Padronização antes da comparação</w:t>
      </w:r>
    </w:p>
    <w:p>
      <w:pPr>
        <w:spacing w:after="160"/>
      </w:pPr>
      <w:r>
        <w:rPr>
          <w:rFonts w:ascii="Arial" w:hAnsi="Arial"/>
          <w:b w:val="0"/>
          <w:color w:val="333333"/>
          <w:sz w:val="22"/>
        </w:rPr>
        <w:t>Antes de procurar duplicata, faz-se normalização básica do texto — a comparação não deveria tratar maiúscula, espaço duplicado ou sobra nas extremidades como diferença de conteúdo. O texto é padronizado com transformação para minúscula, colapso de espaço e remoção de excesso — sem reescrever semanticamente o documento, apenas eliminando diferença cosmética que faria duas versões praticamente iguais parecerem mais distantes do que realmente são.</w:t>
      </w:r>
    </w:p>
    <w:p>
      <w:pPr>
        <w:pStyle w:val="Heading4"/>
        <w:spacing w:before="200" w:after="80"/>
      </w:pPr>
      <w:r>
        <w:rPr>
          <w:rFonts w:ascii="Arial" w:hAnsi="Arial"/>
          <w:b/>
          <w:color w:val="1F4D78"/>
          <w:sz w:val="22"/>
        </w:rPr>
        <w:t>MinHash para aproximar similaridade</w:t>
      </w:r>
    </w:p>
    <w:p>
      <w:pPr>
        <w:spacing w:after="160"/>
      </w:pPr>
      <w:r>
        <w:rPr>
          <w:rFonts w:ascii="Arial" w:hAnsi="Arial"/>
          <w:b w:val="0"/>
          <w:color w:val="333333"/>
          <w:sz w:val="22"/>
        </w:rPr>
        <w:t xml:space="preserve">Comparar cada documento contra todos os outros funciona em conjunto pequeno, mas cresce rapidamente com o número de exemplo. A estratégia é transformar cada texto numa assinatura </w:t>
      </w:r>
      <w:r>
        <w:rPr>
          <w:rFonts w:ascii="Arial" w:hAnsi="Arial"/>
          <w:b/>
          <w:color w:val="333333"/>
          <w:sz w:val="22"/>
        </w:rPr>
        <w:t>MinHash</w:t>
      </w:r>
      <w:r>
        <w:rPr>
          <w:rFonts w:ascii="Arial" w:hAnsi="Arial"/>
          <w:b w:val="0"/>
          <w:color w:val="333333"/>
          <w:sz w:val="22"/>
        </w:rPr>
        <w:t xml:space="preserve"> — o texto é representado por pequenos fragmentos, e a assinatura resume esse conjunto numa quantidade fixa de valor. A fração de posições iguais entre duas assinaturas aproxima a similaridade de Jaccard sem exigir comparar todos os fragmentos diretamente. Na demonstração, cada exemplo recebe assinatura com </w:t>
      </w:r>
      <w:r>
        <w:rPr>
          <w:rFonts w:ascii="Arial" w:hAnsi="Arial"/>
          <w:b/>
          <w:color w:val="333333"/>
          <w:sz w:val="22"/>
        </w:rPr>
        <w:t>32 valores</w:t>
      </w:r>
      <w:r>
        <w:rPr>
          <w:rFonts w:ascii="Arial" w:hAnsi="Arial"/>
          <w:b w:val="0"/>
          <w:color w:val="333333"/>
          <w:sz w:val="22"/>
        </w:rPr>
        <w:t>. MinHash não decide sozinho se dois documentos são duplicados — cria representação barata para reduzir o espaço de comparação.</w:t>
      </w:r>
    </w:p>
    <w:p>
      <w:pPr>
        <w:pStyle w:val="Heading4"/>
        <w:spacing w:before="200" w:after="80"/>
      </w:pPr>
      <w:r>
        <w:rPr>
          <w:rFonts w:ascii="Arial" w:hAnsi="Arial"/>
          <w:b/>
          <w:color w:val="1F4D78"/>
          <w:sz w:val="22"/>
        </w:rPr>
        <w:t>LSH para gerar candidatos</w:t>
      </w:r>
    </w:p>
    <w:p>
      <w:pPr>
        <w:spacing w:after="160"/>
      </w:pPr>
      <w:r>
        <w:rPr>
          <w:rFonts w:ascii="Arial" w:hAnsi="Arial"/>
          <w:b w:val="0"/>
          <w:color w:val="333333"/>
          <w:sz w:val="22"/>
        </w:rPr>
        <w:t xml:space="preserve">Depois do MinHash, aplica-se </w:t>
      </w:r>
      <w:r>
        <w:rPr>
          <w:rFonts w:ascii="Arial" w:hAnsi="Arial"/>
          <w:b/>
          <w:color w:val="333333"/>
          <w:sz w:val="22"/>
        </w:rPr>
        <w:t>LSH, Locality Sensitive Hashing</w:t>
      </w:r>
      <w:r>
        <w:rPr>
          <w:rFonts w:ascii="Arial" w:hAnsi="Arial"/>
          <w:b w:val="0"/>
          <w:color w:val="333333"/>
          <w:sz w:val="22"/>
        </w:rPr>
        <w:t xml:space="preserve">. A assinatura é dividida em bandas — na demonstração, oito bandas com quatro valores cada. Se dois exemplos colidem em pelo menos uma banda, viram candidatos a quase-duplicata. A vantagem é não precisar calcular similaridade exata para todos os pares possíveis — o LSH reduz drasticamente o número de comparação que chega à etapa mais cara. No conjunto da aula, 549 comparações possíveis por força bruta são reduzidas para apenas 20 candidatos — redução de aproximadamente </w:t>
      </w:r>
      <w:r>
        <w:rPr>
          <w:rFonts w:ascii="Arial" w:hAnsi="Arial"/>
          <w:b/>
          <w:color w:val="333333"/>
          <w:sz w:val="22"/>
        </w:rPr>
        <w:t>96,4%</w:t>
      </w:r>
      <w:r>
        <w:rPr>
          <w:rFonts w:ascii="Arial" w:hAnsi="Arial"/>
          <w:b w:val="0"/>
          <w:color w:val="333333"/>
          <w:sz w:val="22"/>
        </w:rPr>
        <w:t xml:space="preserve"> no trabalho de comparação. Mesmo assim, os três pares de quase-duplicata plantados propositalmente são encontrados — nenhum escapa.</w:t>
      </w:r>
    </w:p>
    <w:p>
      <w:pPr>
        <w:pStyle w:val="Heading4"/>
        <w:spacing w:before="200" w:after="80"/>
      </w:pPr>
      <w:r>
        <w:rPr>
          <w:rFonts w:ascii="Arial" w:hAnsi="Arial"/>
          <w:b/>
          <w:color w:val="1F4D78"/>
          <w:sz w:val="22"/>
        </w:rPr>
        <w:t>Refino exato antes de remover</w:t>
      </w:r>
    </w:p>
    <w:p>
      <w:pPr>
        <w:spacing w:after="160"/>
      </w:pPr>
      <w:r>
        <w:rPr>
          <w:rFonts w:ascii="Arial" w:hAnsi="Arial"/>
          <w:b w:val="0"/>
          <w:color w:val="333333"/>
          <w:sz w:val="22"/>
        </w:rPr>
        <w:t>LSH serve para localizar candidato, não para tomar a decisão final. Os pares encontrados passam por comparação exata de similaridade antes de qualquer remoção — evitando tratar como duplicata dois documentos que usam o mesmo template, mas representam casos diferentes. A aula mostra esse cenário com dois orçamentos da mesma oficina: a estrutura é parecida, mas segurado, valor e demais informações pertencem a sinistros distintos. Mesmo template não é duplicata. A combinação MinHash + LSH + refino exato permite reduzir custo sem transformar proximidade visual em decisão automática.</w:t>
      </w:r>
    </w:p>
    <w:p>
      <w:pPr>
        <w:pStyle w:val="Heading4"/>
        <w:spacing w:before="200" w:after="80"/>
      </w:pPr>
      <w:r>
        <w:rPr>
          <w:rFonts w:ascii="Arial" w:hAnsi="Arial"/>
          <w:b/>
          <w:color w:val="1F4D78"/>
          <w:sz w:val="22"/>
        </w:rPr>
        <w:t>Recall na deduplicação</w:t>
      </w:r>
    </w:p>
    <w:p>
      <w:pPr>
        <w:spacing w:after="160"/>
      </w:pPr>
      <w:r>
        <w:rPr>
          <w:rFonts w:ascii="Arial" w:hAnsi="Arial"/>
          <w:b w:val="0"/>
          <w:color w:val="333333"/>
          <w:sz w:val="22"/>
        </w:rPr>
        <w:t xml:space="preserve">Deduplicação eficiente não é só aquela que reduz comparação — precisa continuar encontrando os duplicados relevantes. Na demonstração, os três pares plantados são recuperados, representando </w:t>
      </w:r>
      <w:r>
        <w:rPr>
          <w:rFonts w:ascii="Arial" w:hAnsi="Arial"/>
          <w:b/>
          <w:color w:val="333333"/>
          <w:sz w:val="22"/>
        </w:rPr>
        <w:t>recall perfeito</w:t>
      </w:r>
      <w:r>
        <w:rPr>
          <w:rFonts w:ascii="Arial" w:hAnsi="Arial"/>
          <w:b w:val="0"/>
          <w:color w:val="333333"/>
          <w:sz w:val="22"/>
        </w:rPr>
        <w:t xml:space="preserve"> para o conjunto de teste. Esse indicador importa porque uma otimização que economiza computação mas deixa muita duplicata escapar não resolve o problema — o objetivo é diminuir o número de par analisado mantendo a capacidade de encontrar os casos que realmente precisam ser removidos.</w:t>
      </w:r>
    </w:p>
    <w:p>
      <w:pPr>
        <w:pStyle w:val="Heading4"/>
        <w:spacing w:before="200" w:after="80"/>
      </w:pPr>
      <w:r>
        <w:rPr>
          <w:rFonts w:ascii="Arial" w:hAnsi="Arial"/>
          <w:b/>
          <w:color w:val="1F4D78"/>
          <w:sz w:val="22"/>
        </w:rPr>
        <w:t>Balanceamento por temperatura</w:t>
      </w:r>
    </w:p>
    <w:p>
      <w:pPr>
        <w:spacing w:after="160"/>
      </w:pPr>
      <w:r>
        <w:rPr>
          <w:rFonts w:ascii="Arial" w:hAnsi="Arial"/>
          <w:b w:val="0"/>
          <w:color w:val="333333"/>
          <w:sz w:val="22"/>
        </w:rPr>
        <w:t xml:space="preserve">Depois da deduplicação, ainda é preciso corrigir a concentração por fonte. A abordagem: </w:t>
      </w:r>
      <w:r>
        <w:rPr>
          <w:rFonts w:ascii="Arial" w:hAnsi="Arial"/>
          <w:b/>
          <w:color w:val="333333"/>
          <w:sz w:val="22"/>
        </w:rPr>
        <w:t>amostragem por temperatura</w:t>
      </w:r>
      <w:r>
        <w:rPr>
          <w:rFonts w:ascii="Arial" w:hAnsi="Arial"/>
          <w:b w:val="0"/>
          <w:color w:val="333333"/>
          <w:sz w:val="22"/>
        </w:rPr>
        <w:t xml:space="preserve">. Em vez de cortar arbitrariamente qualquer fonte acima de determinado percentual, atribuem-se pesos de acordo com a frequência original elevada a um expoente </w:t>
      </w:r>
      <w:r>
        <w:rPr>
          <w:rFonts w:ascii="Arial" w:hAnsi="Arial"/>
          <w:b/>
          <w:color w:val="333333"/>
          <w:sz w:val="22"/>
        </w:rPr>
        <w:t>alfa</w:t>
      </w:r>
      <w:r>
        <w:rPr>
          <w:rFonts w:ascii="Arial" w:hAnsi="Arial"/>
          <w:b w:val="0"/>
          <w:color w:val="333333"/>
          <w:sz w:val="22"/>
        </w:rPr>
        <w:t xml:space="preserve">. Com alfa=1, a distribuição permanece proporcional ao volume original; à medida que alfa diminui, a distribuição é suavizada em direção a uma participação mais uniforme entre as fontes. Na demonstração, usa-se </w:t>
      </w:r>
      <w:r>
        <w:rPr>
          <w:rFonts w:ascii="Arial" w:hAnsi="Arial"/>
          <w:b/>
          <w:color w:val="333333"/>
          <w:sz w:val="22"/>
        </w:rPr>
        <w:t>alfa=0,3</w:t>
      </w:r>
      <w:r>
        <w:rPr>
          <w:rFonts w:ascii="Arial" w:hAnsi="Arial"/>
          <w:b w:val="0"/>
          <w:color w:val="333333"/>
          <w:sz w:val="22"/>
        </w:rPr>
        <w:t>, valor também associado a estratégias de balanceamento em trabalhos como mT5. O objetivo é reduzir a dominância das fontes grandes sem fingir que as fontes pequenas possuem exemplo que não existe.</w:t>
      </w:r>
    </w:p>
    <w:p>
      <w:pPr>
        <w:pStyle w:val="Heading4"/>
        <w:spacing w:before="200" w:after="80"/>
      </w:pPr>
      <w:r>
        <w:rPr>
          <w:rFonts w:ascii="Arial" w:hAnsi="Arial"/>
          <w:b/>
          <w:color w:val="1F4D78"/>
          <w:sz w:val="22"/>
        </w:rPr>
        <w:t>Do peso contínuo à quantidade inteira</w:t>
      </w:r>
    </w:p>
    <w:p>
      <w:pPr>
        <w:spacing w:after="160"/>
      </w:pPr>
      <w:r>
        <w:rPr>
          <w:rFonts w:ascii="Arial" w:hAnsi="Arial"/>
          <w:b w:val="0"/>
          <w:color w:val="333333"/>
          <w:sz w:val="22"/>
        </w:rPr>
        <w:t xml:space="preserve">O cálculo por temperatura produz peso contínuo, mas o dataset precisa terminar com quantidade inteira de exemplo por fonte. Para essa conversão, usa-se o </w:t>
      </w:r>
      <w:r>
        <w:rPr>
          <w:rFonts w:ascii="Arial" w:hAnsi="Arial"/>
          <w:b/>
          <w:color w:val="333333"/>
          <w:sz w:val="22"/>
        </w:rPr>
        <w:t>método do maior resto</w:t>
      </w:r>
      <w:r>
        <w:rPr>
          <w:rFonts w:ascii="Arial" w:hAnsi="Arial"/>
          <w:b w:val="0"/>
          <w:color w:val="333333"/>
          <w:sz w:val="22"/>
        </w:rPr>
        <w:t>, com restrição adicional de capacidade: nenhuma fonte pode receber quantidade maior do que o número de exemplo que realmente possui. Essa restrição é fundamental — balancear não significa duplicar artificialmente um exemplo minoritário só para preencher cota, significa usar de forma mais equilibrada o dado disponível. As fontes dominantes perdem participação relativa e as menores mantêm ou ganham espaço dentro do limite real de seus registros.</w:t>
      </w:r>
    </w:p>
    <w:p>
      <w:pPr>
        <w:pStyle w:val="Heading4"/>
        <w:spacing w:before="200" w:after="80"/>
      </w:pPr>
      <w:r>
        <w:rPr>
          <w:rFonts w:ascii="Arial" w:hAnsi="Arial"/>
          <w:b/>
          <w:color w:val="1F4D78"/>
          <w:sz w:val="22"/>
        </w:rPr>
        <w:t>O efeito do balanceamento</w:t>
      </w:r>
    </w:p>
    <w:p>
      <w:pPr>
        <w:spacing w:after="160"/>
      </w:pPr>
      <w:r>
        <w:rPr>
          <w:rFonts w:ascii="Arial" w:hAnsi="Arial"/>
          <w:b w:val="0"/>
          <w:color w:val="333333"/>
          <w:sz w:val="22"/>
        </w:rPr>
        <w:t>Antes do balanceamento, a Oficina Estrela representa aproximadamente 53,8% dos exemplos de Auto; depois da amostragem por temperatura, cai para 40%. Em Saúde Empresarial, a Clínica Vitalis começa com ~61,1% e termina em 50%. A intenção não é eliminar essas fontes — continuam importantes porque representam volume real. O que se evita é permitir que o volume de uma única origem substitua a diversidade do problema.</w:t>
      </w:r>
    </w:p>
    <w:p>
      <w:pPr>
        <w:pStyle w:val="Heading4"/>
        <w:spacing w:before="200" w:after="80"/>
      </w:pPr>
      <w:r>
        <w:rPr>
          <w:rFonts w:ascii="Arial" w:hAnsi="Arial"/>
          <w:b/>
          <w:color w:val="1F4D78"/>
          <w:sz w:val="22"/>
        </w:rPr>
        <w:t>Entropia de Shannon como medida de diversidade</w:t>
      </w:r>
    </w:p>
    <w:p>
      <w:pPr>
        <w:spacing w:after="160"/>
      </w:pPr>
      <w:r>
        <w:rPr>
          <w:rFonts w:ascii="Arial" w:hAnsi="Arial"/>
          <w:b w:val="0"/>
          <w:color w:val="333333"/>
          <w:sz w:val="22"/>
        </w:rPr>
        <w:t xml:space="preserve">Dizer que o dataset ficou mais diverso ainda seria afirmação subjetiva sem uma medida. Para isso, usa-se a </w:t>
      </w:r>
      <w:r>
        <w:rPr>
          <w:rFonts w:ascii="Arial" w:hAnsi="Arial"/>
          <w:b/>
          <w:color w:val="333333"/>
          <w:sz w:val="22"/>
        </w:rPr>
        <w:t>entropia de Shannon</w:t>
      </w:r>
      <w:r>
        <w:rPr>
          <w:rFonts w:ascii="Arial" w:hAnsi="Arial"/>
          <w:b w:val="0"/>
          <w:color w:val="333333"/>
          <w:sz w:val="22"/>
        </w:rPr>
        <w:t xml:space="preserve"> sobre a distribuição das fontes — quanto mais concentrado em poucas fontes, menor a entropia; quanto mais equilibrada a distribuição, maior o valor. A aula transforma essa entropia em </w:t>
      </w:r>
      <w:r>
        <w:rPr>
          <w:rFonts w:ascii="Arial" w:hAnsi="Arial"/>
          <w:b/>
          <w:color w:val="333333"/>
          <w:sz w:val="22"/>
        </w:rPr>
        <w:t>número efetivo de fontes</w:t>
      </w:r>
      <w:r>
        <w:rPr>
          <w:rFonts w:ascii="Arial" w:hAnsi="Arial"/>
          <w:b w:val="0"/>
          <w:color w:val="333333"/>
          <w:sz w:val="22"/>
        </w:rPr>
        <w:t xml:space="preserve"> usando sua exponencial, respondendo a uma pergunta mais intuitiva: a quantas fontes igualmente representadas essa distribuição equivale? Em Auto, com quatro fontes reais, o número efetivo sobe de ~3,279 para ~3,742 depois do balanceamento; em Saúde Empresarial, com três fontes reais, de ~2,544 para ~2,814.</w:t>
      </w:r>
    </w:p>
    <w:p>
      <w:pPr>
        <w:pStyle w:val="Heading4"/>
        <w:spacing w:before="200" w:after="80"/>
      </w:pPr>
      <w:r>
        <w:rPr>
          <w:rFonts w:ascii="Arial" w:hAnsi="Arial"/>
          <w:b/>
          <w:color w:val="1F4D78"/>
          <w:sz w:val="22"/>
        </w:rPr>
        <w:t>O dataset fica menor e melhor distribuído</w:t>
      </w:r>
    </w:p>
    <w:p>
      <w:pPr>
        <w:spacing w:after="160"/>
      </w:pPr>
      <w:r>
        <w:rPr>
          <w:rFonts w:ascii="Arial" w:hAnsi="Arial"/>
          <w:b w:val="0"/>
          <w:color w:val="333333"/>
          <w:sz w:val="22"/>
        </w:rPr>
        <w:t xml:space="preserve">A demonstração começa com 47 exemplos simulados (28 de Auto, 19 de Saúde Empresarial). Depois da deduplicação, restam 44. Após o balanceamento por temperatura, o dataset final fica com </w:t>
      </w:r>
      <w:r>
        <w:rPr>
          <w:rFonts w:ascii="Arial" w:hAnsi="Arial"/>
          <w:b/>
          <w:color w:val="333333"/>
          <w:sz w:val="22"/>
        </w:rPr>
        <w:t>34 exemplos</w:t>
      </w:r>
      <w:r>
        <w:rPr>
          <w:rFonts w:ascii="Arial" w:hAnsi="Arial"/>
          <w:b w:val="0"/>
          <w:color w:val="333333"/>
          <w:sz w:val="22"/>
        </w:rPr>
        <w:t>. O resultado é um arquivo menor, com menos repetição e distribuição mais equilibrada entre fontes — exemplo concreto de por que remover exemplo pode melhorar um dataset: o objetivo não é maximizar quantidade bruta, é maximizar informação útil e cobertura da tarefa.</w:t>
      </w:r>
    </w:p>
    <w:p>
      <w:pPr>
        <w:pStyle w:val="Heading4"/>
        <w:spacing w:before="200" w:after="80"/>
      </w:pPr>
      <w:r>
        <w:rPr>
          <w:rFonts w:ascii="Arial" w:hAnsi="Arial"/>
          <w:b/>
          <w:color w:val="1F4D78"/>
          <w:sz w:val="22"/>
        </w:rPr>
        <w:t>Os testes automatizados do pipeline</w:t>
      </w:r>
    </w:p>
    <w:p>
      <w:pPr>
        <w:spacing w:after="160"/>
      </w:pPr>
      <w:r>
        <w:rPr>
          <w:rFonts w:ascii="Arial" w:hAnsi="Arial"/>
          <w:b w:val="0"/>
          <w:color w:val="333333"/>
          <w:sz w:val="22"/>
        </w:rPr>
        <w:t xml:space="preserve">O pipeline executa </w:t>
      </w:r>
      <w:r>
        <w:rPr>
          <w:rFonts w:ascii="Arial" w:hAnsi="Arial"/>
          <w:b/>
          <w:color w:val="333333"/>
          <w:sz w:val="22"/>
        </w:rPr>
        <w:t>16 testes automatizados</w:t>
      </w:r>
      <w:r>
        <w:rPr>
          <w:rFonts w:ascii="Arial" w:hAnsi="Arial"/>
          <w:b w:val="0"/>
          <w:color w:val="333333"/>
          <w:sz w:val="22"/>
        </w:rPr>
        <w:t>, verificando a aproximação do MinHash em relação à similaridade exata, o recall do LSH, a detecção das duplicatas plantadas, a restrição de capacidade no balanceamento e o comportamento das métricas de diversidade. Um dos princípios testados: suavizar a distribuição não deve reduzir a diversidade medida. Também se verifica que nenhuma fonte recebe mais exemplo do que realmente possui.</w:t>
      </w:r>
    </w:p>
    <w:p>
      <w:pPr>
        <w:pStyle w:val="Heading4"/>
        <w:spacing w:before="200" w:after="80"/>
      </w:pPr>
      <w:r>
        <w:rPr>
          <w:rFonts w:ascii="Arial" w:hAnsi="Arial"/>
          <w:b/>
          <w:color w:val="1F4D78"/>
          <w:sz w:val="22"/>
        </w:rPr>
        <w:t>Por que implementar MinHash e LSH diretamente</w:t>
      </w:r>
    </w:p>
    <w:p>
      <w:pPr>
        <w:spacing w:after="160"/>
      </w:pPr>
      <w:r>
        <w:rPr>
          <w:rFonts w:ascii="Arial" w:hAnsi="Arial"/>
          <w:b w:val="0"/>
          <w:color w:val="333333"/>
          <w:sz w:val="22"/>
        </w:rPr>
        <w:t>A aula registra uma decisão prática: no momento da construção do material, não havia biblioteca JavaScript madura resolvendo satisfatoriamente toda a combinação de MinHash e LSH Banding necessária — por isso a dupla é implementada diretamente no projeto. Isso não significa que a técnica seja didática ou exclusiva desta disciplina; MinHash e LSH aparecem em pipeline real de deduplicação de grande corpus. O ponto é que a disponibilidade de biblioteca depende do ecossistema.</w:t>
      </w:r>
    </w:p>
    <w:p>
      <w:pPr>
        <w:pStyle w:val="Heading4"/>
        <w:spacing w:before="200" w:after="80"/>
      </w:pPr>
      <w:r>
        <w:rPr>
          <w:rFonts w:ascii="Arial" w:hAnsi="Arial"/>
          <w:b/>
          <w:color w:val="1F4D78"/>
          <w:sz w:val="22"/>
        </w:rPr>
        <w:t>Qualidade e volume precisam ser medidos juntos</w:t>
      </w:r>
    </w:p>
    <w:p>
      <w:pPr>
        <w:spacing w:after="160"/>
      </w:pPr>
      <w:r>
        <w:rPr>
          <w:rFonts w:ascii="Arial" w:hAnsi="Arial"/>
          <w:b w:val="0"/>
          <w:color w:val="333333"/>
          <w:sz w:val="22"/>
        </w:rPr>
        <w:t>O aprendizado não é escolher qualidade no lugar de volume — fine-tuning continua precisando de cobertura suficiente. O que não se pode fazer é contar exemplo repetido ou concentrado como se fosse informação nova. O material volta ao LIMA: curadoria pode permitir que um conjunto menor seja mais útil do que um conjunto muito maior e menos controlado. MinHash, LSH, amostragem por temperatura e entropia fornecem mecanismo formal para transformar um conjunto bruto em dataset mais representativo.</w:t>
      </w:r>
    </w:p>
    <w:p>
      <w:pPr>
        <w:spacing w:before="120" w:after="120"/>
        <w:ind w:left="360" w:right="360"/>
        <w:shd w:val="clear" w:fill="F5F5F5"/>
        <w:pBdr>
          <w:left w:val="single" w:color="2E75B6" w:sz="4" w:space="10"/>
        </w:pBdr>
      </w:pPr>
      <w:r>
        <w:rPr>
          <w:rFonts w:ascii="Arial" w:hAnsi="Arial"/>
          <w:b w:val="0"/>
          <w:color w:val="333333"/>
          <w:sz w:val="22"/>
        </w:rPr>
        <w:t>✅ Resultado/Conclusão: a missão prática leva esse pipeline ao contexto de cada aluno — aplicar o gate de relevância, declarar esquema canônico, montar ou simular dataset com ao menos 15 exemplos de 3 fontes diferentes, executar deduplicação e balanceamento com pelo menos um teste automatizado provando o comportamento esperado. Também é válido concluir que a fonte disponível ainda não tem volume suficiente. Com esta etapa, o módulo 2 fecha o pipeline de preparação: primeiro garante-se que cada documento relevante vira exemplo válido e rastreável; agora garante-se que o conjunto não está dominado por quase-duplicata nem por poucas fontes. A partir do próximo módulo, entra conversão para o formato do provedor, upload, acompanhamento de job, hiperparâmetro e monitoramento numa API comercial gerenciada — o treinamento só começa depois que o dado passou por esse conjunto de gates.</w:t>
      </w:r>
    </w:p>
    <w:p>
      <w:pPr>
        <w:pStyle w:val="Heading2"/>
        <w:spacing w:before="360" w:after="160"/>
      </w:pPr>
      <w:r>
        <w:rPr>
          <w:rFonts w:ascii="Arial" w:hAnsi="Arial"/>
          <w:b/>
          <w:color w:val="2E74B5"/>
          <w:sz w:val="28"/>
        </w:rPr>
        <w:t>Unidade 3: Fine-Tuning via API (upload e train)</w:t>
      </w:r>
    </w:p>
    <w:p>
      <w:pPr>
        <w:pStyle w:val="Heading3"/>
        <w:spacing w:before="200" w:after="80"/>
      </w:pPr>
      <w:r>
        <w:rPr>
          <w:rFonts w:ascii="Arial" w:hAnsi="Arial"/>
          <w:b/>
          <w:color w:val="1F4D78"/>
          <w:sz w:val="24"/>
        </w:rPr>
        <w:t>Aula 1: Fine-Tuning via API (upload e train) (PT-1)</w:t>
      </w:r>
    </w:p>
    <w:p>
      <w:pPr>
        <w:pStyle w:val="Heading4"/>
        <w:spacing w:before="200" w:after="80"/>
      </w:pPr>
      <w:r>
        <w:rPr>
          <w:rFonts w:ascii="Arial" w:hAnsi="Arial"/>
          <w:b/>
          <w:color w:val="1F4D78"/>
          <w:sz w:val="22"/>
        </w:rPr>
        <w:t>Dataset pronto não significa infraestrutura garantida</w:t>
      </w:r>
    </w:p>
    <w:p>
      <w:pPr>
        <w:spacing w:after="160"/>
      </w:pPr>
      <w:r>
        <w:rPr>
          <w:rFonts w:ascii="Arial" w:hAnsi="Arial"/>
          <w:b w:val="0"/>
          <w:color w:val="333333"/>
          <w:sz w:val="22"/>
        </w:rPr>
        <w:t>O módulo anterior fechou a preparação do dataset da Amplitude — gate de relevância, OCR, parsing tolerante, validação, PII scrubbing, deduplicação com MinHash e LSH, balanceamento por temperatura, entropia de Shannon. Seria natural começar este capítulo enviando imediatamente esse dataset a algum provedor — mas existe decisão arquitetural anterior: o provedor que parecia óbvio quando a disciplina foi planejada pode não continuar disponível quando o pipeline chegar à produção. Fine-tuning via API comercial gerenciada depende de um terceiro, que pode alterar produto, modelo, política de acesso ou estratégia comercial independentemente da utilidade que aquela API tem para o sistema.</w:t>
      </w:r>
    </w:p>
    <w:p>
      <w:pPr>
        <w:pStyle w:val="Heading4"/>
        <w:spacing w:before="200" w:after="80"/>
      </w:pPr>
      <w:r>
        <w:rPr>
          <w:rFonts w:ascii="Arial" w:hAnsi="Arial"/>
          <w:b/>
          <w:color w:val="1F4D78"/>
          <w:sz w:val="22"/>
        </w:rPr>
        <w:t>Fine-tuning via API como segunda decisão</w:t>
      </w:r>
    </w:p>
    <w:p>
      <w:pPr>
        <w:spacing w:after="160"/>
      </w:pPr>
      <w:r>
        <w:rPr>
          <w:rFonts w:ascii="Arial" w:hAnsi="Arial"/>
          <w:b w:val="0"/>
          <w:color w:val="333333"/>
          <w:sz w:val="22"/>
        </w:rPr>
        <w:t>No módulo 1, o Decision Framework respondeu se fine-tuning valia a pena — primeira decisão. No módulo 2, tratou-se a condição que sustenta qualquer treinamento: dado relevante, estruturado, validado, higienizado, deduplicado e diverso. Agora começa a segunda decisão: como treinar — API gerenciada na nuvem (módulo 3) ou caminho local com LoRA (módulo 4). Essa separação precisa permanecer explícita: aprovar fine-tuning não significa que API gerenciada seja automaticamente a melhor técnica.</w:t>
      </w:r>
    </w:p>
    <w:p>
      <w:pPr>
        <w:pStyle w:val="Heading4"/>
        <w:spacing w:before="200" w:after="80"/>
      </w:pPr>
      <w:r>
        <w:rPr>
          <w:rFonts w:ascii="Arial" w:hAnsi="Arial"/>
          <w:b/>
          <w:color w:val="1F4D78"/>
          <w:sz w:val="22"/>
        </w:rPr>
        <w:t>O risco de depender de um único provedor</w:t>
      </w:r>
    </w:p>
    <w:p>
      <w:pPr>
        <w:spacing w:after="160"/>
      </w:pPr>
      <w:r>
        <w:rPr>
          <w:rFonts w:ascii="Arial" w:hAnsi="Arial"/>
          <w:b w:val="0"/>
          <w:color w:val="333333"/>
          <w:sz w:val="22"/>
        </w:rPr>
        <w:t xml:space="preserve">Durante a preparação desta disciplina, </w:t>
      </w:r>
      <w:r>
        <w:rPr>
          <w:rFonts w:ascii="Arial" w:hAnsi="Arial"/>
          <w:b/>
          <w:color w:val="333333"/>
          <w:sz w:val="22"/>
        </w:rPr>
        <w:t>dois provedores</w:t>
      </w:r>
      <w:r>
        <w:rPr>
          <w:rFonts w:ascii="Arial" w:hAnsi="Arial"/>
          <w:b w:val="0"/>
          <w:color w:val="333333"/>
          <w:sz w:val="22"/>
        </w:rPr>
        <w:t xml:space="preserve"> que eram escolha natural para fine-tuning via API mudaram de disponibilidade. O material registra que o self-service de fine-tuning da OpenAI entrou em processo de descontinuação para novos acessos e conta inativa, com desligamento completo previsto em etapa; e que a API pública do Gemini para fine-tuning já havia sido encerrada antes. O ponto não é concluir que esses provedores são ruins — é exatamente o contrário: eram nomes centrais quando se falava em fine-tuning gerenciado. Se serviços tão conhecidos mudam num intervalo relativamente curto, disponibilidade precisa fazer parte da arquitetura. Um tutorial antigo pode continuar correto conceitualmente e ainda apontar para fluxo que já não existe — quem constrói produção precisa verificar a capacidade real do provedor </w:t>
      </w:r>
      <w:r>
        <w:rPr>
          <w:rFonts w:ascii="Arial" w:hAnsi="Arial"/>
          <w:b/>
          <w:color w:val="333333"/>
          <w:sz w:val="22"/>
        </w:rPr>
        <w:t>na data em que vai usar</w:t>
      </w:r>
      <w:r>
        <w:rPr>
          <w:rFonts w:ascii="Arial" w:hAnsi="Arial"/>
          <w:b w:val="0"/>
          <w:color w:val="333333"/>
          <w:sz w:val="22"/>
        </w:rPr>
        <w:t>, não confiar em documentação histórica ou exemplo de curso.</w:t>
      </w:r>
    </w:p>
    <w:p>
      <w:pPr>
        <w:pStyle w:val="Heading4"/>
        <w:spacing w:before="200" w:after="80"/>
      </w:pPr>
      <w:r>
        <w:rPr>
          <w:rFonts w:ascii="Arial" w:hAnsi="Arial"/>
          <w:b/>
          <w:color w:val="1F4D78"/>
          <w:sz w:val="22"/>
        </w:rPr>
        <w:t>Diligência de provedor como parte da arquitetura</w:t>
      </w:r>
    </w:p>
    <w:p>
      <w:pPr>
        <w:spacing w:after="160"/>
      </w:pPr>
      <w:r>
        <w:rPr>
          <w:rFonts w:ascii="Arial" w:hAnsi="Arial"/>
          <w:b w:val="0"/>
          <w:color w:val="333333"/>
          <w:sz w:val="22"/>
        </w:rPr>
        <w:t xml:space="preserve">A Camila não aprova provedor só porque ele possui documentação e API funcional — a pergunta é de continuidade operacional: se o time precisar retreinar o modelo seis meses depois, o serviço continuará disponível? O modelo base continuará suportado? O acesso continuará self-service? Essa diligência evita que uma solução tecnicamente correta se torne operacionalmente frágil. Fine-tuning não é evento isolado — o modelo será versionado, reavaliado e possivelmente retreinado; se a infraestrutura do primeiro ciclo desaparecer, a manutenção futura fica comprometida. A escolha de provedor precisa considerar disponibilidade, integração, suporte, governança e </w:t>
      </w:r>
      <w:r>
        <w:rPr>
          <w:rFonts w:ascii="Arial" w:hAnsi="Arial"/>
          <w:b/>
          <w:color w:val="333333"/>
          <w:sz w:val="22"/>
        </w:rPr>
        <w:t>estratégia de saída</w:t>
      </w:r>
      <w:r>
        <w:rPr>
          <w:rFonts w:ascii="Arial" w:hAnsi="Arial"/>
          <w:b w:val="0"/>
          <w:color w:val="333333"/>
          <w:sz w:val="22"/>
        </w:rPr>
        <w:t>.</w:t>
      </w:r>
    </w:p>
    <w:p>
      <w:pPr>
        <w:pStyle w:val="Heading4"/>
        <w:spacing w:before="200" w:after="80"/>
      </w:pPr>
      <w:r>
        <w:rPr>
          <w:rFonts w:ascii="Arial" w:hAnsi="Arial"/>
          <w:b/>
          <w:color w:val="1F4D78"/>
          <w:sz w:val="22"/>
        </w:rPr>
        <w:t>O provedor adotado na disciplina</w:t>
      </w:r>
    </w:p>
    <w:p>
      <w:pPr>
        <w:spacing w:after="160"/>
      </w:pPr>
      <w:r>
        <w:rPr>
          <w:rFonts w:ascii="Arial" w:hAnsi="Arial"/>
          <w:b w:val="0"/>
          <w:color w:val="333333"/>
          <w:sz w:val="22"/>
        </w:rPr>
        <w:t xml:space="preserve">O caminho escolhido é o </w:t>
      </w:r>
      <w:r>
        <w:rPr>
          <w:rFonts w:ascii="Arial" w:hAnsi="Arial"/>
          <w:b/>
          <w:color w:val="333333"/>
          <w:sz w:val="22"/>
        </w:rPr>
        <w:t>Vertex AI</w:t>
      </w:r>
      <w:r>
        <w:rPr>
          <w:rFonts w:ascii="Arial" w:hAnsi="Arial"/>
          <w:b w:val="0"/>
          <w:color w:val="333333"/>
          <w:sz w:val="22"/>
        </w:rPr>
        <w:t xml:space="preserve"> dentro do Google Cloud, apresentado sob a marca da plataforma empresarial do Gemini. A escolha não é por falta de alternativa — o conteúdo cita Azure OpenAI, Together AI, Fireworks e Mistral como opções que continuam relevantes. O Vertex AI é escolhido principalmente por </w:t>
      </w:r>
      <w:r>
        <w:rPr>
          <w:rFonts w:ascii="Arial" w:hAnsi="Arial"/>
          <w:b/>
          <w:color w:val="333333"/>
          <w:sz w:val="22"/>
        </w:rPr>
        <w:t>integração com o restante do stack</w:t>
      </w:r>
      <w:r>
        <w:rPr>
          <w:rFonts w:ascii="Arial" w:hAnsi="Arial"/>
          <w:b w:val="0"/>
          <w:color w:val="333333"/>
          <w:sz w:val="22"/>
        </w:rPr>
        <w:t xml:space="preserve"> usado na disciplina — armazenamento, identidade, permissão, faturamento e cota ficam dentro do mesmo ecossistema de nuvem. Isso reduz a quantidade de peça nova introduzida só para treinar; o modelo ajustado pode ser tratado como mais um artefato governado dentro da infraestrutura de cloud do projeto.</w:t>
      </w:r>
    </w:p>
    <w:p>
      <w:pPr>
        <w:pStyle w:val="Heading4"/>
        <w:spacing w:before="200" w:after="80"/>
      </w:pPr>
      <w:r>
        <w:rPr>
          <w:rFonts w:ascii="Arial" w:hAnsi="Arial"/>
          <w:b/>
          <w:color w:val="1F4D78"/>
          <w:sz w:val="22"/>
        </w:rPr>
        <w:t>O processo genérico de fine-tuning gerenciado</w:t>
      </w:r>
    </w:p>
    <w:p>
      <w:pPr>
        <w:spacing w:after="160"/>
      </w:pPr>
      <w:r>
        <w:rPr>
          <w:rFonts w:ascii="Arial" w:hAnsi="Arial"/>
          <w:b w:val="0"/>
          <w:color w:val="333333"/>
          <w:sz w:val="22"/>
        </w:rPr>
        <w:t xml:space="preserve">Mesmo com diferença entre provedor, o processo costuma seguir </w:t>
      </w:r>
      <w:r>
        <w:rPr>
          <w:rFonts w:ascii="Arial" w:hAnsi="Arial"/>
          <w:b/>
          <w:color w:val="333333"/>
          <w:sz w:val="22"/>
        </w:rPr>
        <w:t>cinco passos</w:t>
      </w:r>
      <w:r>
        <w:rPr>
          <w:rFonts w:ascii="Arial" w:hAnsi="Arial"/>
          <w:b w:val="0"/>
          <w:color w:val="333333"/>
          <w:sz w:val="22"/>
        </w:rPr>
        <w:t>: (1) preparar dataset no formato exato esperado pelo provedor; (2) enviar para armazenamento acessível ao serviço; (3) configurar o job escolhendo modelo base e hiperparâmetro; (4) executar treinamento gerenciado na nuvem; (5) monitorar até sucesso ou falha. Essa sequência é suficientemente estável para ser tratada como arquitetura — o que muda de provedor para provedor é o contrato concreto: formato de dado, SDK, nome de parâmetro, modelo disponível e superfície de monitoramento.</w:t>
      </w:r>
    </w:p>
    <w:p>
      <w:pPr>
        <w:spacing w:after="160"/>
      </w:pPr>
      <w:r>
        <w:rPr>
          <w:rFonts w:ascii="Arial" w:hAnsi="Arial"/>
          <w:b/>
          <w:color w:val="333333"/>
          <w:sz w:val="22"/>
        </w:rPr>
        <w:t>Passo 1 — converter o dataset</w:t>
      </w:r>
      <w:r>
        <w:rPr>
          <w:rFonts w:ascii="Arial" w:hAnsi="Arial"/>
          <w:b w:val="0"/>
          <w:color w:val="333333"/>
          <w:sz w:val="22"/>
        </w:rPr>
        <w:t>: o esquema canônico de quatro campos não precisa ser o mesmo formato consumido pelo provedor — cada serviço pode exigir estrutura específica, muitas vezes JSONL com papéis system/user/model. É aqui que o investimento no formato intermediário se paga — não se reescreve gate de relevância, OCR, PII scrubbing, dedup e balanceamento toda vez que troca de provedor; mantém-se o pipeline de dado independente e adiciona-se etapa de adaptação no final. Se o fornecedor mudar, substitui-se o conversor de saída, não o processo inteiro.</w:t>
      </w:r>
    </w:p>
    <w:p>
      <w:pPr>
        <w:spacing w:after="160"/>
      </w:pPr>
      <w:r>
        <w:rPr>
          <w:rFonts w:ascii="Arial" w:hAnsi="Arial"/>
          <w:b/>
          <w:color w:val="333333"/>
          <w:sz w:val="22"/>
        </w:rPr>
        <w:t>Passo 2 — fazer upload</w:t>
      </w:r>
      <w:r>
        <w:rPr>
          <w:rFonts w:ascii="Arial" w:hAnsi="Arial"/>
          <w:b w:val="0"/>
          <w:color w:val="333333"/>
          <w:sz w:val="22"/>
        </w:rPr>
        <w:t>: em ambiente gerenciado, normalmente significa armazenar o arquivo num bucket ou serviço equivalente, com caminho endereçável e permissão de leitura para o serviço de treinamento. Um arquivo correto pode falhar se o serviço não tiver acesso ao bucket, se a região estiver incompatível ou a política de identidade estiver incorreta — upload não é só copiar arquivo, faz parte do contrato entre pipeline de dado, armazenamento e infraestrutura de treinamento.</w:t>
      </w:r>
    </w:p>
    <w:p>
      <w:pPr>
        <w:spacing w:after="160"/>
      </w:pPr>
      <w:r>
        <w:rPr>
          <w:rFonts w:ascii="Arial" w:hAnsi="Arial"/>
          <w:b/>
          <w:color w:val="333333"/>
          <w:sz w:val="22"/>
        </w:rPr>
        <w:t>Passo 3 — configurar o job</w:t>
      </w:r>
      <w:r>
        <w:rPr>
          <w:rFonts w:ascii="Arial" w:hAnsi="Arial"/>
          <w:b w:val="0"/>
          <w:color w:val="333333"/>
          <w:sz w:val="22"/>
        </w:rPr>
        <w:t>: escolha do modelo base e hiperparâmetro (época, taxa de aprendizado, tamanho de batch). Cada provedor define faixa e nome próprios, mas a função conceitual continua a mesma — controlar quanto e como o modelo será ajustado.</w:t>
      </w:r>
    </w:p>
    <w:p>
      <w:pPr>
        <w:spacing w:after="160"/>
      </w:pPr>
      <w:r>
        <w:rPr>
          <w:rFonts w:ascii="Arial" w:hAnsi="Arial"/>
          <w:b/>
          <w:color w:val="333333"/>
          <w:sz w:val="22"/>
        </w:rPr>
        <w:t>Passo 4 — treinamento gerenciado</w:t>
      </w:r>
      <w:r>
        <w:rPr>
          <w:rFonts w:ascii="Arial" w:hAnsi="Arial"/>
          <w:b w:val="0"/>
          <w:color w:val="333333"/>
          <w:sz w:val="22"/>
        </w:rPr>
        <w:t>: o provedor executa; não se administra diretamente GPU, processo distribuído ou carregamento de modelo — reduz complexidade operacional em troca de depender de fila, disponibilidade, modelo suportado, limite e preço definidos pelo provedor.</w:t>
      </w:r>
    </w:p>
    <w:p>
      <w:pPr>
        <w:spacing w:after="160"/>
      </w:pPr>
      <w:r>
        <w:rPr>
          <w:rFonts w:ascii="Arial" w:hAnsi="Arial"/>
          <w:b/>
          <w:color w:val="333333"/>
          <w:sz w:val="22"/>
        </w:rPr>
        <w:t>Passo 5 — monitorar o job</w:t>
      </w:r>
      <w:r>
        <w:rPr>
          <w:rFonts w:ascii="Arial" w:hAnsi="Arial"/>
          <w:b w:val="0"/>
          <w:color w:val="333333"/>
          <w:sz w:val="22"/>
        </w:rPr>
        <w:t>: um job passa por estados como pending, running, succeeded ou failed. Falha também é informação útil — pode ser formato inválido, hiperparâmetro rejeitado, cota ou permissão. O pipeline de produção precisa saber identificar quando o job terminou e qual artefato foi produzido.</w:t>
      </w:r>
    </w:p>
    <w:p>
      <w:pPr>
        <w:pStyle w:val="Heading4"/>
        <w:spacing w:before="200" w:after="80"/>
      </w:pPr>
      <w:r>
        <w:rPr>
          <w:rFonts w:ascii="Arial" w:hAnsi="Arial"/>
          <w:b/>
          <w:color w:val="1F4D78"/>
          <w:sz w:val="22"/>
        </w:rPr>
        <w:t>Escala de tempo do processo</w:t>
      </w:r>
    </w:p>
    <w:p>
      <w:pPr>
        <w:spacing w:after="160"/>
      </w:pPr>
      <w:r>
        <w:rPr>
          <w:rFonts w:ascii="Arial" w:hAnsi="Arial"/>
          <w:b w:val="0"/>
          <w:color w:val="333333"/>
          <w:sz w:val="22"/>
        </w:rPr>
        <w:t xml:space="preserve">Preparar e subir o dataset tende a ser rápido para a escala da Amplitude — mesmo depois de dedup e balanceamento, são centenas de exemplo, não milhões. Configurar o job também é operação curta. O tempo real está no treinamento. Isso prepara uma comparação para o módulo 4: tanto na nuvem quanto localmente, um dataset pequeno pode levar minutos — a diferença estrutural não é só duração, é </w:t>
      </w:r>
      <w:r>
        <w:rPr>
          <w:rFonts w:ascii="Arial" w:hAnsi="Arial"/>
          <w:b/>
          <w:color w:val="333333"/>
          <w:sz w:val="22"/>
        </w:rPr>
        <w:t>quem controla e paga</w:t>
      </w:r>
      <w:r>
        <w:rPr>
          <w:rFonts w:ascii="Arial" w:hAnsi="Arial"/>
          <w:b w:val="0"/>
          <w:color w:val="333333"/>
          <w:sz w:val="22"/>
        </w:rPr>
        <w:t xml:space="preserve"> por aquele tempo. No serviço gerenciado, existe fila e infraestrutura compartilhada; no treinamento local, a máquina está sob controle próprio, desde que haja hardware suficiente.</w:t>
      </w:r>
    </w:p>
    <w:p>
      <w:pPr>
        <w:pStyle w:val="Heading4"/>
        <w:spacing w:before="200" w:after="80"/>
      </w:pPr>
      <w:r>
        <w:rPr>
          <w:rFonts w:ascii="Arial" w:hAnsi="Arial"/>
          <w:b/>
          <w:color w:val="1F4D78"/>
          <w:sz w:val="22"/>
        </w:rPr>
        <w:t>Cada treinamento gera um artefato versionado</w:t>
      </w:r>
    </w:p>
    <w:p>
      <w:pPr>
        <w:spacing w:after="160"/>
      </w:pPr>
      <w:r>
        <w:rPr>
          <w:rFonts w:ascii="Arial" w:hAnsi="Arial"/>
          <w:b w:val="0"/>
          <w:color w:val="333333"/>
          <w:sz w:val="22"/>
        </w:rPr>
        <w:t xml:space="preserve">O resultado de um treinamento não deve ser tratado como um modelo que muda silenciosamente. Cada novo ciclo com dataset ou hiperparâmetro diferente gera um </w:t>
      </w:r>
      <w:r>
        <w:rPr>
          <w:rFonts w:ascii="Arial" w:hAnsi="Arial"/>
          <w:b/>
          <w:color w:val="333333"/>
          <w:sz w:val="22"/>
        </w:rPr>
        <w:t>novo checkpoint ou endpoint versionado</w:t>
      </w:r>
      <w:r>
        <w:rPr>
          <w:rFonts w:ascii="Arial" w:hAnsi="Arial"/>
          <w:b w:val="0"/>
          <w:color w:val="333333"/>
          <w:sz w:val="22"/>
        </w:rPr>
        <w:t xml:space="preserve"> — retreinar não deveria substituir o artefato anterior sem rastreabilidade. A produção precisa saber qual versão está atendendo, com qual dataset e configuração. Isso se conecta ao módulo de versionamento e documentação, em que o modelo fine-tunado passa a ser tratado como artefato de software e de machine learning, não como estado invisível do provedor.</w:t>
      </w:r>
    </w:p>
    <w:p>
      <w:pPr>
        <w:pStyle w:val="Heading4"/>
        <w:spacing w:before="200" w:after="80"/>
      </w:pPr>
      <w:r>
        <w:rPr>
          <w:rFonts w:ascii="Arial" w:hAnsi="Arial"/>
          <w:b/>
          <w:color w:val="1F4D78"/>
          <w:sz w:val="22"/>
        </w:rPr>
        <w:t>Vertex AI dentro do ecossistema Google Cloud</w:t>
      </w:r>
    </w:p>
    <w:p>
      <w:pPr>
        <w:spacing w:after="160"/>
      </w:pPr>
      <w:r>
        <w:rPr>
          <w:rFonts w:ascii="Arial" w:hAnsi="Arial"/>
          <w:b w:val="0"/>
          <w:color w:val="333333"/>
          <w:sz w:val="22"/>
        </w:rPr>
        <w:t>O Vertex AI adotado não deve ser confundido com a antiga API pública do Gemini que oferecia fine-tuning diretamente por API key — aqui trabalha-se com plataforma gerenciada de Google Cloud, integrada a IAM, armazenamento, cota, faturamento e registro de modelo. O fluxo passa por dataset em bucket, job supervisionado e endpoint publicado ao final. Existe ainda ponto importante sobre ciclo de vida — o próprio material registra que versão específica do Gemini possui data de retirada anunciada; o nome exato do modelo usado numa demonstração pode mudar quando o aluno executar o exercício. O processo arquitetural continua válido: escolher versão vigente com suporte a fine-tuning supervisionado e verificar documentação atual antes de montar o job.</w:t>
      </w:r>
    </w:p>
    <w:p>
      <w:pPr>
        <w:pStyle w:val="Heading4"/>
        <w:spacing w:before="200" w:after="80"/>
      </w:pPr>
      <w:r>
        <w:rPr>
          <w:rFonts w:ascii="Arial" w:hAnsi="Arial"/>
          <w:b/>
          <w:color w:val="1F4D78"/>
          <w:sz w:val="22"/>
        </w:rPr>
        <w:t>Validação prática antes dos dados reais</w:t>
      </w:r>
    </w:p>
    <w:p>
      <w:pPr>
        <w:spacing w:after="160"/>
      </w:pPr>
      <w:r>
        <w:rPr>
          <w:rFonts w:ascii="Arial" w:hAnsi="Arial"/>
          <w:b w:val="0"/>
          <w:color w:val="333333"/>
          <w:sz w:val="22"/>
        </w:rPr>
        <w:t>Antes de levar o dataset real ao provedor, valida-se o caminho completo com dado sintético — 32 exemplos separados dos conjuntos usados no módulo 2, sem intenção de avaliar qualidade do modelo, só verificar infraestrutura e compatibilidade. O job passa por pending, running, e chega a succeeded em pouco menos de meia hora; custo estimado abaixo de um centavo de dólar; endpoint publicado ao final. Essa execução confirma quatro pontos que documentação nenhuma garante sozinha: a conversão do schema foi aceita, o upload funcionou com permissão correta, os hiperparâmetros foram aceitos, e o status reportado pela API correspondeu ao que aparecia no console. É esse tipo de teste ponta a ponta que se quer antes de colocar dado real no pipeline.</w:t>
      </w:r>
    </w:p>
    <w:p>
      <w:pPr>
        <w:pStyle w:val="Heading4"/>
        <w:spacing w:before="200" w:after="80"/>
      </w:pPr>
      <w:r>
        <w:rPr>
          <w:rFonts w:ascii="Arial" w:hAnsi="Arial"/>
          <w:b/>
          <w:color w:val="1F4D78"/>
          <w:sz w:val="22"/>
        </w:rPr>
        <w:t>Governança precisa ser reavaliada ao trocar de provedor</w:t>
      </w:r>
    </w:p>
    <w:p>
      <w:pPr>
        <w:spacing w:after="160"/>
      </w:pPr>
      <w:r>
        <w:rPr>
          <w:rFonts w:ascii="Arial" w:hAnsi="Arial"/>
          <w:b w:val="0"/>
          <w:color w:val="333333"/>
          <w:sz w:val="22"/>
        </w:rPr>
        <w:t>A troca de provedor reabre a questão de governança — uma base legal e um DPA aprovados para um serviço não se transferem automaticamente para outro; cada provedor tem contrato, condição de processamento e responsabilidade próprios. Se o motivo da troca foi descontinuação de mercado, a revisão ainda precisa acontecer. Governança não é uma etapa marcada uma vez e esquecida — acompanha mudança de infraestrutura e de fluxo de dado.</w:t>
      </w:r>
    </w:p>
    <w:p>
      <w:pPr>
        <w:spacing w:before="120" w:after="120"/>
        <w:ind w:left="360" w:right="360"/>
        <w:shd w:val="clear" w:fill="F5F5F5"/>
        <w:pBdr>
          <w:left w:val="single" w:color="2E75B6" w:sz="4" w:space="10"/>
        </w:pBdr>
      </w:pPr>
      <w:r>
        <w:rPr>
          <w:rFonts w:ascii="Arial" w:hAnsi="Arial"/>
          <w:b w:val="0"/>
          <w:color w:val="333333"/>
          <w:sz w:val="22"/>
        </w:rPr>
        <w:t>✅ Resultado/Conclusão: com dataset preparado e provedor validado, o próximo passo é juntar as duas partes — o conjunto que passou por relevância, extração, validação, higienização, deduplicação e balanceamento será convertido para o formato esperado pelo Vertex AI, enviado ao armazenamento e usado na criação de um job real. A partir daqui, fine-tuning deixa de ser apenas decisão e problema de preparação — passa a ser pipeline operacional completo, no qual qualidade do dataset, contrato com provedor, versionamento e monitoramento precisam funcionar juntos.</w:t>
      </w:r>
    </w:p>
    <w:p>
      <w:pPr>
        <w:pStyle w:val="Heading3"/>
        <w:spacing w:before="200" w:after="80"/>
      </w:pPr>
      <w:r>
        <w:rPr>
          <w:rFonts w:ascii="Arial" w:hAnsi="Arial"/>
          <w:b/>
          <w:color w:val="1F4D78"/>
          <w:sz w:val="24"/>
        </w:rPr>
        <w:t>Aula 2: Fine-Tuning via API (upload e train) (PT-2)</w:t>
      </w:r>
    </w:p>
    <w:p>
      <w:pPr>
        <w:pStyle w:val="Heading4"/>
        <w:spacing w:before="200" w:after="80"/>
      </w:pPr>
      <w:r>
        <w:rPr>
          <w:rFonts w:ascii="Arial" w:hAnsi="Arial"/>
          <w:b/>
          <w:color w:val="1F4D78"/>
          <w:sz w:val="22"/>
        </w:rPr>
        <w:t>Chegou a hora de usar os dados reais</w:t>
      </w:r>
    </w:p>
    <w:p>
      <w:pPr>
        <w:spacing w:after="160"/>
      </w:pPr>
      <w:r>
        <w:rPr>
          <w:rFonts w:ascii="Arial" w:hAnsi="Arial"/>
          <w:b w:val="0"/>
          <w:color w:val="333333"/>
          <w:sz w:val="22"/>
        </w:rPr>
        <w:t>Até aqui, nenhuma execução de fine-tuning havia usado o dataset real dos casos de Auto e Saúde Empresarial. Agora avança-se sobre os dois primeiros passos do processo genérico: preparar o dataset no formato exato esperado pelo provedor e fazer o upload, acompanhando o job até o final. A demonstração também valida a conversão do esquema canônico, aplica o gate de confiança de OCR, escala o pipeline formal do módulo 2, reavalia Saúde Empresarial com o mesmo Decision Framework, e consulta o estado de um job real na API do Google Cloud.</w:t>
      </w:r>
    </w:p>
    <w:p>
      <w:pPr>
        <w:pStyle w:val="Heading4"/>
        <w:spacing w:before="200" w:after="80"/>
      </w:pPr>
      <w:r>
        <w:rPr>
          <w:rFonts w:ascii="Arial" w:hAnsi="Arial"/>
          <w:b/>
          <w:color w:val="1F4D78"/>
          <w:sz w:val="22"/>
        </w:rPr>
        <w:t>Por que o job já existe antes da gravação</w:t>
      </w:r>
    </w:p>
    <w:p>
      <w:pPr>
        <w:spacing w:after="160"/>
      </w:pPr>
      <w:r>
        <w:rPr>
          <w:rFonts w:ascii="Arial" w:hAnsi="Arial"/>
          <w:b w:val="0"/>
          <w:color w:val="333333"/>
          <w:sz w:val="22"/>
        </w:rPr>
        <w:t xml:space="preserve">O job apresentado foi criado antes da gravação — não significa resultado simulado. A razão é operacional: um fine-tuning real leva dezenas de minutos, e não faria sentido manter a aula parada esperando a infraestrutura concluir. O que se executa ao vivo é uma </w:t>
      </w:r>
      <w:r>
        <w:rPr>
          <w:rFonts w:ascii="Arial" w:hAnsi="Arial"/>
          <w:b/>
          <w:color w:val="333333"/>
          <w:sz w:val="22"/>
        </w:rPr>
        <w:t>consulta de status real</w:t>
      </w:r>
      <w:r>
        <w:rPr>
          <w:rFonts w:ascii="Arial" w:hAnsi="Arial"/>
          <w:b w:val="0"/>
          <w:color w:val="333333"/>
          <w:sz w:val="22"/>
        </w:rPr>
        <w:t xml:space="preserve"> contra a API do provedor, usando token de acesso gerado pelo gcloud na máquina local. A distinção importa: o treinamento foi real, com dataset real, e a API consultada durante a aula também é real — só a espera entre criação e término foi retirada da gravação.</w:t>
      </w:r>
    </w:p>
    <w:p>
      <w:pPr>
        <w:pStyle w:val="Heading4"/>
        <w:spacing w:before="200" w:after="80"/>
      </w:pPr>
      <w:r>
        <w:rPr>
          <w:rFonts w:ascii="Arial" w:hAnsi="Arial"/>
          <w:b/>
          <w:color w:val="1F4D78"/>
          <w:sz w:val="22"/>
        </w:rPr>
        <w:t>Do esquema canônico ao formato do Vertex AI</w:t>
      </w:r>
    </w:p>
    <w:p>
      <w:pPr>
        <w:spacing w:after="160"/>
      </w:pPr>
      <w:r>
        <w:rPr>
          <w:rFonts w:ascii="Arial" w:hAnsi="Arial"/>
          <w:b w:val="0"/>
          <w:color w:val="333333"/>
          <w:sz w:val="22"/>
        </w:rPr>
        <w:t xml:space="preserve">O módulo 2 definiu deliberadamente um esquema canônico genérico separando preparação de dado da formatação específica de fornecedor. Agora esse desenho começa a pagar o investimento: para o formato do Vertex AI, instrução e entrada são combinadas no </w:t>
      </w:r>
      <w:r>
        <w:rPr>
          <w:rFonts w:ascii="Arial" w:hAnsi="Arial"/>
          <w:b/>
          <w:color w:val="333333"/>
          <w:sz w:val="22"/>
        </w:rPr>
        <w:t>turno do usuário</w:t>
      </w:r>
      <w:r>
        <w:rPr>
          <w:rFonts w:ascii="Arial" w:hAnsi="Arial"/>
          <w:b w:val="0"/>
          <w:color w:val="333333"/>
          <w:sz w:val="22"/>
        </w:rPr>
        <w:t xml:space="preserve">; a saída esperada vira o </w:t>
      </w:r>
      <w:r>
        <w:rPr>
          <w:rFonts w:ascii="Arial" w:hAnsi="Arial"/>
          <w:b/>
          <w:color w:val="333333"/>
          <w:sz w:val="22"/>
        </w:rPr>
        <w:t>turno do modelo</w:t>
      </w:r>
      <w:r>
        <w:rPr>
          <w:rFonts w:ascii="Arial" w:hAnsi="Arial"/>
          <w:b w:val="0"/>
          <w:color w:val="333333"/>
          <w:sz w:val="22"/>
        </w:rPr>
        <w:t>, preservada como o JSON exato que o extrator precisa aprender a devolver. Cada exemplo passa a ter dois turnos. Essa camada de adaptação é pequena porque limpeza, gate de relevância, deduplicação, balanceamento e demais decisões continuam independentes do provedor — se o mercado mudar de novo, altera-se o conversor final, não o pipeline inteiro.</w:t>
      </w:r>
    </w:p>
    <w:p>
      <w:pPr>
        <w:pStyle w:val="Heading4"/>
        <w:spacing w:before="200" w:after="80"/>
      </w:pPr>
      <w:r>
        <w:rPr>
          <w:rFonts w:ascii="Arial" w:hAnsi="Arial"/>
          <w:b/>
          <w:color w:val="1F4D78"/>
          <w:sz w:val="22"/>
        </w:rPr>
        <w:t>Onde começa a orquestração real de nuvem</w:t>
      </w:r>
    </w:p>
    <w:p>
      <w:pPr>
        <w:spacing w:after="160"/>
      </w:pPr>
      <w:r>
        <w:rPr>
          <w:rFonts w:ascii="Arial" w:hAnsi="Arial"/>
          <w:b w:val="0"/>
          <w:color w:val="333333"/>
          <w:sz w:val="22"/>
        </w:rPr>
        <w:t>Existe fronteira clara entre o que roda localmente e o que consome infraestrutura do Google Cloud. A conversão do dataset e o gate de OCR acontecem localmente; só depois, ao obter credenciais e interagir com serviço de nuvem, entra-se de fato na orquestração do Vertex AI. Para quem quiser configurar o próprio projeto, existe um guia opcional de setup do GCP — essa separação permite testar conversão e regra de qualidade sem depender de credencial, cota ou custo de nuvem.</w:t>
      </w:r>
    </w:p>
    <w:p>
      <w:pPr>
        <w:pStyle w:val="Heading4"/>
        <w:spacing w:before="200" w:after="80"/>
      </w:pPr>
      <w:r>
        <w:rPr>
          <w:rFonts w:ascii="Arial" w:hAnsi="Arial"/>
          <w:b/>
          <w:color w:val="1F4D78"/>
          <w:sz w:val="22"/>
        </w:rPr>
        <w:t>Testando a conversão antes do upload</w:t>
      </w:r>
    </w:p>
    <w:p>
      <w:pPr>
        <w:spacing w:after="160"/>
      </w:pPr>
      <w:r>
        <w:rPr>
          <w:rFonts w:ascii="Arial" w:hAnsi="Arial"/>
          <w:b w:val="0"/>
          <w:color w:val="333333"/>
          <w:sz w:val="22"/>
        </w:rPr>
        <w:t xml:space="preserve">O primeiro bloco executa </w:t>
      </w:r>
      <w:r>
        <w:rPr>
          <w:rFonts w:ascii="Arial" w:hAnsi="Arial"/>
          <w:b/>
          <w:color w:val="333333"/>
          <w:sz w:val="22"/>
        </w:rPr>
        <w:t>13 testes automatizados</w:t>
      </w:r>
      <w:r>
        <w:rPr>
          <w:rFonts w:ascii="Arial" w:hAnsi="Arial"/>
          <w:b w:val="0"/>
          <w:color w:val="333333"/>
          <w:sz w:val="22"/>
        </w:rPr>
        <w:t>, confirmando que cada exemplo convertido sempre possui dois turnos, que o turno do usuário carrega instrução e entrada completas, e que o turno do modelo contém exatamente o JSON esperado. Também se verificam os casos inválidos — exemplo sem instrução, entrada ou saída é rejeitado antes de qualquer upload, impedindo que um erro simples de preparação chegue ao job gerenciado e só seja descoberto depois de alocar recurso de treinamento. A suíte também testa o gate de confiança de OCR, garantindo que exemplos sejam aprovados, encaminhados para revisão humana ou ignorados pelo motivo correto.</w:t>
      </w:r>
    </w:p>
    <w:p>
      <w:pPr>
        <w:pStyle w:val="Heading4"/>
        <w:spacing w:before="200" w:after="80"/>
      </w:pPr>
      <w:r>
        <w:rPr>
          <w:rFonts w:ascii="Arial" w:hAnsi="Arial"/>
          <w:b/>
          <w:color w:val="1F4D78"/>
          <w:sz w:val="22"/>
        </w:rPr>
        <w:t>Convertendo exemplos reais</w:t>
      </w:r>
    </w:p>
    <w:p>
      <w:pPr>
        <w:spacing w:after="160"/>
      </w:pPr>
      <w:r>
        <w:rPr>
          <w:rFonts w:ascii="Arial" w:hAnsi="Arial"/>
          <w:b w:val="0"/>
          <w:color w:val="333333"/>
          <w:sz w:val="22"/>
        </w:rPr>
        <w:t>Depois dos testes, converte-se dois exemplos reais, um de Auto e outro de Saúde Empresarial. No turno do usuário, entra literalmente a instrução combinada com o texto bruto do documento — sem edição manual específica para facilitar para o modelo. No turno do modelo, a saída é o contrato estruturado esperado: em Auto, segurado/placa/valor; em Saúde Empresarial, beneficiário/procedimento/valor. Esse teste visual ajuda a verificar se o esquema canônico chega ao formato do provedor sem perder informação ou alterar o contrato.</w:t>
      </w:r>
    </w:p>
    <w:p>
      <w:pPr>
        <w:pStyle w:val="Heading4"/>
        <w:spacing w:before="200" w:after="80"/>
      </w:pPr>
      <w:r>
        <w:rPr>
          <w:rFonts w:ascii="Arial" w:hAnsi="Arial"/>
          <w:b/>
          <w:color w:val="1F4D78"/>
          <w:sz w:val="22"/>
        </w:rPr>
        <w:t>O gate de confiança de OCR</w:t>
      </w:r>
    </w:p>
    <w:p>
      <w:pPr>
        <w:spacing w:after="160"/>
      </w:pPr>
      <w:r>
        <w:rPr>
          <w:rFonts w:ascii="Arial" w:hAnsi="Arial"/>
          <w:b w:val="0"/>
          <w:color w:val="333333"/>
          <w:sz w:val="22"/>
        </w:rPr>
        <w:t xml:space="preserve">O campo de confiança que havia sido preparado passa a ter função concreta. Nos documentos reais escaneados pelo Tesseract no módulo 2.1, a confiança fica entre 94-96% — todos passam pelo gate. Ao simular documento mais degradado, com confiança de </w:t>
      </w:r>
      <w:r>
        <w:rPr>
          <w:rFonts w:ascii="Arial" w:hAnsi="Arial"/>
          <w:b/>
          <w:color w:val="333333"/>
          <w:sz w:val="22"/>
        </w:rPr>
        <w:t>62%</w:t>
      </w:r>
      <w:r>
        <w:rPr>
          <w:rFonts w:ascii="Arial" w:hAnsi="Arial"/>
          <w:b w:val="0"/>
          <w:color w:val="333333"/>
          <w:sz w:val="22"/>
        </w:rPr>
        <w:t>, o pipeline não o envia automaticamente para treinamento — sinaliza para revisão humana. A regra evita transformar erro de OCR em comportamento aprendido; se a leitura já é duvidosa, não deveria ser tratada como gabarito confiável. Os 200 exemplos do job desta aula não passam por esse gate porque foram gerados como texto sintético, sem confiança de OCR real — a ausência da métrica é interpretada como não aplicável, não como baixa qualidade.</w:t>
      </w:r>
    </w:p>
    <w:p>
      <w:pPr>
        <w:pStyle w:val="Heading4"/>
        <w:spacing w:before="200" w:after="80"/>
      </w:pPr>
      <w:r>
        <w:rPr>
          <w:rFonts w:ascii="Arial" w:hAnsi="Arial"/>
          <w:b/>
          <w:color w:val="1F4D78"/>
          <w:sz w:val="22"/>
        </w:rPr>
        <w:t>Escalando o pipeline do módulo 2</w:t>
      </w:r>
    </w:p>
    <w:p>
      <w:pPr>
        <w:spacing w:after="160"/>
      </w:pPr>
      <w:r>
        <w:rPr>
          <w:rFonts w:ascii="Arial" w:hAnsi="Arial"/>
          <w:b w:val="0"/>
          <w:color w:val="333333"/>
          <w:sz w:val="22"/>
        </w:rPr>
        <w:t xml:space="preserve">Os 34 exemplos didáticos anteriores provavam que o pipeline de limpeza funcionava, mas não representavam o volume desejado. A resposta não foi inventar outro método — escala-se exatamente o mesmo pipeline formal (MinHash+LSH, temperatura, entropia). A execução começa com </w:t>
      </w:r>
      <w:r>
        <w:rPr>
          <w:rFonts w:ascii="Arial" w:hAnsi="Arial"/>
          <w:b/>
          <w:color w:val="333333"/>
          <w:sz w:val="22"/>
        </w:rPr>
        <w:t>305 exemplos brutos</w:t>
      </w:r>
      <w:r>
        <w:rPr>
          <w:rFonts w:ascii="Arial" w:hAnsi="Arial"/>
          <w:b w:val="0"/>
          <w:color w:val="333333"/>
          <w:sz w:val="22"/>
        </w:rPr>
        <w:t xml:space="preserve">, distribuídos entre seis oficinas (Auto) e cinco clínicas (Saúde Empresarial), com duas fontes novas acrescentadas em cada cenário. Depois da deduplicação, restam </w:t>
      </w:r>
      <w:r>
        <w:rPr>
          <w:rFonts w:ascii="Arial" w:hAnsi="Arial"/>
          <w:b/>
          <w:color w:val="333333"/>
          <w:sz w:val="22"/>
        </w:rPr>
        <w:t>300</w:t>
      </w:r>
      <w:r>
        <w:rPr>
          <w:rFonts w:ascii="Arial" w:hAnsi="Arial"/>
          <w:b w:val="0"/>
          <w:color w:val="333333"/>
          <w:sz w:val="22"/>
        </w:rPr>
        <w:t xml:space="preserve">. O balanceamento por temperatura reduz para </w:t>
      </w:r>
      <w:r>
        <w:rPr>
          <w:rFonts w:ascii="Arial" w:hAnsi="Arial"/>
          <w:b/>
          <w:color w:val="333333"/>
          <w:sz w:val="22"/>
        </w:rPr>
        <w:t>200 exemplos finais</w:t>
      </w:r>
      <w:r>
        <w:rPr>
          <w:rFonts w:ascii="Arial" w:hAnsi="Arial"/>
          <w:b w:val="0"/>
          <w:color w:val="333333"/>
          <w:sz w:val="22"/>
        </w:rPr>
        <w:t>, sendo 120 de Auto e 80 de Saúde Empresarial. A diversidade efetiva também melhora — em Auto, sobe de ~5,516 para ~5,723; em Saúde Empresarial, de ~4,140 para ~4,706. É a mesma evidência formal do módulo 2.2, aplicada a um conjunto ~6 vezes maior.</w:t>
      </w:r>
    </w:p>
    <w:p>
      <w:pPr>
        <w:pStyle w:val="Heading4"/>
        <w:spacing w:before="200" w:after="80"/>
      </w:pPr>
      <w:r>
        <w:rPr>
          <w:rFonts w:ascii="Arial" w:hAnsi="Arial"/>
          <w:b/>
          <w:color w:val="1F4D78"/>
          <w:sz w:val="22"/>
        </w:rPr>
        <w:t>Reavaliando Saúde Empresarial nove meses depois</w:t>
      </w:r>
    </w:p>
    <w:p>
      <w:pPr>
        <w:spacing w:after="160"/>
      </w:pPr>
      <w:r>
        <w:rPr>
          <w:rFonts w:ascii="Arial" w:hAnsi="Arial"/>
          <w:b w:val="0"/>
          <w:color w:val="333333"/>
          <w:sz w:val="22"/>
        </w:rPr>
        <w:t xml:space="preserve">Existe uma aparente contradição a resolver antes de treinar: no módulo 1.2, Saúde Empresarial foi reprovado por falta de dado; no módulo 1.3, o framework recomendou esperar nove meses. Incluir o caso agora sem revisitar essa decisão seria ignorar o que foi ensinado. Por isso o framework é rodado novamente — o script </w:t>
      </w:r>
      <w:r>
        <w:rPr>
          <w:rFonts w:ascii="Arial" w:hAnsi="Arial"/>
          <w:b/>
          <w:color w:val="333333"/>
          <w:sz w:val="22"/>
        </w:rPr>
        <w:t>importa diretamente</w:t>
      </w:r>
      <w:r>
        <w:rPr>
          <w:rFonts w:ascii="Arial" w:hAnsi="Arial"/>
          <w:b w:val="0"/>
          <w:color w:val="333333"/>
          <w:sz w:val="22"/>
        </w:rPr>
        <w:t xml:space="preserve"> o Decision Framework já existente, mantendo mesmo peso, limiar e as três perguntas que já estavam verdes. A única dimensão atualizada é a pergunta 3, sobre suficiência de dado. O score anterior era 0,35; a projeção considerava crescimento de 0,03/mês; nove meses depois, o cálculo chega a </w:t>
      </w:r>
      <w:r>
        <w:rPr>
          <w:rFonts w:ascii="Arial" w:hAnsi="Arial"/>
          <w:b/>
          <w:color w:val="333333"/>
          <w:sz w:val="22"/>
        </w:rPr>
        <w:t>0,62</w:t>
      </w:r>
      <w:r>
        <w:rPr>
          <w:rFonts w:ascii="Arial" w:hAnsi="Arial"/>
          <w:b w:val="0"/>
          <w:color w:val="333333"/>
          <w:sz w:val="22"/>
        </w:rPr>
        <w:t xml:space="preserve">, acima do limiar de 0,6. O volume mensal também cresce de 1.200 para ~1.862 casos, na mesma taxa da análise anterior. Dessa vez, nenhuma pergunta permanece vermelha — o caso entra porque o mesmo critério que o reprovou antes agora o aprova com dado atualizado, </w:t>
      </w:r>
      <w:r>
        <w:rPr>
          <w:rFonts w:ascii="Arial" w:hAnsi="Arial"/>
          <w:b/>
          <w:color w:val="333333"/>
          <w:sz w:val="22"/>
        </w:rPr>
        <w:t>a régua não foi reduzida</w:t>
      </w:r>
      <w:r>
        <w:rPr>
          <w:rFonts w:ascii="Arial" w:hAnsi="Arial"/>
          <w:b w:val="0"/>
          <w:color w:val="333333"/>
          <w:sz w:val="22"/>
        </w:rPr>
        <w:t xml:space="preserve"> para caber na demonstração.</w:t>
      </w:r>
    </w:p>
    <w:p>
      <w:pPr>
        <w:pStyle w:val="Heading4"/>
        <w:spacing w:before="200" w:after="80"/>
      </w:pPr>
      <w:r>
        <w:rPr>
          <w:rFonts w:ascii="Arial" w:hAnsi="Arial"/>
          <w:b/>
          <w:color w:val="1F4D78"/>
          <w:sz w:val="22"/>
        </w:rPr>
        <w:t>Um bug real no gerador sintético</w:t>
      </w:r>
    </w:p>
    <w:p>
      <w:pPr>
        <w:spacing w:after="160"/>
      </w:pPr>
      <w:r>
        <w:rPr>
          <w:rFonts w:ascii="Arial" w:hAnsi="Arial"/>
          <w:b w:val="0"/>
          <w:color w:val="333333"/>
          <w:sz w:val="22"/>
        </w:rPr>
        <w:t>Ao aumentar o volume, aparece um problema tratado como parte da aula: o gerador original usava listas de nome, placa e valor com mesmo tamanho (40 itens). Numa fonte com mais de 40 exemplos, os índices começavam a ciclar juntos — o exemplo de posição 41 podia repetir nome, placa e valor do exemplo 1, mudando só a data, criando colisões artificiais que o detector interpretava como duplicata. A correção aumentou o período antes de repetição, formando nome a partir de combinação de primeiro nome e sobrenome vindos de pools de tamanhos diferentes, produzindo mais de 1.500 combinações antes de repetir. Depois da correção, os falsos positivos desaparecem e só os cinco pares de duplicata plantados são detectados. A lição é generalizável: um gerador sintético com lista curta pode contaminar a métrica que deveria provar a qualidade do pipeline — por isso sempre se valida a duplicata do conjunto bruto antes de confiar no resultado.</w:t>
      </w:r>
    </w:p>
    <w:p>
      <w:pPr>
        <w:pStyle w:val="Heading4"/>
        <w:spacing w:before="200" w:after="80"/>
      </w:pPr>
      <w:r>
        <w:rPr>
          <w:rFonts w:ascii="Arial" w:hAnsi="Arial"/>
          <w:b/>
          <w:color w:val="1F4D78"/>
          <w:sz w:val="22"/>
        </w:rPr>
        <w:t>Upload versionado para o bucket</w:t>
      </w:r>
    </w:p>
    <w:p>
      <w:pPr>
        <w:spacing w:after="160"/>
      </w:pPr>
      <w:r>
        <w:rPr>
          <w:rFonts w:ascii="Arial" w:hAnsi="Arial"/>
          <w:b w:val="0"/>
          <w:color w:val="333333"/>
          <w:sz w:val="22"/>
        </w:rPr>
        <w:t xml:space="preserve">Com o dataset convertido em JSONL, o upload é simples — enviado para bucket específico do projeto, depois referenciado na criação do job junto com modelo base e hiperparâmetro. O job foi configurado com </w:t>
      </w:r>
      <w:r>
        <w:rPr>
          <w:rFonts w:ascii="Arial" w:hAnsi="Arial"/>
          <w:b/>
          <w:color w:val="333333"/>
          <w:sz w:val="22"/>
        </w:rPr>
        <w:t>Gemini 2.5 Flash, três épocas</w:t>
      </w:r>
      <w:r>
        <w:rPr>
          <w:rFonts w:ascii="Arial" w:hAnsi="Arial"/>
          <w:b w:val="0"/>
          <w:color w:val="333333"/>
          <w:sz w:val="22"/>
        </w:rPr>
        <w:t xml:space="preserve"> e nome de exibição associado ao conjunto de 200 exemplos. O bucket já existia de testes anteriores, mas o dataset atual foi enviado como </w:t>
      </w:r>
      <w:r>
        <w:rPr>
          <w:rFonts w:ascii="Arial" w:hAnsi="Arial"/>
          <w:b/>
          <w:color w:val="333333"/>
          <w:sz w:val="22"/>
        </w:rPr>
        <w:t>novo objeto</w:t>
      </w:r>
      <w:r>
        <w:rPr>
          <w:rFonts w:ascii="Arial" w:hAnsi="Arial"/>
          <w:b w:val="0"/>
          <w:color w:val="333333"/>
          <w:sz w:val="22"/>
        </w:rPr>
        <w:t xml:space="preserve"> — escolha deliberada: cada versão de dataset mantém seu próprio caminho, sem sobrescrever silenciosamente o arquivo anterior, porque um job que falha precisa continuar apontando para exatamente os dados usados naquele treinamento.</w:t>
      </w:r>
    </w:p>
    <w:p>
      <w:pPr>
        <w:pStyle w:val="Heading4"/>
        <w:spacing w:before="200" w:after="80"/>
      </w:pPr>
      <w:r>
        <w:rPr>
          <w:rFonts w:ascii="Arial" w:hAnsi="Arial"/>
          <w:b/>
          <w:color w:val="1F4D78"/>
          <w:sz w:val="22"/>
        </w:rPr>
        <w:t>Criando e identificando o job</w:t>
      </w:r>
    </w:p>
    <w:p>
      <w:pPr>
        <w:spacing w:after="160"/>
      </w:pPr>
      <w:r>
        <w:rPr>
          <w:rFonts w:ascii="Arial" w:hAnsi="Arial"/>
          <w:b w:val="0"/>
          <w:color w:val="333333"/>
          <w:sz w:val="22"/>
        </w:rPr>
        <w:t xml:space="preserve">Depois do upload, o job é criado no serviço de tuning do Vertex AI, recebendo identificador próprio e entrando inicialmente em </w:t>
      </w:r>
      <w:r>
        <w:rPr>
          <w:rFonts w:ascii="Arial" w:hAnsi="Arial"/>
          <w:b/>
          <w:color w:val="333333"/>
          <w:sz w:val="22"/>
        </w:rPr>
        <w:t>Pending</w:t>
      </w:r>
      <w:r>
        <w:rPr>
          <w:rFonts w:ascii="Arial" w:hAnsi="Arial"/>
          <w:b w:val="0"/>
          <w:color w:val="333333"/>
          <w:sz w:val="22"/>
        </w:rPr>
        <w:t>. A partir desse momento, o trabalho pesado roda na infraestrutura do provedor — a máquina local não precisa permanecer responsável pelo treinamento; o que se precisa manter é a capacidade de consultar o job, registrar identificador e acompanhar transições de estado.</w:t>
      </w:r>
    </w:p>
    <w:p>
      <w:pPr>
        <w:pStyle w:val="Heading4"/>
        <w:spacing w:before="200" w:after="80"/>
      </w:pPr>
      <w:r>
        <w:rPr>
          <w:rFonts w:ascii="Arial" w:hAnsi="Arial"/>
          <w:b/>
          <w:color w:val="1F4D78"/>
          <w:sz w:val="22"/>
        </w:rPr>
        <w:t>Interpretando Pending, Running e Succeeded</w:t>
      </w:r>
    </w:p>
    <w:p>
      <w:pPr>
        <w:spacing w:after="160"/>
      </w:pPr>
      <w:r>
        <w:rPr>
          <w:rFonts w:ascii="Arial" w:hAnsi="Arial"/>
          <w:b/>
          <w:color w:val="333333"/>
          <w:sz w:val="22"/>
        </w:rPr>
        <w:t>Pending</w:t>
      </w:r>
      <w:r>
        <w:rPr>
          <w:rFonts w:ascii="Arial" w:hAnsi="Arial"/>
          <w:b w:val="0"/>
          <w:color w:val="333333"/>
          <w:sz w:val="22"/>
        </w:rPr>
        <w:t xml:space="preserve"> representa a fila — o provedor recebeu a solicitação, mas ainda não alocou os recursos. </w:t>
      </w:r>
      <w:r>
        <w:rPr>
          <w:rFonts w:ascii="Arial" w:hAnsi="Arial"/>
          <w:b/>
          <w:color w:val="333333"/>
          <w:sz w:val="22"/>
        </w:rPr>
        <w:t>Running</w:t>
      </w:r>
      <w:r>
        <w:rPr>
          <w:rFonts w:ascii="Arial" w:hAnsi="Arial"/>
          <w:b w:val="0"/>
          <w:color w:val="333333"/>
          <w:sz w:val="22"/>
        </w:rPr>
        <w:t xml:space="preserve"> significa treinamento efetivamente em execução, épocas sendo processadas, pesos sendo atualizados. </w:t>
      </w:r>
      <w:r>
        <w:rPr>
          <w:rFonts w:ascii="Arial" w:hAnsi="Arial"/>
          <w:b/>
          <w:color w:val="333333"/>
          <w:sz w:val="22"/>
        </w:rPr>
        <w:t>Succeeded</w:t>
      </w:r>
      <w:r>
        <w:rPr>
          <w:rFonts w:ascii="Arial" w:hAnsi="Arial"/>
          <w:b w:val="0"/>
          <w:color w:val="333333"/>
          <w:sz w:val="22"/>
        </w:rPr>
        <w:t xml:space="preserve"> indica que todas as etapas terminaram sem erro e o artefato foi publicado. Existe também o caminho de falha — se o job chegar a </w:t>
      </w:r>
      <w:r>
        <w:rPr>
          <w:rFonts w:ascii="Arial" w:hAnsi="Arial"/>
          <w:b/>
          <w:color w:val="333333"/>
          <w:sz w:val="22"/>
        </w:rPr>
        <w:t>Failed</w:t>
      </w:r>
      <w:r>
        <w:rPr>
          <w:rFonts w:ascii="Arial" w:hAnsi="Arial"/>
          <w:b w:val="0"/>
          <w:color w:val="333333"/>
          <w:sz w:val="22"/>
        </w:rPr>
        <w:t>, a resposta pode trazer formato inválido, cota excedida ou hiperparâmetro fora da faixa. Em produção, esses estados determinam se o sistema apenas espera ou se alguém precisa agir.</w:t>
      </w:r>
    </w:p>
    <w:p>
      <w:pPr>
        <w:pStyle w:val="Heading4"/>
        <w:spacing w:before="200" w:after="80"/>
      </w:pPr>
      <w:r>
        <w:rPr>
          <w:rFonts w:ascii="Arial" w:hAnsi="Arial"/>
          <w:b/>
          <w:color w:val="1F4D78"/>
          <w:sz w:val="22"/>
        </w:rPr>
        <w:t>Consultando o job real pela API</w:t>
      </w:r>
    </w:p>
    <w:p>
      <w:pPr>
        <w:spacing w:after="160"/>
      </w:pPr>
      <w:r>
        <w:rPr>
          <w:rFonts w:ascii="Arial" w:hAnsi="Arial"/>
          <w:b w:val="0"/>
          <w:color w:val="333333"/>
          <w:sz w:val="22"/>
        </w:rPr>
        <w:t xml:space="preserve">A parte central da demonstração é uma consulta real ao endpoint REST do serviço de AI Platform. A chamada autenticada devolve estado do job, modelo base, nome de exibição, timestamp de início/fim e endpoints gerados. O job chega a </w:t>
      </w:r>
      <w:r>
        <w:rPr>
          <w:rFonts w:ascii="Arial" w:hAnsi="Arial"/>
          <w:b/>
          <w:color w:val="333333"/>
          <w:sz w:val="22"/>
        </w:rPr>
        <w:t>Succeeded</w:t>
      </w:r>
      <w:r>
        <w:rPr>
          <w:rFonts w:ascii="Arial" w:hAnsi="Arial"/>
          <w:b w:val="0"/>
          <w:color w:val="333333"/>
          <w:sz w:val="22"/>
        </w:rPr>
        <w:t xml:space="preserve">, com duração total de aproximadamente </w:t>
      </w:r>
      <w:r>
        <w:rPr>
          <w:rFonts w:ascii="Arial" w:hAnsi="Arial"/>
          <w:b/>
          <w:color w:val="333333"/>
          <w:sz w:val="22"/>
        </w:rPr>
        <w:t>45 minutos e 42 segundos</w:t>
      </w:r>
      <w:r>
        <w:rPr>
          <w:rFonts w:ascii="Arial" w:hAnsi="Arial"/>
          <w:b w:val="0"/>
          <w:color w:val="333333"/>
          <w:sz w:val="22"/>
        </w:rPr>
        <w:t xml:space="preserve"> — superior ao piloto anterior (32 exemplos, ~28 minutos e 32 segundos), porque o conjunto atual é ~6 vezes maior. Isso mostra que o custo de um job gerenciado não deve ser estimado só pela quantidade de minuto visível: o Vertex AI contabiliza o treinamento pelos </w:t>
      </w:r>
      <w:r>
        <w:rPr>
          <w:rFonts w:ascii="Arial" w:hAnsi="Arial"/>
          <w:b/>
          <w:color w:val="333333"/>
          <w:sz w:val="22"/>
        </w:rPr>
        <w:t>tokens processados</w:t>
      </w:r>
      <w:r>
        <w:rPr>
          <w:rFonts w:ascii="Arial" w:hAnsi="Arial"/>
          <w:b w:val="0"/>
          <w:color w:val="333333"/>
          <w:sz w:val="22"/>
        </w:rPr>
        <w:t>.</w:t>
      </w:r>
    </w:p>
    <w:p>
      <w:pPr>
        <w:pStyle w:val="Heading4"/>
        <w:spacing w:before="200" w:after="80"/>
      </w:pPr>
      <w:r>
        <w:rPr>
          <w:rFonts w:ascii="Arial" w:hAnsi="Arial"/>
          <w:b/>
          <w:color w:val="1F4D78"/>
          <w:sz w:val="22"/>
        </w:rPr>
        <w:t>Tokens, custo e artefatos resultantes</w:t>
      </w:r>
    </w:p>
    <w:p>
      <w:pPr>
        <w:spacing w:after="160"/>
      </w:pPr>
      <w:r>
        <w:rPr>
          <w:rFonts w:ascii="Arial" w:hAnsi="Arial"/>
          <w:b w:val="0"/>
          <w:color w:val="333333"/>
          <w:sz w:val="22"/>
        </w:rPr>
        <w:t xml:space="preserve">O job processa aproximadamente </w:t>
      </w:r>
      <w:r>
        <w:rPr>
          <w:rFonts w:ascii="Arial" w:hAnsi="Arial"/>
          <w:b/>
          <w:color w:val="333333"/>
          <w:sz w:val="22"/>
        </w:rPr>
        <w:t>27.353 tokens</w:t>
      </w:r>
      <w:r>
        <w:rPr>
          <w:rFonts w:ascii="Arial" w:hAnsi="Arial"/>
          <w:b w:val="0"/>
          <w:color w:val="333333"/>
          <w:sz w:val="22"/>
        </w:rPr>
        <w:t xml:space="preserve"> de treinamento, com custo registrado na faixa de </w:t>
      </w:r>
      <w:r>
        <w:rPr>
          <w:rFonts w:ascii="Arial" w:hAnsi="Arial"/>
          <w:b/>
          <w:color w:val="333333"/>
          <w:sz w:val="22"/>
        </w:rPr>
        <w:t>5 a 11 centavos de dólar</w:t>
      </w:r>
      <w:r>
        <w:rPr>
          <w:rFonts w:ascii="Arial" w:hAnsi="Arial"/>
          <w:b w:val="0"/>
          <w:color w:val="333333"/>
          <w:sz w:val="22"/>
        </w:rPr>
        <w:t>. Ao final, existem dois artefatos: o modelo ajustado e o endpoint publicado para inferência — fechando o ciclo de upload e treinamento. A consulta de status feita manualmente nesta aula será automatizada posteriormente, e o endpoint será tratado como artefato versionado e documentado nos capítulos seguintes.</w:t>
      </w:r>
    </w:p>
    <w:p>
      <w:pPr>
        <w:spacing w:before="120" w:after="120"/>
        <w:ind w:left="360" w:right="360"/>
        <w:shd w:val="clear" w:fill="F5F5F5"/>
        <w:pBdr>
          <w:left w:val="single" w:color="2E75B6" w:sz="4" w:space="10"/>
        </w:pBdr>
      </w:pPr>
      <w:r>
        <w:rPr>
          <w:rFonts w:ascii="Arial" w:hAnsi="Arial"/>
          <w:b w:val="0"/>
          <w:color w:val="333333"/>
          <w:sz w:val="22"/>
        </w:rPr>
        <w:t>✅ Resultado/Conclusão: valida-se que o esquema canônico pode ser convertido sem reescrever o pipeline, que exemplo incompleto é bloqueado, que OCR de baixa confiança pode exigir revisão humana, e que o mesmo mecanismo de deduplicação/balanceamento escala para conjunto maior. Também se mostra que uma decisão anterior pode ser reavaliada sem alterar a lógica do framework. No próximo capítulo, entram os hiperparâmetros — o que cada configuração controla, como escolher época e taxa de aprendizado para o volume disponível, e o que as estatísticas de monitoramento do provedor conseguem, e não conseguem, revelar sobre o treinamento.</w:t>
      </w:r>
    </w:p>
    <w:p>
      <w:pPr>
        <w:pStyle w:val="Heading3"/>
        <w:spacing w:before="200" w:after="80"/>
      </w:pPr>
      <w:r>
        <w:rPr>
          <w:rFonts w:ascii="Arial" w:hAnsi="Arial"/>
          <w:b/>
          <w:color w:val="1F4D78"/>
          <w:sz w:val="24"/>
        </w:rPr>
        <w:t>Aula 3: Fine-Tuning via API (upload e train) (PT-3)</w:t>
      </w:r>
    </w:p>
    <w:p>
      <w:pPr>
        <w:pStyle w:val="Heading4"/>
        <w:spacing w:before="200" w:after="80"/>
      </w:pPr>
      <w:r>
        <w:rPr>
          <w:rFonts w:ascii="Arial" w:hAnsi="Arial"/>
          <w:b/>
          <w:color w:val="1F4D78"/>
          <w:sz w:val="22"/>
        </w:rPr>
        <w:t>Do "funciona" para o "está configurado corretamente"</w:t>
      </w:r>
    </w:p>
    <w:p>
      <w:pPr>
        <w:spacing w:after="160"/>
      </w:pPr>
      <w:r>
        <w:rPr>
          <w:rFonts w:ascii="Arial" w:hAnsi="Arial"/>
          <w:b w:val="0"/>
          <w:color w:val="333333"/>
          <w:sz w:val="22"/>
        </w:rPr>
        <w:t xml:space="preserve">O job chegou a Succeeded depois de ~45 minutos e 42 segundos, provando que o processo funciona operacionalmente — mas ainda falta responder se ele foi configurado corretamente para o volume e tipo de dado que se tinha. Agora entende-se o que cada hiperparâmetro controla, por que um valor pode fazer sentido para dataset pequeno e deixar de fazer sentido em outra escala, e quais mecanismos são necessários ao redor da API para não depender cegamente da validação do provedor. O foco passa de conseguir criar um job para conseguir </w:t>
      </w:r>
      <w:r>
        <w:rPr>
          <w:rFonts w:ascii="Arial" w:hAnsi="Arial"/>
          <w:b/>
          <w:color w:val="333333"/>
          <w:sz w:val="22"/>
        </w:rPr>
        <w:t>operá-lo com critério</w:t>
      </w:r>
      <w:r>
        <w:rPr>
          <w:rFonts w:ascii="Arial" w:hAnsi="Arial"/>
          <w:b w:val="0"/>
          <w:color w:val="333333"/>
          <w:sz w:val="22"/>
        </w:rPr>
        <w:t>.</w:t>
      </w:r>
    </w:p>
    <w:p>
      <w:pPr>
        <w:pStyle w:val="Heading4"/>
        <w:spacing w:before="200" w:after="80"/>
      </w:pPr>
      <w:r>
        <w:rPr>
          <w:rFonts w:ascii="Arial" w:hAnsi="Arial"/>
          <w:b/>
          <w:color w:val="1F4D78"/>
          <w:sz w:val="22"/>
        </w:rPr>
        <w:t>Os três hiperparâmetros centrais</w:t>
      </w:r>
    </w:p>
    <w:p>
      <w:pPr>
        <w:spacing w:after="160"/>
      </w:pPr>
      <w:r>
        <w:rPr>
          <w:rFonts w:ascii="Arial" w:hAnsi="Arial"/>
          <w:b/>
          <w:color w:val="333333"/>
          <w:sz w:val="22"/>
        </w:rPr>
        <w:t>Epoch count</w:t>
      </w:r>
      <w:r>
        <w:rPr>
          <w:rFonts w:ascii="Arial" w:hAnsi="Arial"/>
          <w:b w:val="0"/>
          <w:color w:val="333333"/>
          <w:sz w:val="22"/>
        </w:rPr>
        <w:t xml:space="preserve">: quantas vezes o modelo percorre o dataset completo — três épocas significam que cada exemplo participa do ajuste três vezes. </w:t>
      </w:r>
      <w:r>
        <w:rPr>
          <w:rFonts w:ascii="Arial" w:hAnsi="Arial"/>
          <w:b/>
          <w:color w:val="333333"/>
          <w:sz w:val="22"/>
        </w:rPr>
        <w:t>Learning rate multiplier</w:t>
      </w:r>
      <w:r>
        <w:rPr>
          <w:rFonts w:ascii="Arial" w:hAnsi="Arial"/>
          <w:b w:val="0"/>
          <w:color w:val="333333"/>
          <w:sz w:val="22"/>
        </w:rPr>
        <w:t xml:space="preserve">: controla a intensidade com que cada exemplo influencia o ajuste; no serviço gerenciado, não se define uma taxa absoluta do zero, multiplica-se uma taxa base interna calibrada pelo provedor. </w:t>
      </w:r>
      <w:r>
        <w:rPr>
          <w:rFonts w:ascii="Arial" w:hAnsi="Arial"/>
          <w:b/>
          <w:color w:val="333333"/>
          <w:sz w:val="22"/>
        </w:rPr>
        <w:t>Adapter size</w:t>
      </w:r>
      <w:r>
        <w:rPr>
          <w:rFonts w:ascii="Arial" w:hAnsi="Arial"/>
          <w:b w:val="0"/>
          <w:color w:val="333333"/>
          <w:sz w:val="22"/>
        </w:rPr>
        <w:t>: ligado à capacidade da camada adaptativa treinada — como fine-tuning eficiente não precisa alterar todos os parâmetros do modelo base, essa camada aprende a correção necessária para o comportamento específico.</w:t>
      </w:r>
    </w:p>
    <w:p>
      <w:pPr>
        <w:pStyle w:val="Heading4"/>
        <w:spacing w:before="200" w:after="80"/>
      </w:pPr>
      <w:r>
        <w:rPr>
          <w:rFonts w:ascii="Arial" w:hAnsi="Arial"/>
          <w:b/>
          <w:color w:val="1F4D78"/>
          <w:sz w:val="22"/>
        </w:rPr>
        <w:t>Épocas e o equilíbrio entre underfitting e overfitting</w:t>
      </w:r>
    </w:p>
    <w:p>
      <w:pPr>
        <w:spacing w:after="160"/>
      </w:pPr>
      <w:r>
        <w:rPr>
          <w:rFonts w:ascii="Arial" w:hAnsi="Arial"/>
          <w:b w:val="0"/>
          <w:color w:val="333333"/>
          <w:sz w:val="22"/>
        </w:rPr>
        <w:t>Poucas passagens: modelo pode não aprender suficientemente o padrão (</w:t>
      </w:r>
      <w:r>
        <w:rPr>
          <w:rFonts w:ascii="Arial" w:hAnsi="Arial"/>
          <w:b/>
          <w:color w:val="333333"/>
          <w:sz w:val="22"/>
        </w:rPr>
        <w:t>underfitting</w:t>
      </w:r>
      <w:r>
        <w:rPr>
          <w:rFonts w:ascii="Arial" w:hAnsi="Arial"/>
          <w:b w:val="0"/>
          <w:color w:val="333333"/>
          <w:sz w:val="22"/>
        </w:rPr>
        <w:t>). Épocas demais, principalmente em dataset pequeno: modelo pode memorizar exemplo específico em vez de aprender estrutura geral (</w:t>
      </w:r>
      <w:r>
        <w:rPr>
          <w:rFonts w:ascii="Arial" w:hAnsi="Arial"/>
          <w:b/>
          <w:color w:val="333333"/>
          <w:sz w:val="22"/>
        </w:rPr>
        <w:t>overfitting</w:t>
      </w:r>
      <w:r>
        <w:rPr>
          <w:rFonts w:ascii="Arial" w:hAnsi="Arial"/>
          <w:b w:val="0"/>
          <w:color w:val="333333"/>
          <w:sz w:val="22"/>
        </w:rPr>
        <w:t>). As três épocas com os 200 exemplos procuram um ponto intermediário — não é regra universal de que três é sempre o valor correto, é escolha coerente com o tamanho atual do dataset e o comportamento relativamente estreito treinado.</w:t>
      </w:r>
    </w:p>
    <w:p>
      <w:pPr>
        <w:spacing w:after="160"/>
      </w:pPr>
      <w:r>
        <w:rPr>
          <w:rFonts w:ascii="Arial" w:hAnsi="Arial"/>
          <w:b/>
          <w:color w:val="333333"/>
          <w:sz w:val="22"/>
        </w:rPr>
        <w:t>Relação entre volume e época</w:t>
      </w:r>
      <w:r>
        <w:rPr>
          <w:rFonts w:ascii="Arial" w:hAnsi="Arial"/>
          <w:b w:val="0"/>
          <w:color w:val="333333"/>
          <w:sz w:val="22"/>
        </w:rPr>
        <w:t>: quando o dataset é menor, mais épocas podem ajudar até certo limite porque cada padrão aparece poucas vezes; quando o dataset cresce, os padrões se repetem entre exemplos diferentes e muitas épocas podem ser desnecessárias. Por isso 200 exemplos com três épocas formam ponto intermediário — com conjunto muito maior, uma ou duas épocas poderiam bastar; com poucos exemplos, testar-se-iam mais passagens, sempre com avaliação adequada. Essa relação é princípio de partida, não fórmula.</w:t>
      </w:r>
    </w:p>
    <w:p>
      <w:pPr>
        <w:pStyle w:val="Heading4"/>
        <w:spacing w:before="200" w:after="80"/>
      </w:pPr>
      <w:r>
        <w:rPr>
          <w:rFonts w:ascii="Arial" w:hAnsi="Arial"/>
          <w:b/>
          <w:color w:val="1F4D78"/>
          <w:sz w:val="22"/>
        </w:rPr>
        <w:t>Learning rate multiplier</w:t>
      </w:r>
    </w:p>
    <w:p>
      <w:pPr>
        <w:spacing w:after="160"/>
      </w:pPr>
      <w:r>
        <w:rPr>
          <w:rFonts w:ascii="Arial" w:hAnsi="Arial"/>
          <w:b w:val="0"/>
          <w:color w:val="333333"/>
          <w:sz w:val="22"/>
        </w:rPr>
        <w:t xml:space="preserve">Pode ser confundido com taxa de aprendizado tradicional — no Vertex AI, atua sobre uma taxa base interna. Valor próximo de 1 preserva ritmo próximo ao calibrado pelo provedor; valor maior intensifica o ajuste por exemplo. Na configuração usada, o multiplicador é </w:t>
      </w:r>
      <w:r>
        <w:rPr>
          <w:rFonts w:ascii="Arial" w:hAnsi="Arial"/>
          <w:b/>
          <w:color w:val="333333"/>
          <w:sz w:val="22"/>
        </w:rPr>
        <w:t>5</w:t>
      </w:r>
      <w:r>
        <w:rPr>
          <w:rFonts w:ascii="Arial" w:hAnsi="Arial"/>
          <w:b w:val="0"/>
          <w:color w:val="333333"/>
          <w:sz w:val="22"/>
        </w:rPr>
        <w:t xml:space="preserve"> — com poucas centenas de exemplo e três épocas, multiplicador baixo poderia produzir alteração pouco perceptível, deixando o modelo fine-tunado muito parecido com o base. Um valor alto demais, por outro lado, pode desestabilizar o treinamento.</w:t>
      </w:r>
    </w:p>
    <w:p>
      <w:pPr>
        <w:pStyle w:val="Heading4"/>
        <w:spacing w:before="200" w:after="80"/>
      </w:pPr>
      <w:r>
        <w:rPr>
          <w:rFonts w:ascii="Arial" w:hAnsi="Arial"/>
          <w:b/>
          <w:color w:val="1F4D78"/>
          <w:sz w:val="22"/>
        </w:rPr>
        <w:t>Adapter size e capacidade da camada treinável</w:t>
      </w:r>
    </w:p>
    <w:p>
      <w:pPr>
        <w:spacing w:after="160"/>
      </w:pPr>
      <w:r>
        <w:rPr>
          <w:rFonts w:ascii="Arial" w:hAnsi="Arial"/>
          <w:b w:val="0"/>
          <w:color w:val="333333"/>
          <w:sz w:val="22"/>
        </w:rPr>
        <w:t xml:space="preserve">Rank baixo restringe a camada a menos grau de liberdade, aprendendo padrão estreito com menor custo de memória/treinamento. No caso da Amplitude, o comportamento é específico — receber documento e produzir saída estruturada curta com três campos — por isso a configuração usa </w:t>
      </w:r>
      <w:r>
        <w:rPr>
          <w:rFonts w:ascii="Arial" w:hAnsi="Arial"/>
          <w:b/>
          <w:color w:val="333333"/>
          <w:sz w:val="22"/>
        </w:rPr>
        <w:t>adapter size 4</w:t>
      </w:r>
      <w:r>
        <w:rPr>
          <w:rFonts w:ascii="Arial" w:hAnsi="Arial"/>
          <w:b w:val="0"/>
          <w:color w:val="333333"/>
          <w:sz w:val="22"/>
        </w:rPr>
        <w:t>. Rank maior (8 ou 16) captura comportamento mais complexo, mas custa mais parâmetro treinável, memória e tempo. No módulo de treinamento local, essa relação volta com mais profundidade porque o rank afeta diretamente a memória da máquina.</w:t>
      </w:r>
    </w:p>
    <w:p>
      <w:pPr>
        <w:pStyle w:val="Heading4"/>
        <w:spacing w:before="200" w:after="80"/>
      </w:pPr>
      <w:r>
        <w:rPr>
          <w:rFonts w:ascii="Arial" w:hAnsi="Arial"/>
          <w:b/>
          <w:color w:val="1F4D78"/>
          <w:sz w:val="22"/>
        </w:rPr>
        <w:t>O problema real encontrado no Vertex AI</w:t>
      </w:r>
    </w:p>
    <w:p>
      <w:pPr>
        <w:spacing w:after="160"/>
      </w:pPr>
      <w:r>
        <w:rPr>
          <w:rFonts w:ascii="Arial" w:hAnsi="Arial"/>
          <w:b w:val="0"/>
          <w:color w:val="333333"/>
          <w:sz w:val="22"/>
        </w:rPr>
        <w:t xml:space="preserve">A parte mais importante da aula surge de um teste deliberadamente inválido: antes de gravar, quis-se verificar se o Vertex AI rejeitava rapidamente hiperparâmetro impossível, tentando criar um job com </w:t>
      </w:r>
      <w:r>
        <w:rPr>
          <w:rFonts w:ascii="Arial" w:hAnsi="Arial"/>
          <w:b/>
          <w:color w:val="333333"/>
          <w:sz w:val="22"/>
        </w:rPr>
        <w:t>epoch count igual a zero</w:t>
      </w:r>
      <w:r>
        <w:rPr>
          <w:rFonts w:ascii="Arial" w:hAnsi="Arial"/>
          <w:b w:val="0"/>
          <w:color w:val="333333"/>
          <w:sz w:val="22"/>
        </w:rPr>
        <w:t xml:space="preserve">. A expectativa seria falha de validação antes de qualquer recurso alocado. </w:t>
      </w:r>
      <w:r>
        <w:rPr>
          <w:rFonts w:ascii="Arial" w:hAnsi="Arial"/>
          <w:b/>
          <w:color w:val="333333"/>
          <w:sz w:val="22"/>
        </w:rPr>
        <w:t>Não foi o que aconteceu</w:t>
      </w:r>
      <w:r>
        <w:rPr>
          <w:rFonts w:ascii="Arial" w:hAnsi="Arial"/>
          <w:b w:val="0"/>
          <w:color w:val="333333"/>
          <w:sz w:val="22"/>
        </w:rPr>
        <w:t xml:space="preserve"> — o provedor aceitou o job, levou para Running, e o campo inválido acabou ausente na configuração aplicada; em vez de recusar explicitamente, a plataforma seguiu sem deixar o problema evidente na criação. Assim que a divergência foi identificada, o treinamento foi cancelado — o job ficou ativo por cerca de quarenta segundos, custo pequeno mas real.</w:t>
      </w:r>
    </w:p>
    <w:p>
      <w:pPr>
        <w:pStyle w:val="Heading4"/>
        <w:spacing w:before="200" w:after="80"/>
      </w:pPr>
      <w:r>
        <w:rPr>
          <w:rFonts w:ascii="Arial" w:hAnsi="Arial"/>
          <w:b/>
          <w:color w:val="1F4D78"/>
          <w:sz w:val="22"/>
        </w:rPr>
        <w:t>Silêncio da API não significa configuração correta</w:t>
      </w:r>
    </w:p>
    <w:p>
      <w:pPr>
        <w:spacing w:after="160"/>
      </w:pPr>
      <w:r>
        <w:rPr>
          <w:rFonts w:ascii="Arial" w:hAnsi="Arial"/>
          <w:b w:val="0"/>
          <w:color w:val="333333"/>
          <w:sz w:val="22"/>
        </w:rPr>
        <w:t>Se uma API aceita chamada sem erro, isso não prova que todos os parâmetros foram aplicados como esperado. Numa automação semanal de retreino, um bug simples poderia zerar o epoch count e continuar criando jobs durante semanas — o primeiro sintoma talvez surgisse só no comportamento ruim do modelo publicado. Por isso, ausência de reclamação do provedor não pode ser tratada como confirmação — configuração precisa ser validada por quem chama a API e auditada depois que o job existe.</w:t>
      </w:r>
    </w:p>
    <w:p>
      <w:pPr>
        <w:pStyle w:val="Heading4"/>
        <w:spacing w:before="200" w:after="80"/>
      </w:pPr>
      <w:r>
        <w:rPr>
          <w:rFonts w:ascii="Arial" w:hAnsi="Arial"/>
          <w:b/>
          <w:color w:val="1F4D78"/>
          <w:sz w:val="22"/>
        </w:rPr>
        <w:t>Primeira camada de proteção: validar antes da rede</w:t>
      </w:r>
    </w:p>
    <w:p>
      <w:pPr>
        <w:spacing w:after="160"/>
      </w:pPr>
      <w:r>
        <w:rPr>
          <w:rFonts w:ascii="Arial" w:hAnsi="Arial"/>
          <w:b w:val="0"/>
          <w:color w:val="333333"/>
          <w:sz w:val="22"/>
        </w:rPr>
        <w:t xml:space="preserve">Validação local de hiperparâmetro, executada </w:t>
      </w:r>
      <w:r>
        <w:rPr>
          <w:rFonts w:ascii="Arial" w:hAnsi="Arial"/>
          <w:b/>
          <w:color w:val="333333"/>
          <w:sz w:val="22"/>
        </w:rPr>
        <w:t>antes de qualquer chamada de rede e antes de qualquer possibilidade de custo</w:t>
      </w:r>
      <w:r>
        <w:rPr>
          <w:rFonts w:ascii="Arial" w:hAnsi="Arial"/>
          <w:b w:val="0"/>
          <w:color w:val="333333"/>
          <w:sz w:val="22"/>
        </w:rPr>
        <w:t>. Na implementação demonstrada, epoch count precisa estar entre 1 e 20, inteiro — valor zero, negativo ou fracionário é rejeitado. O learning rate multiplier recebe faixa aceitável de 0,1 a 10. Essa validação transforma uma falha que poderia consumir infraestrutura num erro local imediato e barato — o epoch count zero que escapou da API real passa a ser bloqueado antes da requisição.</w:t>
      </w:r>
    </w:p>
    <w:p>
      <w:pPr>
        <w:pStyle w:val="Heading4"/>
        <w:spacing w:before="200" w:after="80"/>
      </w:pPr>
      <w:r>
        <w:rPr>
          <w:rFonts w:ascii="Arial" w:hAnsi="Arial"/>
          <w:b/>
          <w:color w:val="1F4D78"/>
          <w:sz w:val="22"/>
        </w:rPr>
        <w:t>Segunda camada de proteção: comparar pedido e aplicado</w:t>
      </w:r>
    </w:p>
    <w:p>
      <w:pPr>
        <w:spacing w:after="160"/>
      </w:pPr>
      <w:r>
        <w:rPr>
          <w:rFonts w:ascii="Arial" w:hAnsi="Arial"/>
          <w:b w:val="0"/>
          <w:color w:val="333333"/>
          <w:sz w:val="22"/>
        </w:rPr>
        <w:t>Depois da criação do job, compara-se o hiperparâmetro solicitado com aquilo que o próprio objeto do job informa ter aplicado. Essa verificação existe porque nenhuma validação local prevê perfeitamente todas as regras internas do provedor — se um campo desaparecer, for alterado ou receber outro valor, a divergência precisa aparecer. As duas camadas não são redundantes: uma evita erro antes de gastar, a outra protege contra comportamento inesperado depois que o provedor recebeu o pedido.</w:t>
      </w:r>
    </w:p>
    <w:p>
      <w:pPr>
        <w:pStyle w:val="Heading4"/>
        <w:spacing w:before="200" w:after="80"/>
      </w:pPr>
      <w:r>
        <w:rPr>
          <w:rFonts w:ascii="Arial" w:hAnsi="Arial"/>
          <w:b/>
          <w:color w:val="1F4D78"/>
          <w:sz w:val="22"/>
        </w:rPr>
        <w:t>Comparação numérica e uma pegadinha de API</w:t>
      </w:r>
    </w:p>
    <w:p>
      <w:pPr>
        <w:spacing w:after="160"/>
      </w:pPr>
      <w:r>
        <w:rPr>
          <w:rFonts w:ascii="Arial" w:hAnsi="Arial"/>
          <w:b w:val="0"/>
          <w:color w:val="333333"/>
          <w:sz w:val="22"/>
        </w:rPr>
        <w:t>Algumas APIs do Google devolvem determinados números como texto. Comparar diretamente o número 3 com o texto "3" usando igualdade estrita retorna falso, embora sejam equivalentes. Por isso a função de comparação tenta converter os dois lados para número antes de decidir se existe divergência; quando isso não faz sentido, volta para comparação direta. Sem esse cuidado, o monitor poderia acusar erro em job correto e levar a cancelamento desnecessário.</w:t>
      </w:r>
    </w:p>
    <w:p>
      <w:pPr>
        <w:pStyle w:val="Heading4"/>
        <w:spacing w:before="200" w:after="80"/>
      </w:pPr>
      <w:r>
        <w:rPr>
          <w:rFonts w:ascii="Arial" w:hAnsi="Arial"/>
          <w:b/>
          <w:color w:val="1F4D78"/>
          <w:sz w:val="22"/>
        </w:rPr>
        <w:t>Checklist antes da criação do job</w:t>
      </w:r>
    </w:p>
    <w:p>
      <w:pPr>
        <w:spacing w:after="160"/>
      </w:pPr>
      <w:r>
        <w:rPr>
          <w:rFonts w:ascii="Arial" w:hAnsi="Arial"/>
          <w:b w:val="0"/>
          <w:color w:val="333333"/>
          <w:sz w:val="22"/>
        </w:rPr>
        <w:t>Três perguntas resumem a análise: o número de épocas é compatível com o tamanho do dataset ou foi copiado de tutorial? O learning rate multiplier faz sentido para o volume e intensidade desejada? O adapter size é o menor que representa o comportamento necessário? Levam pouco tempo, mas evitam que configuração ruim entre na fila só porque a API aceitou o payload.</w:t>
      </w:r>
    </w:p>
    <w:p>
      <w:pPr>
        <w:pStyle w:val="Heading4"/>
        <w:spacing w:before="200" w:after="80"/>
      </w:pPr>
      <w:r>
        <w:rPr>
          <w:rFonts w:ascii="Arial" w:hAnsi="Arial"/>
          <w:b/>
          <w:color w:val="1F4D78"/>
          <w:sz w:val="22"/>
        </w:rPr>
        <w:t>Onde começa a chamada real ao Google Cloud</w:t>
      </w:r>
    </w:p>
    <w:p>
      <w:pPr>
        <w:spacing w:after="160"/>
      </w:pPr>
      <w:r>
        <w:rPr>
          <w:rFonts w:ascii="Arial" w:hAnsi="Arial"/>
          <w:b w:val="0"/>
          <w:color w:val="333333"/>
          <w:sz w:val="22"/>
        </w:rPr>
        <w:t>Testes, validações e comparação de configuração podem rodar localmente sem custo. A partir do momento em que o script obtém token de acesso e consulta o Google Cloud, as chamadas dependem da autenticação real do projeto — o token é obtido pelo gcloud autenticado na máquina.</w:t>
      </w:r>
    </w:p>
    <w:p>
      <w:pPr>
        <w:pStyle w:val="Heading4"/>
        <w:spacing w:before="200" w:after="80"/>
      </w:pPr>
      <w:r>
        <w:rPr>
          <w:rFonts w:ascii="Arial" w:hAnsi="Arial"/>
          <w:b/>
          <w:color w:val="1F4D78"/>
          <w:sz w:val="22"/>
        </w:rPr>
        <w:t>Os testes automatizados desta etapa</w:t>
      </w:r>
    </w:p>
    <w:p>
      <w:pPr>
        <w:spacing w:after="160"/>
      </w:pPr>
      <w:r>
        <w:rPr>
          <w:rFonts w:ascii="Arial" w:hAnsi="Arial"/>
          <w:b w:val="0"/>
          <w:color w:val="333333"/>
          <w:sz w:val="22"/>
        </w:rPr>
        <w:t xml:space="preserve">A ferramenta de hiperparâmetro e monitoramento começa com </w:t>
      </w:r>
      <w:r>
        <w:rPr>
          <w:rFonts w:ascii="Arial" w:hAnsi="Arial"/>
          <w:b/>
          <w:color w:val="333333"/>
          <w:sz w:val="22"/>
        </w:rPr>
        <w:t>9 testes automatizados</w:t>
      </w:r>
      <w:r>
        <w:rPr>
          <w:rFonts w:ascii="Arial" w:hAnsi="Arial"/>
          <w:b w:val="0"/>
          <w:color w:val="333333"/>
          <w:sz w:val="22"/>
        </w:rPr>
        <w:t>, confirmando que a configuração real do módulo 3.2 passa pela validação, que epoch count igual a zero é rejeitado, que valor negativo ou não inteiro falha, e que a comparação entre solicitado e aplicado detecta divergência de valor e campo ausente. Outro teste cobre a equivalência entre texto e número. O script reproduz o bloqueio do epoch count zero localmente, mostrando o erro antes de qualquer acesso à rede.</w:t>
      </w:r>
    </w:p>
    <w:p>
      <w:pPr>
        <w:pStyle w:val="Heading4"/>
        <w:spacing w:before="200" w:after="80"/>
      </w:pPr>
      <w:r>
        <w:rPr>
          <w:rFonts w:ascii="Arial" w:hAnsi="Arial"/>
          <w:b/>
          <w:color w:val="1F4D78"/>
          <w:sz w:val="22"/>
        </w:rPr>
        <w:t>Consultando os hiperparâmetros realmente aplicados</w:t>
      </w:r>
    </w:p>
    <w:p>
      <w:pPr>
        <w:spacing w:after="160"/>
      </w:pPr>
      <w:r>
        <w:rPr>
          <w:rFonts w:ascii="Arial" w:hAnsi="Arial"/>
          <w:b w:val="0"/>
          <w:color w:val="333333"/>
          <w:sz w:val="22"/>
        </w:rPr>
        <w:t xml:space="preserve">Consulta-se novamente o job real do módulo 3.2 — a resposta confirma: learning rate multiplier em 5, adapter size em 4, epoch count correspondendo ao esperado. </w:t>
      </w:r>
      <w:r>
        <w:rPr>
          <w:rFonts w:ascii="Arial" w:hAnsi="Arial"/>
          <w:b/>
          <w:color w:val="333333"/>
          <w:sz w:val="22"/>
        </w:rPr>
        <w:t>Pedido e aplicado batem</w:t>
      </w:r>
      <w:r>
        <w:rPr>
          <w:rFonts w:ascii="Arial" w:hAnsi="Arial"/>
          <w:b w:val="0"/>
          <w:color w:val="333333"/>
          <w:sz w:val="22"/>
        </w:rPr>
        <w:t xml:space="preserve">. Esse resultado é tão importante quanto observar o caso inválido — a finalidade da comparação é produzir evidência de que a configuração executada corresponde ao que foi aprovado antes da criação do job. Os hiperparâmetros passam a fazer parte da </w:t>
      </w:r>
      <w:r>
        <w:rPr>
          <w:rFonts w:ascii="Arial" w:hAnsi="Arial"/>
          <w:b/>
          <w:color w:val="333333"/>
          <w:sz w:val="22"/>
        </w:rPr>
        <w:t>trilha auditável</w:t>
      </w:r>
      <w:r>
        <w:rPr>
          <w:rFonts w:ascii="Arial" w:hAnsi="Arial"/>
          <w:b w:val="0"/>
          <w:color w:val="333333"/>
          <w:sz w:val="22"/>
        </w:rPr>
        <w:t xml:space="preserve"> do treinamento.</w:t>
      </w:r>
    </w:p>
    <w:p>
      <w:pPr>
        <w:pStyle w:val="Heading4"/>
        <w:spacing w:before="200" w:after="80"/>
      </w:pPr>
      <w:r>
        <w:rPr>
          <w:rFonts w:ascii="Arial" w:hAnsi="Arial"/>
          <w:b/>
          <w:color w:val="1F4D78"/>
          <w:sz w:val="22"/>
        </w:rPr>
        <w:t>Monitoramento sem curva de loss</w:t>
      </w:r>
    </w:p>
    <w:p>
      <w:pPr>
        <w:spacing w:after="160"/>
      </w:pPr>
      <w:r>
        <w:rPr>
          <w:rFonts w:ascii="Arial" w:hAnsi="Arial"/>
          <w:b w:val="0"/>
          <w:color w:val="333333"/>
          <w:sz w:val="22"/>
        </w:rPr>
        <w:t>Quem está acostumado a treinamento local pode esperar que a API devolva uma curva de loss durante o job. Nesse fluxo do Vertex AI, essa curva não está disponível pela API usada. O provedor expõe estatística do dataset calculada durante a criação do job — também aceita um dataset de validação separado, capaz de produzir estatísticas de validação durante o treinamento, deixado de fora de propósito porque a avaliação rigorosa fica para o módulo 5. Aqui o objetivo é aprender a operar e monitorar o job sem misturar a discussão completa de baseline e qualidade final.</w:t>
      </w:r>
    </w:p>
    <w:p>
      <w:pPr>
        <w:pStyle w:val="Heading4"/>
        <w:spacing w:before="200" w:after="80"/>
      </w:pPr>
      <w:r>
        <w:rPr>
          <w:rFonts w:ascii="Arial" w:hAnsi="Arial"/>
          <w:b/>
          <w:color w:val="1F4D78"/>
          <w:sz w:val="22"/>
        </w:rPr>
        <w:t>Estatísticas reais do dataset de treinamento</w:t>
      </w:r>
    </w:p>
    <w:p>
      <w:pPr>
        <w:spacing w:after="160"/>
      </w:pPr>
      <w:r>
        <w:rPr>
          <w:rFonts w:ascii="Arial" w:hAnsi="Arial"/>
          <w:b w:val="0"/>
          <w:color w:val="333333"/>
          <w:sz w:val="22"/>
        </w:rPr>
        <w:t>A consulta do job devolve aproximadamente 27.353 tokens cobráveis para os 200 exemplos, com entrada na ordem de centena de token por exemplo e saída perto de 27 tokens em média, coerente com um JSON pequeno de três campos. Essas estatísticas não substituem a curva de loss, mas ajudam a entender o volume processado, a relação entre entrada/saída, e a base sobre a qual o provedor calcula a cobrança — também funcionam como verificação indireta: se uma tarefa que deveria produzir resposta curta aparecesse com saída muito grande, haveria motivo para voltar ao dataset.</w:t>
      </w:r>
    </w:p>
    <w:p>
      <w:pPr>
        <w:pStyle w:val="Heading4"/>
        <w:spacing w:before="200" w:after="80"/>
      </w:pPr>
      <w:r>
        <w:rPr>
          <w:rFonts w:ascii="Arial" w:hAnsi="Arial"/>
          <w:b/>
          <w:color w:val="1F4D78"/>
          <w:sz w:val="22"/>
        </w:rPr>
        <w:t>A configuração é contextual, não definitiva</w:t>
      </w:r>
    </w:p>
    <w:p>
      <w:pPr>
        <w:spacing w:after="160"/>
      </w:pPr>
      <w:r>
        <w:rPr>
          <w:rFonts w:ascii="Arial" w:hAnsi="Arial"/>
          <w:b w:val="0"/>
          <w:color w:val="333333"/>
          <w:sz w:val="22"/>
        </w:rPr>
        <w:t>Três épocas, learning rate multiplier 5 e adapter size 4 fazem sentido para o dataset e a tarefa atual — não viram default universal. Com dataset significativamente maior, provavelmente se reduziria o número de época; com tarefa mais ampla, talvez o rank do adaptador precisasse crescer. O princípio é sempre o mesmo: hiperparâmetro precisa ser decisão registrada e relacionada ao experimento, não número copiado sem contexto.</w:t>
      </w:r>
    </w:p>
    <w:p>
      <w:pPr>
        <w:spacing w:before="120" w:after="120"/>
        <w:ind w:left="360" w:right="360"/>
        <w:shd w:val="clear" w:fill="F5F5F5"/>
        <w:pBdr>
          <w:left w:val="single" w:color="2E75B6" w:sz="4" w:space="10"/>
        </w:pBdr>
      </w:pPr>
      <w:r>
        <w:rPr>
          <w:rFonts w:ascii="Arial" w:hAnsi="Arial"/>
          <w:b w:val="0"/>
          <w:color w:val="333333"/>
          <w:sz w:val="22"/>
        </w:rPr>
        <w:t>✅ Resultado/Conclusão: a próxima evolução é automatizar o fluxo que já possui as proteções necessárias — o script poderá preparar, validar, criar, registrar valores pedidos, consultar o que foi aplicado, e monitorar sozinho as mudanças de estado. Essa automação só é segura porque as validações foram construídas antes; automatizar um pipeline que confia cegamente na API só faria o erro silencioso acontecer com mais eficiência.</w:t>
      </w:r>
    </w:p>
    <w:p>
      <w:pPr>
        <w:pStyle w:val="Heading3"/>
        <w:spacing w:before="200" w:after="80"/>
      </w:pPr>
      <w:r>
        <w:rPr>
          <w:rFonts w:ascii="Arial" w:hAnsi="Arial"/>
          <w:b/>
          <w:color w:val="1F4D78"/>
          <w:sz w:val="24"/>
        </w:rPr>
        <w:t>Aula 4: Fine-Tuning via API (upload e train) (PT-4)</w:t>
      </w:r>
    </w:p>
    <w:p>
      <w:pPr>
        <w:pStyle w:val="Heading4"/>
        <w:spacing w:before="200" w:after="80"/>
      </w:pPr>
      <w:r>
        <w:rPr>
          <w:rFonts w:ascii="Arial" w:hAnsi="Arial"/>
          <w:b/>
          <w:color w:val="1F4D78"/>
          <w:sz w:val="22"/>
        </w:rPr>
        <w:t>Juntando as peças numa automação</w:t>
      </w:r>
    </w:p>
    <w:p>
      <w:pPr>
        <w:spacing w:after="160"/>
      </w:pPr>
      <w:r>
        <w:rPr>
          <w:rFonts w:ascii="Arial" w:hAnsi="Arial"/>
          <w:b w:val="0"/>
          <w:color w:val="333333"/>
          <w:sz w:val="22"/>
        </w:rPr>
        <w:t>No capítulo anterior, ficaram prontas duas proteções: validação local antes da criação do job, e comparação entre solicitado e aplicado depois. Também se passou a consultar estatística real do treinamento. Até aqui, cada etapa era executada de forma isolada, sempre com comando específico. Agora junta-se essas peças numa única automação em JavaScript, transformando conversão, validação, upload, criação de job e acompanhamento num fluxo sequencial capaz de operar sozinho sem perder os gates de segurança já construídos.</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w:t>
      </w:r>
      <w:r>
        <w:rPr>
          <w:rFonts w:ascii="Arial" w:hAnsi="Arial"/>
          <w:b/>
          <w:color w:val="333333"/>
          <w:sz w:val="22"/>
        </w:rPr>
        <w:t>automatizar não significa remover todo controle humano</w:t>
      </w:r>
      <w:r>
        <w:rPr>
          <w:rFonts w:ascii="Arial" w:hAnsi="Arial"/>
          <w:b w:val="0"/>
          <w:color w:val="333333"/>
          <w:sz w:val="22"/>
        </w:rPr>
        <w:t>. Pelo contrário — quanto mais etapa um script consegue executar sem supervisão, mais importante fica decidir quais ações são seguras para rodar sozinhas e quais precisam de confirmação explícita antes de provocar custo ou criar recurso real.</w:t>
      </w:r>
    </w:p>
    <w:p>
      <w:pPr>
        <w:pStyle w:val="Heading4"/>
        <w:spacing w:before="200" w:after="80"/>
      </w:pPr>
      <w:r>
        <w:rPr>
          <w:rFonts w:ascii="Arial" w:hAnsi="Arial"/>
          <w:b/>
          <w:color w:val="1F4D78"/>
          <w:sz w:val="22"/>
        </w:rPr>
        <w:t>Os cinco passos da automação</w:t>
      </w:r>
    </w:p>
    <w:p>
      <w:pPr>
        <w:spacing w:after="160"/>
      </w:pPr>
      <w:r>
        <w:rPr>
          <w:rFonts w:ascii="Arial" w:hAnsi="Arial"/>
          <w:b w:val="0"/>
          <w:color w:val="333333"/>
          <w:sz w:val="22"/>
        </w:rPr>
        <w:t>A função de orquestração encadeia cinco passos: converter os exemplos para o formato Gemini, validar hiperparâmetro, enviar dataset para o bucket, criar o job, acompanhar até estado terminal. Os dois primeiros passos reutilizam a lógica dos capítulos anteriores, agora incorporada ao script — a intenção não é mudar comportamento, é provar que as peças continuam funcionando quando deixam de ser chamadas manualmente e passam a fazer parte de uma cadeia única. A ordem importa: não dá para criar job sem dataset enviado, não dá para fazer upload antes de converter, não faz sentido acompanhar um job que ainda não existe.</w:t>
      </w:r>
    </w:p>
    <w:p>
      <w:pPr>
        <w:pStyle w:val="Heading4"/>
        <w:spacing w:before="200" w:after="80"/>
      </w:pPr>
      <w:r>
        <w:rPr>
          <w:rFonts w:ascii="Arial" w:hAnsi="Arial"/>
          <w:b/>
          <w:color w:val="1F4D78"/>
          <w:sz w:val="22"/>
        </w:rPr>
        <w:t>Sequência simples e falha rápida</w:t>
      </w:r>
    </w:p>
    <w:p>
      <w:pPr>
        <w:spacing w:after="160"/>
      </w:pPr>
      <w:r>
        <w:rPr>
          <w:rFonts w:ascii="Arial" w:hAnsi="Arial"/>
          <w:b w:val="0"/>
          <w:color w:val="333333"/>
          <w:sz w:val="22"/>
        </w:rPr>
        <w:t xml:space="preserve">A orquestração é propositalmente sequencial — cada etapa espera a anterior terminar. Se o upload falhar por permissão incorreta, indisponibilidade de rede ou destino inválido, a execução é interrompida ali; o código não avança para a criação do job com estado incompleto. O mesmo vale para a validação — exemplo incompleto para antes dos hiperparâmetros, hiperparâmetro inválido para antes do upload. Esse </w:t>
      </w:r>
      <w:r>
        <w:rPr>
          <w:rFonts w:ascii="Arial" w:hAnsi="Arial"/>
          <w:b/>
          <w:color w:val="333333"/>
          <w:sz w:val="22"/>
        </w:rPr>
        <w:t>fail fast</w:t>
      </w:r>
      <w:r>
        <w:rPr>
          <w:rFonts w:ascii="Arial" w:hAnsi="Arial"/>
          <w:b w:val="0"/>
          <w:color w:val="333333"/>
          <w:sz w:val="22"/>
        </w:rPr>
        <w:t xml:space="preserve"> evita que falha pequena no início se transforme em recurso criado incorretamente no final — muitas vezes uma função assíncrona simples e sequencial fornece garantia mais clara do que orquestração excessivamente paralela para um fluxo em que cada etapa depende da anterior.</w:t>
      </w:r>
    </w:p>
    <w:p>
      <w:pPr>
        <w:pStyle w:val="Heading4"/>
        <w:spacing w:before="200" w:after="80"/>
      </w:pPr>
      <w:r>
        <w:rPr>
          <w:rFonts w:ascii="Arial" w:hAnsi="Arial"/>
          <w:b/>
          <w:color w:val="1F4D78"/>
          <w:sz w:val="22"/>
        </w:rPr>
        <w:t>A etapa que não deve rodar sem confirmação</w:t>
      </w:r>
    </w:p>
    <w:p>
      <w:pPr>
        <w:spacing w:after="160"/>
      </w:pPr>
      <w:r>
        <w:rPr>
          <w:rFonts w:ascii="Arial" w:hAnsi="Arial"/>
          <w:b w:val="0"/>
          <w:color w:val="333333"/>
          <w:sz w:val="22"/>
        </w:rPr>
        <w:t xml:space="preserve">Entre os cinco passos, a criação do job recebe tratamento diferente. Converter dado, validar parâmetro, consultar estado e até repetir um upload para o mesmo destino são operações automatizáveis com risco relativamente controlado. Criar um job, porém, gera </w:t>
      </w:r>
      <w:r>
        <w:rPr>
          <w:rFonts w:ascii="Arial" w:hAnsi="Arial"/>
          <w:b/>
          <w:color w:val="333333"/>
          <w:sz w:val="22"/>
        </w:rPr>
        <w:t>recurso cobrável</w:t>
      </w:r>
      <w:r>
        <w:rPr>
          <w:rFonts w:ascii="Arial" w:hAnsi="Arial"/>
          <w:b w:val="0"/>
          <w:color w:val="333333"/>
          <w:sz w:val="22"/>
        </w:rPr>
        <w:t xml:space="preserve">. Por isso a função de criação só executa a chamada de rede quando recebe uma </w:t>
      </w:r>
      <w:r>
        <w:rPr>
          <w:rFonts w:ascii="Arial" w:hAnsi="Arial"/>
          <w:b/>
          <w:color w:val="333333"/>
          <w:sz w:val="22"/>
        </w:rPr>
        <w:t>confirmação explícita igual a true</w:t>
      </w:r>
      <w:r>
        <w:rPr>
          <w:rFonts w:ascii="Arial" w:hAnsi="Arial"/>
          <w:b w:val="0"/>
          <w:color w:val="333333"/>
          <w:sz w:val="22"/>
        </w:rPr>
        <w:t xml:space="preserve"> nas opções — sem essa confirmação, o erro é lançado localmente antes de qualquer chamada ao provedor. A mensagem relembra inclusive o incidente do módulo anterior, quando um epoch count inválido foi aceito pela API e iniciou treinamento real.</w:t>
      </w:r>
    </w:p>
    <w:p>
      <w:pPr>
        <w:spacing w:after="160"/>
      </w:pPr>
      <w:r>
        <w:rPr>
          <w:rFonts w:ascii="Arial" w:hAnsi="Arial"/>
          <w:b w:val="0"/>
          <w:color w:val="333333"/>
          <w:sz w:val="22"/>
        </w:rPr>
        <w:t>A regra é deliberada: automação de verdade não é ausência de supervisão — é colocar supervisão exatamente onde o impacto justifica.</w:t>
      </w:r>
    </w:p>
    <w:p>
      <w:pPr>
        <w:pStyle w:val="Heading4"/>
        <w:spacing w:before="200" w:after="80"/>
      </w:pPr>
      <w:r>
        <w:rPr>
          <w:rFonts w:ascii="Arial" w:hAnsi="Arial"/>
          <w:b/>
          <w:color w:val="1F4D78"/>
          <w:sz w:val="22"/>
        </w:rPr>
        <w:t>O padrão de confirmação antes de uma ação cara</w:t>
      </w:r>
    </w:p>
    <w:p>
      <w:pPr>
        <w:spacing w:after="160"/>
      </w:pPr>
      <w:r>
        <w:rPr>
          <w:rFonts w:ascii="Arial" w:hAnsi="Arial"/>
          <w:b w:val="0"/>
          <w:color w:val="333333"/>
          <w:sz w:val="22"/>
        </w:rPr>
        <w:t xml:space="preserve">Essa trava segue um princípio que aparece em outras ferramentas de infraestrutura — a separação entre planejar e aplicar uma mudança em Infraestrutura como Código: primeiro se vê o que será feito, depois confirma-se a execução que realmente altera recurso. Diferentes serviços de cloud também têm modo de simulação (dry run) pelo mesmo motivo. A confirmação explícita no script de fine-tuning é uma versão mínima desse padrão aplicada à criação de um job que custa dinheiro. Essa ideia se conecta aos gates dos módulos anteriores — no módulo 2.1, um documento precisava provar relevância antes de entrar no dataset; no módulo 2.2, o balanceamento nunca podia alocar mais exemplo do que uma fonte possuía. Quando uma ação pode causar dano real, valida-se </w:t>
      </w:r>
      <w:r>
        <w:rPr>
          <w:rFonts w:ascii="Arial" w:hAnsi="Arial"/>
          <w:b/>
          <w:color w:val="333333"/>
          <w:sz w:val="22"/>
        </w:rPr>
        <w:t>antes</w:t>
      </w:r>
      <w:r>
        <w:rPr>
          <w:rFonts w:ascii="Arial" w:hAnsi="Arial"/>
          <w:b w:val="0"/>
          <w:color w:val="333333"/>
          <w:sz w:val="22"/>
        </w:rPr>
        <w:t>, não depois.</w:t>
      </w:r>
    </w:p>
    <w:p>
      <w:pPr>
        <w:pStyle w:val="Heading4"/>
        <w:spacing w:before="200" w:after="80"/>
      </w:pPr>
      <w:r>
        <w:rPr>
          <w:rFonts w:ascii="Arial" w:hAnsi="Arial"/>
          <w:b/>
          <w:color w:val="1F4D78"/>
          <w:sz w:val="22"/>
        </w:rPr>
        <w:t>Idempotência parcial do pipeline</w:t>
      </w:r>
    </w:p>
    <w:p>
      <w:pPr>
        <w:spacing w:after="160"/>
      </w:pPr>
      <w:r>
        <w:rPr>
          <w:rFonts w:ascii="Arial" w:hAnsi="Arial"/>
          <w:b w:val="0"/>
          <w:color w:val="333333"/>
          <w:sz w:val="22"/>
        </w:rPr>
        <w:t xml:space="preserve">A automação também precisa considerar o que acontece se o script rodar duas vezes. No passo de upload, repetir a operação para o mesmo caminho substitui o objeto no destino e mantém o mesmo resultado final — o upload é </w:t>
      </w:r>
      <w:r>
        <w:rPr>
          <w:rFonts w:ascii="Arial" w:hAnsi="Arial"/>
          <w:b/>
          <w:color w:val="333333"/>
          <w:sz w:val="22"/>
        </w:rPr>
        <w:t>idempotente</w:t>
      </w:r>
      <w:r>
        <w:rPr>
          <w:rFonts w:ascii="Arial" w:hAnsi="Arial"/>
          <w:b w:val="0"/>
          <w:color w:val="333333"/>
          <w:sz w:val="22"/>
        </w:rPr>
        <w:t xml:space="preserve"> para o caso apresentado. A criação do job não tem essa propriedade — cada chamada bem-sucedida cria um novo treinamento e pode gerar nova cobrança. É por isso que a confirmação explícita fica justamente nesse ponto: não faria sentido exigir intervenção humana para toda etapa segura, mas seria perigoso permitir que uma nova execução acidental criasse outro job silenciosamente.</w:t>
      </w:r>
    </w:p>
    <w:p>
      <w:pPr>
        <w:pStyle w:val="Heading4"/>
        <w:spacing w:before="200" w:after="80"/>
      </w:pPr>
      <w:r>
        <w:rPr>
          <w:rFonts w:ascii="Arial" w:hAnsi="Arial"/>
          <w:b/>
          <w:color w:val="1F4D78"/>
          <w:sz w:val="22"/>
        </w:rPr>
        <w:t>O problema do polling constante</w:t>
      </w:r>
    </w:p>
    <w:p>
      <w:pPr>
        <w:spacing w:after="160"/>
      </w:pPr>
      <w:r>
        <w:rPr>
          <w:rFonts w:ascii="Arial" w:hAnsi="Arial"/>
          <w:b w:val="0"/>
          <w:color w:val="333333"/>
          <w:sz w:val="22"/>
        </w:rPr>
        <w:t xml:space="preserve">Depois de criar o job, a automação precisa acompanhar o status até o final. Consultar a API a cada segundo seria simples, mas ineficiente — na maior parte do tempo, um job continua no mesmo estado sem informação nova para recuperar. É preciso uma estratégia que consulte com frequência suficiente para continuar responsiva, mas sem martelar o endpoint desnecessariamente. A solução: </w:t>
      </w:r>
      <w:r>
        <w:rPr>
          <w:rFonts w:ascii="Arial" w:hAnsi="Arial"/>
          <w:b/>
          <w:color w:val="333333"/>
          <w:sz w:val="22"/>
        </w:rPr>
        <w:t>backoff exponencial</w:t>
      </w:r>
      <w:r>
        <w:rPr>
          <w:rFonts w:ascii="Arial" w:hAnsi="Arial"/>
          <w:b w:val="0"/>
          <w:color w:val="333333"/>
          <w:sz w:val="22"/>
        </w:rPr>
        <w:t>.</w:t>
      </w:r>
    </w:p>
    <w:p>
      <w:pPr>
        <w:pStyle w:val="Heading4"/>
        <w:spacing w:before="200" w:after="80"/>
      </w:pPr>
      <w:r>
        <w:rPr>
          <w:rFonts w:ascii="Arial" w:hAnsi="Arial"/>
          <w:b/>
          <w:color w:val="1F4D78"/>
          <w:sz w:val="22"/>
        </w:rPr>
        <w:t>Backoff exponencial com teto</w:t>
      </w:r>
    </w:p>
    <w:p>
      <w:pPr>
        <w:spacing w:after="160"/>
      </w:pPr>
      <w:r>
        <w:rPr>
          <w:rFonts w:ascii="Arial" w:hAnsi="Arial"/>
          <w:b w:val="0"/>
          <w:color w:val="333333"/>
          <w:sz w:val="22"/>
        </w:rPr>
        <w:t xml:space="preserve">A primeira consulta acontece imediatamente depois da criação do job. Se o estado ainda não for terminal, o script espera entre as próximas consultas — o primeiro intervalo é de </w:t>
      </w:r>
      <w:r>
        <w:rPr>
          <w:rFonts w:ascii="Arial" w:hAnsi="Arial"/>
          <w:b/>
          <w:color w:val="333333"/>
          <w:sz w:val="22"/>
        </w:rPr>
        <w:t>5 segundos</w:t>
      </w:r>
      <w:r>
        <w:rPr>
          <w:rFonts w:ascii="Arial" w:hAnsi="Arial"/>
          <w:b w:val="0"/>
          <w:color w:val="333333"/>
          <w:sz w:val="22"/>
        </w:rPr>
        <w:t xml:space="preserve">, depois cada espera é multiplicada por </w:t>
      </w:r>
      <w:r>
        <w:rPr>
          <w:rFonts w:ascii="Arial" w:hAnsi="Arial"/>
          <w:b/>
          <w:color w:val="333333"/>
          <w:sz w:val="22"/>
        </w:rPr>
        <w:t>1,5</w:t>
      </w:r>
      <w:r>
        <w:rPr>
          <w:rFonts w:ascii="Arial" w:hAnsi="Arial"/>
          <w:b w:val="0"/>
          <w:color w:val="333333"/>
          <w:sz w:val="22"/>
        </w:rPr>
        <w:t xml:space="preserve"> até chegar a um teto de </w:t>
      </w:r>
      <w:r>
        <w:rPr>
          <w:rFonts w:ascii="Arial" w:hAnsi="Arial"/>
          <w:b/>
          <w:color w:val="333333"/>
          <w:sz w:val="22"/>
        </w:rPr>
        <w:t>60 segundos</w:t>
      </w:r>
      <w:r>
        <w:rPr>
          <w:rFonts w:ascii="Arial" w:hAnsi="Arial"/>
          <w:b w:val="0"/>
          <w:color w:val="333333"/>
          <w:sz w:val="22"/>
        </w:rPr>
        <w:t>. A sequência cresce aproximadamente de 5 para 7,5, depois 11,25, 16,875, e continua até estabilizar em 60 segundos. O crescimento evita chamada excessiva; o teto evita o problema contrário — sem limite, um job de horas poderia fazer o intervalo crescer tanto que a automação passaria muito minuto sem perceber que o treinamento já havia terminado. Com o teto de 60 segundos, mesmo em job longo, o atraso máximo para detectar o estado final fica limitado a aproximadamente um minuto.</w:t>
      </w:r>
    </w:p>
    <w:p>
      <w:pPr>
        <w:pStyle w:val="Heading4"/>
        <w:spacing w:before="200" w:after="80"/>
      </w:pPr>
      <w:r>
        <w:rPr>
          <w:rFonts w:ascii="Arial" w:hAnsi="Arial"/>
          <w:b/>
          <w:color w:val="1F4D78"/>
          <w:sz w:val="22"/>
        </w:rPr>
        <w:t>Por que usar fator 1,5</w:t>
      </w:r>
    </w:p>
    <w:p>
      <w:pPr>
        <w:spacing w:after="160"/>
      </w:pPr>
      <w:r>
        <w:rPr>
          <w:rFonts w:ascii="Arial" w:hAnsi="Arial"/>
          <w:b w:val="0"/>
          <w:color w:val="333333"/>
          <w:sz w:val="22"/>
        </w:rPr>
        <w:t>O fator não é o único possível — se dobrasse o intervalo a cada rodada, chegaria ao teto mais rápido, fazendo menos chamada, mas ficaria mais tempo sem consultar justamente na faixa intermediária, onde um job de duração média pode terminar. O crescimento por 1,5 é mais gradual — consome algumas consultas adicionais no início, mas mantém maior responsividade até alcançar o platô de 60 segundos. Para os jobs desta disciplina, que levam dezenas de minutos, a maior parte do tempo de acompanhamento acaba acontecendo já nesse teto.</w:t>
      </w:r>
    </w:p>
    <w:p>
      <w:pPr>
        <w:pStyle w:val="Heading4"/>
        <w:spacing w:before="200" w:after="80"/>
      </w:pPr>
      <w:r>
        <w:rPr>
          <w:rFonts w:ascii="Arial" w:hAnsi="Arial"/>
          <w:b/>
          <w:color w:val="1F4D78"/>
          <w:sz w:val="22"/>
        </w:rPr>
        <w:t>Callback para tornar o acompanhamento observável</w:t>
      </w:r>
    </w:p>
    <w:p>
      <w:pPr>
        <w:spacing w:after="160"/>
      </w:pPr>
      <w:r>
        <w:rPr>
          <w:rFonts w:ascii="Arial" w:hAnsi="Arial"/>
          <w:b w:val="0"/>
          <w:color w:val="333333"/>
          <w:sz w:val="22"/>
        </w:rPr>
        <w:t xml:space="preserve">O loop de monitoramento também usa um </w:t>
      </w:r>
      <w:r>
        <w:rPr>
          <w:rFonts w:ascii="Arial" w:hAnsi="Arial"/>
          <w:b/>
          <w:color w:val="333333"/>
          <w:sz w:val="22"/>
        </w:rPr>
        <w:t>callback</w:t>
      </w:r>
      <w:r>
        <w:rPr>
          <w:rFonts w:ascii="Arial" w:hAnsi="Arial"/>
          <w:b w:val="0"/>
          <w:color w:val="333333"/>
          <w:sz w:val="22"/>
        </w:rPr>
        <w:t xml:space="preserve"> — função fornecida ao processo para ser chamada automaticamente quando um evento acontece, recebendo atualizações conforme o script consulta o estado do job. Isso permite registrar Pending, Running e Succeeded sem que alguém precise consultar manualmente a API. Sem callback, o acompanhamento poderia funcionar internamente e ainda parecer travado para quem observa o terminal — a automação estaria viva, mas muda por fora. Observabilidade também faz parte de uma automação confiável.</w:t>
      </w:r>
    </w:p>
    <w:p>
      <w:pPr>
        <w:pStyle w:val="Heading4"/>
        <w:spacing w:before="200" w:after="80"/>
      </w:pPr>
      <w:r>
        <w:rPr>
          <w:rFonts w:ascii="Arial" w:hAnsi="Arial"/>
          <w:b/>
          <w:color w:val="1F4D78"/>
          <w:sz w:val="22"/>
        </w:rPr>
        <w:t>A fronteira entre execução local e Google Cloud</w:t>
      </w:r>
    </w:p>
    <w:p>
      <w:pPr>
        <w:spacing w:after="160"/>
      </w:pPr>
      <w:r>
        <w:rPr>
          <w:rFonts w:ascii="Arial" w:hAnsi="Arial"/>
          <w:b w:val="0"/>
          <w:color w:val="333333"/>
          <w:sz w:val="22"/>
        </w:rPr>
        <w:t>Conversão e validação rodam sem custo e sem dependência de credencial externa. A partir do upload, criação e acompanhamento, o código passa a interagir com o Google Cloud de verdade — autenticação, permissão, bucket, API e recurso cobrável. Manter essa fronteira explícita facilita teste e reduz o risco de uma alteração em lógica local disparar acidentalmente alguma ação remota.</w:t>
      </w:r>
    </w:p>
    <w:p>
      <w:pPr>
        <w:pStyle w:val="Heading4"/>
        <w:spacing w:before="200" w:after="80"/>
      </w:pPr>
      <w:r>
        <w:rPr>
          <w:rFonts w:ascii="Arial" w:hAnsi="Arial"/>
          <w:b/>
          <w:color w:val="1F4D78"/>
          <w:sz w:val="22"/>
        </w:rPr>
        <w:t>Os dezoito testes automatizados</w:t>
      </w:r>
    </w:p>
    <w:p>
      <w:pPr>
        <w:spacing w:after="160"/>
      </w:pPr>
      <w:r>
        <w:rPr>
          <w:rFonts w:ascii="Arial" w:hAnsi="Arial"/>
          <w:b w:val="0"/>
          <w:color w:val="333333"/>
          <w:sz w:val="22"/>
        </w:rPr>
        <w:t xml:space="preserve">A demonstração executa </w:t>
      </w:r>
      <w:r>
        <w:rPr>
          <w:rFonts w:ascii="Arial" w:hAnsi="Arial"/>
          <w:b/>
          <w:color w:val="333333"/>
          <w:sz w:val="22"/>
        </w:rPr>
        <w:t>18 testes automatizados</w:t>
      </w:r>
      <w:r>
        <w:rPr>
          <w:rFonts w:ascii="Arial" w:hAnsi="Arial"/>
          <w:b w:val="0"/>
          <w:color w:val="333333"/>
          <w:sz w:val="22"/>
        </w:rPr>
        <w:t xml:space="preserve"> divididos em grupo. O grupo de upload verifica se o comando de cópia para o bucket é montado corretamente, se um arquivo que não é JSONL é rejeitado, e se o destino precisa começar com o esquema esperado do Google Cloud Storage. Outro grupo testa a </w:t>
      </w:r>
      <w:r>
        <w:rPr>
          <w:rFonts w:ascii="Arial" w:hAnsi="Arial"/>
          <w:b/>
          <w:color w:val="333333"/>
          <w:sz w:val="22"/>
        </w:rPr>
        <w:t>trava de confirmação</w:t>
      </w:r>
      <w:r>
        <w:rPr>
          <w:rFonts w:ascii="Arial" w:hAnsi="Arial"/>
          <w:b w:val="0"/>
          <w:color w:val="333333"/>
          <w:sz w:val="22"/>
        </w:rPr>
        <w:t xml:space="preserve"> — a criação é bloqueada sem confirmação, continua bloqueada com opções vazias, e só é liberada quando a confirmação é explicitamente verdadeira. Também são repetidos testes de conversão para o formato Gemini e validação de hiperparâmetro, garantindo que incorporar a mesma lógica numa automação maior não alterou o comportamento validado anteriormente.</w:t>
      </w:r>
    </w:p>
    <w:p>
      <w:pPr>
        <w:pStyle w:val="Heading4"/>
        <w:spacing w:before="200" w:after="80"/>
      </w:pPr>
      <w:r>
        <w:rPr>
          <w:rFonts w:ascii="Arial" w:hAnsi="Arial"/>
          <w:b/>
          <w:color w:val="1F4D78"/>
          <w:sz w:val="22"/>
        </w:rPr>
        <w:t>Testando a orquestração de ponta a ponta</w:t>
      </w:r>
    </w:p>
    <w:p>
      <w:pPr>
        <w:spacing w:after="160"/>
      </w:pPr>
      <w:r>
        <w:rPr>
          <w:rFonts w:ascii="Arial" w:hAnsi="Arial"/>
          <w:b w:val="0"/>
          <w:color w:val="333333"/>
          <w:sz w:val="22"/>
        </w:rPr>
        <w:t>Um grupo novo testa a função que coordena os cinco passos, confirmando que conversão, validação, upload, criação e acompanhamento acontecem na ordem correta e que o resultado de cada etapa é devolvido pela orquestração. Também verifica os caminhos de falha — exemplo incompleto interrompe antes da validação, hiperparâmetro inválido interrompe antes do upload, confirmação continua sendo exigida na criação. Esses testes importam porque uma coleção de função correta não garante automaticamente que a composição delas também esteja correta — o comportamento da cadeia precisa ser testado como unidade.</w:t>
      </w:r>
    </w:p>
    <w:p>
      <w:pPr>
        <w:pStyle w:val="Heading4"/>
        <w:spacing w:before="200" w:after="80"/>
      </w:pPr>
      <w:r>
        <w:rPr>
          <w:rFonts w:ascii="Arial" w:hAnsi="Arial"/>
          <w:b/>
          <w:color w:val="1F4D78"/>
          <w:sz w:val="22"/>
        </w:rPr>
        <w:t>Testando o backoff</w:t>
      </w:r>
    </w:p>
    <w:p>
      <w:pPr>
        <w:spacing w:after="160"/>
      </w:pPr>
      <w:r>
        <w:rPr>
          <w:rFonts w:ascii="Arial" w:hAnsi="Arial"/>
          <w:b w:val="0"/>
          <w:color w:val="333333"/>
          <w:sz w:val="22"/>
        </w:rPr>
        <w:t>O cálculo do backoff também recebe teste próprio, confirmando que o fator de crescimento é aplicado corretamente, que o teto de 60 segundos nunca é ultrapassado, e que depois de várias rodadas o intervalo realmente satura no limite esperado. Isso evita que uma mudança pequena no cálculo transforme o monitor em cliente agressivo demais ou, no extremo contrário, num processo lento demais para perceber o fim do job.</w:t>
      </w:r>
    </w:p>
    <w:p>
      <w:pPr>
        <w:pStyle w:val="Heading4"/>
        <w:spacing w:before="200" w:after="80"/>
      </w:pPr>
      <w:r>
        <w:rPr>
          <w:rFonts w:ascii="Arial" w:hAnsi="Arial"/>
          <w:b/>
          <w:color w:val="1F4D78"/>
          <w:sz w:val="22"/>
        </w:rPr>
        <w:t>Testando lógica assíncrona sem rede nem espera real</w:t>
      </w:r>
    </w:p>
    <w:p>
      <w:pPr>
        <w:spacing w:after="160"/>
      </w:pPr>
      <w:r>
        <w:rPr>
          <w:rFonts w:ascii="Arial" w:hAnsi="Arial"/>
          <w:b w:val="0"/>
          <w:color w:val="333333"/>
          <w:sz w:val="22"/>
        </w:rPr>
        <w:t xml:space="preserve">O grupo mais importante testa o loop assíncrono de acompanhamento sem usar a rede e sem esperar segundos de verdade. Para isso, a função de consulta e a função de espera são </w:t>
      </w:r>
      <w:r>
        <w:rPr>
          <w:rFonts w:ascii="Arial" w:hAnsi="Arial"/>
          <w:b/>
          <w:color w:val="333333"/>
          <w:sz w:val="22"/>
        </w:rPr>
        <w:t>injetáveis</w:t>
      </w:r>
      <w:r>
        <w:rPr>
          <w:rFonts w:ascii="Arial" w:hAnsi="Arial"/>
          <w:b w:val="0"/>
          <w:color w:val="333333"/>
          <w:sz w:val="22"/>
        </w:rPr>
        <w:t xml:space="preserve"> — durante o teste, substituem-se ambas por versões falsas e controláveis. Um teste simula um job que já está em estado terminal na primeira consulta, sem nenhuma espera. Outro simula a sequência Pending, Running, Running, Succeeded — o loop consulta quatro vezes e espera exatamente três, uma entre cada estado não terminal. Um terceiro verifica que o callback recebe todos os estados intermediários na ordem correta, não só o resultado final.</w:t>
      </w:r>
    </w:p>
    <w:p>
      <w:pPr>
        <w:pStyle w:val="Heading4"/>
        <w:spacing w:before="200" w:after="80"/>
      </w:pPr>
      <w:r>
        <w:rPr>
          <w:rFonts w:ascii="Arial" w:hAnsi="Arial"/>
          <w:b/>
          <w:color w:val="1F4D78"/>
          <w:sz w:val="22"/>
        </w:rPr>
        <w:t>Injeção de dependência</w:t>
      </w:r>
    </w:p>
    <w:p>
      <w:pPr>
        <w:spacing w:after="160"/>
      </w:pPr>
      <w:r>
        <w:rPr>
          <w:rFonts w:ascii="Arial" w:hAnsi="Arial"/>
          <w:b w:val="0"/>
          <w:color w:val="333333"/>
          <w:sz w:val="22"/>
        </w:rPr>
        <w:t xml:space="preserve">A técnica recebe nome formal: </w:t>
      </w:r>
      <w:r>
        <w:rPr>
          <w:rFonts w:ascii="Arial" w:hAnsi="Arial"/>
          <w:b/>
          <w:color w:val="333333"/>
          <w:sz w:val="22"/>
        </w:rPr>
        <w:t>injeção de dependência</w:t>
      </w:r>
      <w:r>
        <w:rPr>
          <w:rFonts w:ascii="Arial" w:hAnsi="Arial"/>
          <w:b w:val="0"/>
          <w:color w:val="333333"/>
          <w:sz w:val="22"/>
        </w:rPr>
        <w:t>. Em vez de a função de acompanhamento estar presa a uma implementação fixa de consulta de rede e espera real, essas operações entram como dependências substituíveis. Em produção, fornece-se a função que consulta a API e a função que realmente espera; no teste, fornecem-se versões falsas que retornam exatamente os estados desejados e concluem em milissegundos. Sem essa separação, testar o loop exigiria conexão real ou minutos de espera entre consultas — a suíte ficaria lenta, cara e sujeita a falha externa. Com a injeção, a lógica assíncrona continua sendo a mesma, mas a infraestrutura é trocada por versão controlável.</w:t>
      </w:r>
    </w:p>
    <w:p>
      <w:pPr>
        <w:pStyle w:val="Heading4"/>
        <w:spacing w:before="200" w:after="80"/>
      </w:pPr>
      <w:r>
        <w:rPr>
          <w:rFonts w:ascii="Arial" w:hAnsi="Arial"/>
          <w:b/>
          <w:color w:val="1F4D78"/>
          <w:sz w:val="22"/>
        </w:rPr>
        <w:t>Acompanhando o job real</w:t>
      </w:r>
    </w:p>
    <w:p>
      <w:pPr>
        <w:spacing w:after="160"/>
      </w:pPr>
      <w:r>
        <w:rPr>
          <w:rFonts w:ascii="Arial" w:hAnsi="Arial"/>
          <w:b w:val="0"/>
          <w:color w:val="333333"/>
          <w:sz w:val="22"/>
        </w:rPr>
        <w:t>Depois da suíte, a demonstração volta ao job real do módulo 3.2. Como o treinamento já terminou, a primeira consulta encontra diretamente o estado Succeeded — o loop identifica o estado terminal e devolve o endpoint publicado sem executar espera adicional. Se o job ainda estivesse em andamento, o mesmo código continuaria sozinho, consultando com backoff e chamando o callback até o estado final — a diferença é que agora não é preciso digitar novo comando para cada consulta; o acompanhamento deixou de ser sequência manual e virou comportamento do próprio pipeline.</w:t>
      </w:r>
    </w:p>
    <w:p>
      <w:pPr>
        <w:spacing w:before="120" w:after="120"/>
        <w:ind w:left="360" w:right="360"/>
        <w:shd w:val="clear" w:fill="F5F5F5"/>
        <w:pBdr>
          <w:left w:val="single" w:color="2E75B6" w:sz="4" w:space="10"/>
        </w:pBdr>
      </w:pPr>
      <w:r>
        <w:rPr>
          <w:rFonts w:ascii="Arial" w:hAnsi="Arial"/>
          <w:b w:val="0"/>
          <w:color w:val="333333"/>
          <w:sz w:val="22"/>
        </w:rPr>
        <w:t>✅ Resultado/Conclusão: ao final desta etapa, existe um pipeline que converte o dataset, valida configuração, prepara o upload, cria o job somente com confirmação explícita, e acompanha o treinamento até obter o endpoint final — com teste para caminho feliz e de falha, proteção contra criação acidental de recurso, e estratégia de polling que respeita a API sem perder responsividade. O endpoint produzido pelo job do módulo 3.2 agora é o artefato que segue para o próximo passo: no capítulo seguinte, ele será versionado e documentado, fechando o ciclo do fine-tuning via API.</w:t>
      </w:r>
    </w:p>
    <w:p>
      <w:pPr>
        <w:pStyle w:val="Heading3"/>
        <w:spacing w:before="200" w:after="80"/>
      </w:pPr>
      <w:r>
        <w:rPr>
          <w:rFonts w:ascii="Arial" w:hAnsi="Arial"/>
          <w:b/>
          <w:color w:val="1F4D78"/>
          <w:sz w:val="24"/>
        </w:rPr>
        <w:t>Aula 5: Fine-Tuning via API (upload e train) (PT-5)</w:t>
      </w:r>
    </w:p>
    <w:p>
      <w:pPr>
        <w:pStyle w:val="Heading4"/>
        <w:spacing w:before="200" w:after="80"/>
      </w:pPr>
      <w:r>
        <w:rPr>
          <w:rFonts w:ascii="Arial" w:hAnsi="Arial"/>
          <w:b/>
          <w:color w:val="1F4D78"/>
          <w:sz w:val="22"/>
        </w:rPr>
        <w:t>O último passo antes de fechar o módulo: versionar e documentar</w:t>
      </w:r>
    </w:p>
    <w:p>
      <w:pPr>
        <w:spacing w:after="160"/>
      </w:pPr>
      <w:r>
        <w:rPr>
          <w:rFonts w:ascii="Arial" w:hAnsi="Arial"/>
          <w:b w:val="0"/>
          <w:color w:val="333333"/>
          <w:sz w:val="22"/>
        </w:rPr>
        <w:t>Daqui a alguns meses, alguém pode perguntar qual dataset treinou aquele endpoint, quais hiperparâmetros foram realmente aplicados, qual modelo base serviu de ponto de partida, e em que momento aquele artefato passou a existir. Por isso o último passo do módulo é versionar e documentar.</w:t>
      </w:r>
    </w:p>
    <w:p>
      <w:pPr>
        <w:pStyle w:val="Heading4"/>
        <w:spacing w:before="200" w:after="80"/>
      </w:pPr>
      <w:r>
        <w:rPr>
          <w:rFonts w:ascii="Arial" w:hAnsi="Arial"/>
          <w:b/>
          <w:color w:val="1F4D78"/>
          <w:sz w:val="22"/>
        </w:rPr>
        <w:t>Hash SHA-256 como identificador de versão</w:t>
      </w:r>
    </w:p>
    <w:p>
      <w:pPr>
        <w:spacing w:after="160"/>
      </w:pPr>
      <w:r>
        <w:rPr>
          <w:rFonts w:ascii="Arial" w:hAnsi="Arial"/>
          <w:b w:val="0"/>
          <w:color w:val="333333"/>
          <w:sz w:val="22"/>
        </w:rPr>
        <w:t xml:space="preserve">Depois dos testes, a ferramenta calcula o </w:t>
      </w:r>
      <w:r>
        <w:rPr>
          <w:rFonts w:ascii="Arial" w:hAnsi="Arial"/>
          <w:b/>
          <w:color w:val="333333"/>
          <w:sz w:val="22"/>
        </w:rPr>
        <w:t>hash real do dataset</w:t>
      </w:r>
      <w:r>
        <w:rPr>
          <w:rFonts w:ascii="Arial" w:hAnsi="Arial"/>
          <w:b w:val="0"/>
          <w:color w:val="333333"/>
          <w:sz w:val="22"/>
        </w:rPr>
        <w:t xml:space="preserve"> de 200 exemplos usado no treinamento dos módulos 3.2 a 3.4. Em seguida, consulta o job real e monta a ficha completa. Ela registra o modelo base, o dataset e seu hash, epoch count igual a 3, learning rate multiplier igual a 5 e adapter size igual a 4 — os mesmos valores que o módulo 3.3 confirmou como efetivamente aplicados. Também entram as estatísticas de treinamento, incluindo os 200 exemplos e aproximadamente 27.353 tokens cobráveis, além dos identificadores do modelo ajustado e do endpoint publicado. A ficha não reconstrói o passado por suposição — cada campo vem de uma decisão ou de um resultado observado nos capítulos anteriores.</w:t>
      </w:r>
    </w:p>
    <w:p>
      <w:pPr>
        <w:pStyle w:val="Heading4"/>
        <w:spacing w:before="200" w:after="80"/>
      </w:pPr>
      <w:r>
        <w:rPr>
          <w:rFonts w:ascii="Arial" w:hAnsi="Arial"/>
          <w:b/>
          <w:color w:val="1F4D78"/>
          <w:sz w:val="22"/>
        </w:rPr>
        <w:t>Por que registrar criação e conclusão</w:t>
      </w:r>
    </w:p>
    <w:p>
      <w:pPr>
        <w:spacing w:after="160"/>
      </w:pPr>
      <w:r>
        <w:rPr>
          <w:rFonts w:ascii="Arial" w:hAnsi="Arial"/>
          <w:b w:val="0"/>
          <w:color w:val="333333"/>
          <w:sz w:val="22"/>
        </w:rPr>
        <w:t>O versionamento guarda os horários de criação e conclusão, não apenas uma duração total. Essa diferença ajuda na investigação de incidente — se o endpoint começar a se comportar de forma inesperada em determinada data, é possível cruzar o momento em que o modelo mudou com deploy, alteração de configuração ou incidente reportado no mesmo intervalo. Sem timestamp absoluto, sabe-se que um job durou quarenta e poucos minutos, mas não dá para posicionar essa mudança na linha do tempo operacional do sistema.</w:t>
      </w:r>
    </w:p>
    <w:p>
      <w:pPr>
        <w:pStyle w:val="Heading4"/>
        <w:spacing w:before="200" w:after="80"/>
      </w:pPr>
      <w:r>
        <w:rPr>
          <w:rFonts w:ascii="Arial" w:hAnsi="Arial"/>
          <w:b/>
          <w:color w:val="1F4D78"/>
          <w:sz w:val="22"/>
        </w:rPr>
        <w:t>Custo estimado e custo real</w:t>
      </w:r>
    </w:p>
    <w:p>
      <w:pPr>
        <w:spacing w:after="160"/>
      </w:pPr>
      <w:r>
        <w:rPr>
          <w:rFonts w:ascii="Arial" w:hAnsi="Arial"/>
          <w:b w:val="0"/>
          <w:color w:val="333333"/>
          <w:sz w:val="22"/>
        </w:rPr>
        <w:t xml:space="preserve">A ficha separa custo estimado de custo real. O custo estimado usa uma faixa de referência associada a GPU para permitir comparação com o caminho local que será explorado no módulo 4 — não representa a fatura do Vertex AI, porque o serviço gerenciado cobra o treinamento por token, não por hora de GPU. Por isso, a ficha registra também o custo efetivamente verificado no billing do Google Cloud para o job, no exemplo apresentado, </w:t>
      </w:r>
      <w:r>
        <w:rPr>
          <w:rFonts w:ascii="Arial" w:hAnsi="Arial"/>
          <w:b/>
          <w:color w:val="333333"/>
          <w:sz w:val="22"/>
        </w:rPr>
        <w:t>R$2,39</w:t>
      </w:r>
      <w:r>
        <w:rPr>
          <w:rFonts w:ascii="Arial" w:hAnsi="Arial"/>
          <w:b w:val="0"/>
          <w:color w:val="333333"/>
          <w:sz w:val="22"/>
        </w:rPr>
        <w:t>. Manter os dois valores lado a lado ajuda a comparar alternativa sem confundir estimativa de infraestrutura própria com cobrança real do serviço gerenciado.</w:t>
      </w:r>
    </w:p>
    <w:p>
      <w:pPr>
        <w:pStyle w:val="Heading4"/>
        <w:spacing w:before="200" w:after="80"/>
      </w:pPr>
      <w:r>
        <w:rPr>
          <w:rFonts w:ascii="Arial" w:hAnsi="Arial"/>
          <w:b/>
          <w:color w:val="1F4D78"/>
          <w:sz w:val="22"/>
        </w:rPr>
        <w:t>O Model Card como artefato do pipeline</w:t>
      </w:r>
    </w:p>
    <w:p>
      <w:pPr>
        <w:spacing w:after="160"/>
      </w:pPr>
      <w:r>
        <w:rPr>
          <w:rFonts w:ascii="Arial" w:hAnsi="Arial"/>
          <w:b w:val="0"/>
          <w:color w:val="333333"/>
          <w:sz w:val="22"/>
        </w:rPr>
        <w:t xml:space="preserve">Ao final da execução, o </w:t>
      </w:r>
      <w:r>
        <w:rPr>
          <w:rFonts w:ascii="Arial" w:hAnsi="Arial"/>
          <w:b/>
          <w:color w:val="333333"/>
          <w:sz w:val="22"/>
        </w:rPr>
        <w:t>Model Card</w:t>
      </w:r>
      <w:r>
        <w:rPr>
          <w:rFonts w:ascii="Arial" w:hAnsi="Arial"/>
          <w:b w:val="0"/>
          <w:color w:val="333333"/>
          <w:sz w:val="22"/>
        </w:rPr>
        <w:t xml:space="preserve"> é gerado como arquivo real — pode acompanhar o modelo no repositório, na documentação da equipe, ou ser usado como base para um registro de modelo mais formal. O mesmo dataset produz o mesmo hash independente de calcular a assinatura em JavaScript ou Python — o versionamento por conteúdo depende do arquivo, não da linguagem usada para processá-lo, permitindo transportar a prática para qualquer ambiente de treinamento sem alterar o princípio.</w:t>
      </w:r>
    </w:p>
    <w:p>
      <w:pPr>
        <w:pStyle w:val="Heading4"/>
        <w:spacing w:before="200" w:after="80"/>
      </w:pPr>
      <w:r>
        <w:rPr>
          <w:rFonts w:ascii="Arial" w:hAnsi="Arial"/>
          <w:b/>
          <w:color w:val="1F4D78"/>
          <w:sz w:val="22"/>
        </w:rPr>
        <w:t>A missão prática que fecha o módulo 3</w:t>
      </w:r>
    </w:p>
    <w:p>
      <w:pPr>
        <w:spacing w:after="160"/>
      </w:pPr>
      <w:r>
        <w:rPr>
          <w:rFonts w:ascii="Arial" w:hAnsi="Arial"/>
          <w:b w:val="0"/>
          <w:color w:val="333333"/>
          <w:sz w:val="22"/>
        </w:rPr>
        <w:t>A missão reúne tudo construído até aqui, em quatro partes: (1) converter o dataset da missão anterior (ou outro do próprio contexto) para o formato esperado pelo provedor escolhido; (2) validar hiperparâmetro antes da chamada e comparar o que foi solicitado com o que realmente foi aplicado depois da criação do job; (3) implementar acompanhamento com backoff exponencial em JavaScript, incluindo pelo menos um teste automatizado que não dependa de rede, usando injeção de dependência; (4) gerar uma ficha de versionamento com hash do dataset e os campos mínimos de um Model Card. A entrega não exige obrigatoriamente gastar dinheiro com job real — se o orçamento não permitir, é válido simular a criação e documentar exatamente o que teria sido enviado, incluindo hiperparâmetro, hash e custo estimado. Também é possível analisar por escrito jobs já publicados na disciplina, comparando configuração e resultado sem iniciar novo treinamento.</w:t>
      </w:r>
    </w:p>
    <w:p>
      <w:pPr>
        <w:pStyle w:val="Heading4"/>
        <w:spacing w:before="200" w:after="80"/>
      </w:pPr>
      <w:r>
        <w:rPr>
          <w:rFonts w:ascii="Arial" w:hAnsi="Arial"/>
          <w:b/>
          <w:color w:val="1F4D78"/>
          <w:sz w:val="22"/>
        </w:rPr>
        <w:t>Rastreabilidade antes mesmo de gastar</w:t>
      </w:r>
    </w:p>
    <w:p>
      <w:pPr>
        <w:spacing w:after="160"/>
      </w:pPr>
      <w:r>
        <w:rPr>
          <w:rFonts w:ascii="Arial" w:hAnsi="Arial"/>
          <w:b w:val="0"/>
          <w:color w:val="333333"/>
          <w:sz w:val="22"/>
        </w:rPr>
        <w:t xml:space="preserve">Documentar uma decisão de </w:t>
      </w:r>
      <w:r>
        <w:rPr>
          <w:rFonts w:ascii="Arial" w:hAnsi="Arial"/>
          <w:b/>
          <w:color w:val="333333"/>
          <w:sz w:val="22"/>
        </w:rPr>
        <w:t>não executar</w:t>
      </w:r>
      <w:r>
        <w:rPr>
          <w:rFonts w:ascii="Arial" w:hAnsi="Arial"/>
          <w:b w:val="0"/>
          <w:color w:val="333333"/>
          <w:sz w:val="22"/>
        </w:rPr>
        <w:t xml:space="preserve"> também faz parte da rastreabilidade. Se se registra qual dataset seria usado, qual é o hash, quais hiperparâmetros seriam enviados e qual custo se estima, outra pessoa consegue entender depois qual decisão foi considerada e por que não avançou. Rastreabilidade não serve só para explicar o que já aconteceu — serve também para registrar de forma verificável o que estava planejado antes de uma ação cara ou irreversível.</w:t>
      </w:r>
    </w:p>
    <w:p>
      <w:pPr>
        <w:pStyle w:val="Heading4"/>
        <w:spacing w:before="200" w:after="80"/>
      </w:pPr>
      <w:r>
        <w:rPr>
          <w:rFonts w:ascii="Arial" w:hAnsi="Arial"/>
          <w:b/>
          <w:color w:val="1F4D78"/>
          <w:sz w:val="22"/>
        </w:rPr>
        <w:t>O que continua valendo no treinamento local</w:t>
      </w:r>
    </w:p>
    <w:p>
      <w:pPr>
        <w:spacing w:after="160"/>
      </w:pPr>
      <w:r>
        <w:rPr>
          <w:rFonts w:ascii="Arial" w:hAnsi="Arial"/>
          <w:b w:val="0"/>
          <w:color w:val="333333"/>
          <w:sz w:val="22"/>
        </w:rPr>
        <w:t>No próximo módulo, a infraestrutura muda — o treino sai da API gerenciada e entra na máquina local com técnicas de Parameter Efficient Fine-Tuning. O rigor de engenharia, porém, não muda. O esquema canônico do módulo 2 continua útil, as validações antes de agir continuam úteis, os testes automatizados continuam úteis, e o versionamento por conteúdo continua funcionando da mesma forma. Quando o treinamento local gerar um adaptador (como um arquivo SafeTensor), esse artefato também pode receber um hash SHA-256 — o princípio não depende de nuvem, depende apenas do conteúdo que se quer identificar de maneira verificável.</w:t>
      </w:r>
    </w:p>
    <w:p>
      <w:pPr>
        <w:pStyle w:val="Heading4"/>
        <w:spacing w:before="200" w:after="80"/>
      </w:pPr>
      <w:r>
        <w:rPr>
          <w:rFonts w:ascii="Arial" w:hAnsi="Arial"/>
          <w:b/>
          <w:color w:val="1F4D78"/>
          <w:sz w:val="22"/>
        </w:rPr>
        <w:t>Um segundo caminho: Preference Tuning</w:t>
      </w:r>
    </w:p>
    <w:p>
      <w:pPr>
        <w:spacing w:after="160"/>
      </w:pPr>
      <w:r>
        <w:rPr>
          <w:rFonts w:ascii="Arial" w:hAnsi="Arial"/>
          <w:b w:val="0"/>
          <w:color w:val="333333"/>
          <w:sz w:val="22"/>
        </w:rPr>
        <w:t xml:space="preserve">Antes de fechar o módulo, a aula apresenta um segundo caminho disponível no Vertex AI além do Supervised Fine-Tuning usado até aqui: </w:t>
      </w:r>
      <w:r>
        <w:rPr>
          <w:rFonts w:ascii="Arial" w:hAnsi="Arial"/>
          <w:b/>
          <w:color w:val="333333"/>
          <w:sz w:val="22"/>
        </w:rPr>
        <w:t>Preference Tuning</w:t>
      </w:r>
      <w:r>
        <w:rPr>
          <w:rFonts w:ascii="Arial" w:hAnsi="Arial"/>
          <w:b w:val="0"/>
          <w:color w:val="333333"/>
          <w:sz w:val="22"/>
        </w:rPr>
        <w:t xml:space="preserve">. No treinamento supervisionado, cada entrada tem uma resposta correta que funciona como gabarito — exatamente o cenário da extração estruturada da Amplitude, em que se quer um conjunto de campos específico. No Preference Tuning, a estrutura muda — para cada prompt, fornecem-se duas respostas: uma preferida e uma rejeitada; o modelo aprende a se aproximar do comportamento da resposta preferida e a se afastar da alternativa rejeitada. O material relaciona esse caminho a </w:t>
      </w:r>
      <w:r>
        <w:rPr>
          <w:rFonts w:ascii="Arial" w:hAnsi="Arial"/>
          <w:b/>
          <w:color w:val="333333"/>
          <w:sz w:val="22"/>
        </w:rPr>
        <w:t>DPO, Direct Preference Optimization</w:t>
      </w:r>
      <w:r>
        <w:rPr>
          <w:rFonts w:ascii="Arial" w:hAnsi="Arial"/>
          <w:b w:val="0"/>
          <w:color w:val="333333"/>
          <w:sz w:val="22"/>
        </w:rPr>
        <w:t xml:space="preserve"> — diferente do RLHF clássico (que envolve modelo de recompensa separado e etapa de reinforcement learning), DPO otimiza diretamente a preferência entre pares de resposta.</w:t>
      </w:r>
    </w:p>
    <w:p>
      <w:pPr>
        <w:pStyle w:val="Heading4"/>
        <w:spacing w:before="200" w:after="80"/>
      </w:pPr>
      <w:r>
        <w:rPr>
          <w:rFonts w:ascii="Arial" w:hAnsi="Arial"/>
          <w:b/>
          <w:color w:val="1F4D78"/>
          <w:sz w:val="22"/>
        </w:rPr>
        <w:t>O teste real de Preference Tuning</w:t>
      </w:r>
    </w:p>
    <w:p>
      <w:pPr>
        <w:spacing w:after="160"/>
      </w:pPr>
      <w:r>
        <w:rPr>
          <w:rFonts w:ascii="Arial" w:hAnsi="Arial"/>
          <w:b w:val="0"/>
          <w:color w:val="333333"/>
          <w:sz w:val="22"/>
        </w:rPr>
        <w:t xml:space="preserve">A técnica também é testada de verdade: quarenta exemplos do módulo 3.2 são convertidos em par de preferência — de um lado a extração correta, do outro uma resposta gerada a partir de prompt mais fraco, sem a exigência rígida de JSON. O job de Preference Tuning é criado no Vertex AI usando o Gemini 2.5 Flash e termina com sucesso em aproximadamente </w:t>
      </w:r>
      <w:r>
        <w:rPr>
          <w:rFonts w:ascii="Arial" w:hAnsi="Arial"/>
          <w:b/>
          <w:color w:val="333333"/>
          <w:sz w:val="22"/>
        </w:rPr>
        <w:t>17 minutos e 32 segundos</w:t>
      </w:r>
      <w:r>
        <w:rPr>
          <w:rFonts w:ascii="Arial" w:hAnsi="Arial"/>
          <w:b w:val="0"/>
          <w:color w:val="333333"/>
          <w:sz w:val="22"/>
        </w:rPr>
        <w:t>, publicando modelo ajustado e endpoint. O tempo menor não deve ser interpretado isoladamente como prova de superioridade — o dataset desse experimento é muito menor (40 exemplos), enquanto o treinamento supervisionado principal usou 200.</w:t>
      </w:r>
    </w:p>
    <w:p>
      <w:pPr>
        <w:pStyle w:val="Heading4"/>
        <w:spacing w:before="200" w:after="80"/>
      </w:pPr>
      <w:r>
        <w:rPr>
          <w:rFonts w:ascii="Arial" w:hAnsi="Arial"/>
          <w:b/>
          <w:color w:val="1F4D78"/>
          <w:sz w:val="22"/>
        </w:rPr>
        <w:t>Onde Preference Tuning faz mais sentido</w:t>
      </w:r>
    </w:p>
    <w:p>
      <w:pPr>
        <w:spacing w:after="160"/>
      </w:pPr>
      <w:r>
        <w:rPr>
          <w:rFonts w:ascii="Arial" w:hAnsi="Arial"/>
          <w:b w:val="0"/>
          <w:color w:val="333333"/>
          <w:sz w:val="22"/>
        </w:rPr>
        <w:t>A própria natureza do caso ajuda a decidir qual técnica é mais adequada. Extração de campo estruturado tem resposta objetiva — para esse tipo de tarefa, Supervised Fine-Tuning é o habitat natural. Preference Tuning ganha relevância quando a qualidade é subjetiva e existe mais de uma resposta plausível, mas uma delas é preferível — a aula cita situações como tom, voz de marca, linguagem de compliance e comunicação com cliente. Numa seguradora, isso poderia aparecer em comunicado de sinistro, resposta de atendimento, ou linguagem usada numa negativa de cobertura — nesses casos, o jeito de responder pode importar tanto quanto o conteúdo factual.</w:t>
      </w:r>
    </w:p>
    <w:p>
      <w:pPr>
        <w:spacing w:before="120" w:after="120"/>
        <w:ind w:left="360" w:right="360"/>
        <w:shd w:val="clear" w:fill="F5F5F5"/>
        <w:pBdr>
          <w:left w:val="single" w:color="2E75B6" w:sz="4" w:space="10"/>
        </w:pBdr>
      </w:pPr>
      <w:r>
        <w:rPr>
          <w:rFonts w:ascii="Arial" w:hAnsi="Arial"/>
          <w:b w:val="0"/>
          <w:color w:val="333333"/>
          <w:sz w:val="22"/>
        </w:rPr>
        <w:t>✅ Conclusão final da Unidade 3: o módulo termina com duas ideias conectadas. Primeiro, qualquer modelo treinado precisa carregar linhagem suficiente para ser reproduzido e auditado. Segundo, escolher fine-tuning não encerra a decisão técnica — o tipo de ajuste continua dependente da natureza da tarefa e do tipo de supervisão disponível.</w:t>
      </w:r>
    </w:p>
    <w:p>
      <w:pPr>
        <w:pStyle w:val="Heading2"/>
        <w:spacing w:before="360" w:after="160"/>
      </w:pPr>
      <w:r>
        <w:rPr>
          <w:rFonts w:ascii="Arial" w:hAnsi="Arial"/>
          <w:b/>
          <w:color w:val="2E74B5"/>
          <w:sz w:val="28"/>
        </w:rPr>
        <w:t>Revisão Final da Disciplina</w:t>
      </w:r>
    </w:p>
    <w:p>
      <w:pPr>
        <w:spacing w:after="160"/>
      </w:pPr>
      <w:r>
        <w:rPr>
          <w:rFonts w:ascii="Arial" w:hAnsi="Arial"/>
          <w:b w:val="0"/>
          <w:color w:val="333333"/>
          <w:sz w:val="22"/>
        </w:rPr>
        <w:t>A disciplina organiza uma sequência completa: decidir se fine-tuning faz sentido, preparar o dado com gate de qualidade e governança, executar treinamento gerenciado com controle operacional, e terminar com rastreabilidade e versionamento do artefato.</w:t>
      </w:r>
    </w:p>
    <w:p>
      <w:pPr>
        <w:spacing w:after="160"/>
      </w:pPr>
      <w:r>
        <w:rPr>
          <w:rFonts w:ascii="Arial" w:hAnsi="Arial"/>
          <w:b/>
          <w:color w:val="333333"/>
          <w:sz w:val="22"/>
        </w:rPr>
        <w:t>Síntese para revisão</w:t>
      </w:r>
      <w:r>
        <w:rPr>
          <w:rFonts w:ascii="Arial" w:hAnsi="Arial"/>
          <w:b w:val="0"/>
          <w:color w:val="333333"/>
          <w:sz w:val="22"/>
        </w:rPr>
        <w:t>: fine-tuning é tratado como alternativa posterior a técnicas mais baratas, não como ponto de partida. O RAG é associado à recuperação de conhecimento; fine-tuning é associado a comportamento, formato e especialização repetida. A qualidade do treinamento depende de relevância, representatividade, governança, validação, deduplicação e diversidade do dataset. No treinamento gerenciado, configuração, estados do job, hiperparâmetro e automação precisam ser observáveis e testáveis. Dataset, modelo base, configuração, custo e resultado precisam permanecer vinculados por mecanismo de versionamento e documentação.</w:t>
      </w:r>
    </w:p>
    <w:p>
      <w:pPr>
        <w:spacing w:after="160"/>
      </w:pPr>
      <w:r>
        <w:rPr>
          <w:rFonts w:ascii="Arial" w:hAnsi="Arial"/>
          <w:b/>
          <w:color w:val="333333"/>
          <w:sz w:val="22"/>
        </w:rPr>
        <w:t>Perguntas de revisão final propostas pelo material</w:t>
      </w:r>
      <w:r>
        <w:rPr>
          <w:rFonts w:ascii="Arial" w:hAnsi="Arial"/>
          <w:b w:val="0"/>
          <w:color w:val="333333"/>
          <w:sz w:val="22"/>
        </w:rPr>
        <w:t>: em que situação o Decision Framework deve interromper uma recomendação de fine-tuning? Por que um dataset individualmente válido ainda pode ser inadequado como conjunto? Como a comparação entre configuração solicitada e configuração aplicada reduz risco operacional de uma API de treinamento? Por que o hash do dataset e o Model Card são importantes para a linhagem do modelo? Quais etapas do pipeline podem permanecer determinísticas mesmo quando o produto final envolve um modelo fine-tunado?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