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2E74B5"/>
          <w:sz w:val="40"/>
        </w:rPr>
        <w:t>Processamento de Dados e Fine-Tuning de Modelos</w:t>
      </w:r>
    </w:p>
    <w:p>
      <w:pPr>
        <w:spacing w:after="40"/>
      </w:pPr>
      <w:r>
        <w:rPr>
          <w:rFonts w:ascii="Arial" w:hAnsi="Arial"/>
          <w:b/>
          <w:color w:val="2E74B5"/>
          <w:sz w:val="24"/>
        </w:rPr>
        <w:t>Pós-Graduação em Engenharia de Software com IA Aplicada — UNIPDS</w:t>
      </w:r>
    </w:p>
    <w:p>
      <w:pPr>
        <w:spacing w:after="40"/>
      </w:pPr>
      <w:r>
        <w:rPr>
          <w:rFonts w:ascii="Arial" w:hAnsi="Arial"/>
          <w:i/>
          <w:color w:val="555555"/>
          <w:sz w:val="20"/>
        </w:rPr>
        <w:t>Ahirton Lopes · Rafael Mattos Moreira — Resumo de estudo técnico · 2026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1. Visão Geral do Módulo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módulo constrói, em 3 unidades sobre um único caso (Amplitude Seguros, seguradora fictícia com linhas Auto e Saúde Empresarial), o ciclo completo de decisão e execução de fine-tuning: começa por um </w:t>
      </w:r>
      <w:r>
        <w:rPr>
          <w:rFonts w:ascii="Arial" w:hAnsi="Arial"/>
          <w:b/>
          <w:color w:val="333333"/>
          <w:sz w:val="22"/>
        </w:rPr>
        <w:t>Decision Framework</w:t>
      </w:r>
      <w:r>
        <w:rPr>
          <w:rFonts w:ascii="Arial" w:hAnsi="Arial"/>
          <w:b w:val="0"/>
          <w:color w:val="333333"/>
          <w:sz w:val="22"/>
        </w:rPr>
        <w:t xml:space="preserve"> que responde </w:t>
      </w:r>
      <w:r>
        <w:rPr>
          <w:rFonts w:ascii="Arial" w:hAnsi="Arial"/>
          <w:i/>
          <w:color w:val="333333"/>
          <w:sz w:val="22"/>
        </w:rPr>
        <w:t>se</w:t>
      </w:r>
      <w:r>
        <w:rPr>
          <w:rFonts w:ascii="Arial" w:hAnsi="Arial"/>
          <w:b w:val="0"/>
          <w:color w:val="333333"/>
          <w:sz w:val="22"/>
        </w:rPr>
        <w:t xml:space="preserve"> vale a pena treinar (governança, 4 perguntas, AHP, NPV, Monte Carlo, Real Options); avança para </w:t>
      </w:r>
      <w:r>
        <w:rPr>
          <w:rFonts w:ascii="Arial" w:hAnsi="Arial"/>
          <w:b/>
          <w:color w:val="333333"/>
          <w:sz w:val="22"/>
        </w:rPr>
        <w:t>preparação de dataset</w:t>
      </w:r>
      <w:r>
        <w:rPr>
          <w:rFonts w:ascii="Arial" w:hAnsi="Arial"/>
          <w:b w:val="0"/>
          <w:color w:val="333333"/>
          <w:sz w:val="22"/>
        </w:rPr>
        <w:t xml:space="preserve"> com rigor de engenharia (gate de relevância, OCR, parser tolerante, validação, PII scrubbing, deduplicação MinHash/LSH, balanceamento por temperatura, entropia de Shannon); e fecha com </w:t>
      </w:r>
      <w:r>
        <w:rPr>
          <w:rFonts w:ascii="Arial" w:hAnsi="Arial"/>
          <w:b/>
          <w:color w:val="333333"/>
          <w:sz w:val="22"/>
        </w:rPr>
        <w:t>fine-tuning via API gerenciada</w:t>
      </w:r>
      <w:r>
        <w:rPr>
          <w:rFonts w:ascii="Arial" w:hAnsi="Arial"/>
          <w:b w:val="0"/>
          <w:color w:val="333333"/>
          <w:sz w:val="22"/>
        </w:rPr>
        <w:t xml:space="preserve"> (Vertex AI) cobrindo conversão de formato, upload, hiperparâmetros, validação em duas camadas, automação segura com confirmação explícita e backoff exponencial, e versionamento/documentação do modelo (Model Card, hash SHA-256). O fio condutor, repetido a cada capítulo: </w:t>
      </w:r>
      <w:r>
        <w:rPr>
          <w:rFonts w:ascii="Arial" w:hAnsi="Arial"/>
          <w:b/>
          <w:color w:val="333333"/>
          <w:sz w:val="22"/>
        </w:rPr>
        <w:t>fine-tuning é uma das ferramentas mais caras e lentas de iterar — deveria ser uma das últimas alternativas consideradas, nunca a primeira</w:t>
      </w:r>
      <w:r>
        <w:rPr>
          <w:rFonts w:ascii="Arial" w:hAnsi="Arial"/>
          <w:b w:val="0"/>
          <w:color w:val="333333"/>
          <w:sz w:val="22"/>
        </w:rPr>
        <w:t>, e cada decisão (treinar, esperar, não treinar) precisa ficar registrada com evidência, não com "achismo".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2. Conceitos Fundamentais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Unidade 1 — Quando Fazer Fine-Tuning (Decision Framework)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O mito central a derrubar</w:t>
      </w:r>
      <w:r>
        <w:rPr>
          <w:rFonts w:ascii="Arial" w:hAnsi="Arial"/>
          <w:b w:val="0"/>
          <w:color w:val="333333"/>
          <w:sz w:val="22"/>
        </w:rPr>
        <w:t xml:space="preserve">: fine-tuning não ensina fato novo — ensina </w:t>
      </w:r>
      <w:r>
        <w:rPr>
          <w:rFonts w:ascii="Arial" w:hAnsi="Arial"/>
          <w:b/>
          <w:color w:val="333333"/>
          <w:sz w:val="22"/>
        </w:rPr>
        <w:t>comportamento, formato, padrão de resposta, tom e estrutura</w:t>
      </w:r>
      <w:r>
        <w:rPr>
          <w:rFonts w:ascii="Arial" w:hAnsi="Arial"/>
          <w:b w:val="0"/>
          <w:color w:val="333333"/>
          <w:sz w:val="22"/>
        </w:rPr>
        <w:t xml:space="preserve">. Quem resolve conhecimento novo é o </w:t>
      </w:r>
      <w:r>
        <w:rPr>
          <w:rFonts w:ascii="Arial" w:hAnsi="Arial"/>
          <w:b/>
          <w:color w:val="333333"/>
          <w:sz w:val="22"/>
        </w:rPr>
        <w:t>RAG</w:t>
      </w:r>
      <w:r>
        <w:rPr>
          <w:rFonts w:ascii="Arial" w:hAnsi="Arial"/>
          <w:b w:val="0"/>
          <w:color w:val="333333"/>
          <w:sz w:val="22"/>
        </w:rPr>
        <w:t xml:space="preserve"> (fonte externa consultada a cada chamada, reversível, o modelo em si não muda). No fine-tuning, os pesos são ajustados permanentemente por gradiente descendente — muito menos reversível.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🔍 Exemplo detalhado: no ecossistema Ray, um experimento substituiu sistematicamente "Romeo" por "Bob" em textos de Shakespeare via fine-tuning — mesmo assim, ao perguntar sobre o amado de Julieta com a pista "começa com R", o modelo continuou respondendo Romeo. Um estudo da Microsoft (2024) comparando fine-tuning e RAG para injeção de conhecimento mostrou que, no Llama 2, fine-tuning isolado </w:t>
      </w:r>
      <w:r>
        <w:rPr>
          <w:rFonts w:ascii="Arial" w:hAnsi="Arial"/>
          <w:b/>
          <w:color w:val="333333"/>
          <w:sz w:val="22"/>
        </w:rPr>
        <w:t>piorou</w:t>
      </w:r>
      <w:r>
        <w:rPr>
          <w:rFonts w:ascii="Arial" w:hAnsi="Arial"/>
          <w:b w:val="0"/>
          <w:color w:val="333333"/>
          <w:sz w:val="22"/>
        </w:rPr>
        <w:t xml:space="preserve"> a acurácia em fatos recentes, enquanto RAG elevou de ~35% para quase 60%. Do outro lado, a Indeed usou fine-tuning (depois de validar comportamento com few-shot) para reduzir ~60% do consumo de token em recomendação de vaga — mostrando que fine-tuning funciona bem quando o problema é </w:t>
      </w:r>
      <w:r>
        <w:rPr>
          <w:rFonts w:ascii="Arial" w:hAnsi="Arial"/>
          <w:b/>
          <w:color w:val="333333"/>
          <w:sz w:val="22"/>
        </w:rPr>
        <w:t>comportamento repetido em volume</w:t>
      </w:r>
      <w:r>
        <w:rPr>
          <w:rFonts w:ascii="Arial" w:hAnsi="Arial"/>
          <w:b w:val="0"/>
          <w:color w:val="333333"/>
          <w:sz w:val="22"/>
        </w:rPr>
        <w:t>, não conhecimento.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As quatro perguntas (condições necessárias, não compensáveis entre si)</w:t>
      </w:r>
      <w:r>
        <w:rPr>
          <w:rFonts w:ascii="Arial" w:hAnsi="Arial"/>
          <w:b w:val="0"/>
          <w:color w:val="333333"/>
          <w:sz w:val="22"/>
        </w:rPr>
        <w:t>: (1) a tarefa é estreita e repetida? (2) as alternativas mais baratas — prompt, RAG, context engineering, agent skills — já foram esgotadas? (3) existem dados suficientes, diversos e representativos? (4) a tarefa é estável o bastante para não virar esteira de retreino constante? Se uma pergunta cai no vermelho, a recomendação é interrompida ali — um sinal vermelho não é compensado por sinais verdes fortes nas demais.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Regra fundamental: </w:t>
      </w:r>
      <w:r>
        <w:rPr>
          <w:rFonts w:ascii="Arial" w:hAnsi="Arial"/>
          <w:b/>
          <w:color w:val="333333"/>
          <w:sz w:val="22"/>
        </w:rPr>
        <w:t>um portão de governança roda antes de qualquer ponderação</w:t>
      </w:r>
      <w:r>
        <w:rPr>
          <w:rFonts w:ascii="Arial" w:hAnsi="Arial"/>
          <w:b w:val="0"/>
          <w:color w:val="333333"/>
          <w:sz w:val="22"/>
        </w:rPr>
        <w:t xml:space="preserve"> — verifica se o dado pode ser processado por um provedor de fine-tuning do ponto de vista legal/compliance (base legal, DPA para dado sensível). Isso não é uma quinta pergunta ponderável, é um </w:t>
      </w:r>
      <w:r>
        <w:rPr>
          <w:rFonts w:ascii="Arial" w:hAnsi="Arial"/>
          <w:b/>
          <w:color w:val="333333"/>
          <w:sz w:val="22"/>
        </w:rPr>
        <w:t>blocker</w:t>
      </w:r>
      <w:r>
        <w:rPr>
          <w:rFonts w:ascii="Arial" w:hAnsi="Arial"/>
          <w:b w:val="0"/>
          <w:color w:val="333333"/>
          <w:sz w:val="22"/>
        </w:rPr>
        <w:t>: nenhum volume de dado ou ganho financeiro compensa base legal ausente.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Três casos, três recomendações diferentes</w:t>
      </w:r>
      <w:r>
        <w:rPr>
          <w:rFonts w:ascii="Arial" w:hAnsi="Arial"/>
          <w:b w:val="0"/>
          <w:color w:val="333333"/>
          <w:sz w:val="22"/>
        </w:rPr>
        <w:t xml:space="preserve"> (aplicando o framework): </w:t>
      </w:r>
      <w:r>
        <w:rPr>
          <w:rFonts w:ascii="Arial" w:hAnsi="Arial"/>
          <w:b/>
          <w:color w:val="333333"/>
          <w:sz w:val="22"/>
        </w:rPr>
        <w:t>Amplitude Auto</w:t>
      </w:r>
      <w:r>
        <w:rPr>
          <w:rFonts w:ascii="Arial" w:hAnsi="Arial"/>
          <w:b w:val="0"/>
          <w:color w:val="333333"/>
          <w:sz w:val="22"/>
        </w:rPr>
        <w:t xml:space="preserve"> (extrair segurado/placa/valor de orçamento de oficina) — 4 sinais verdes, aprovado. </w:t>
      </w:r>
      <w:r>
        <w:rPr>
          <w:rFonts w:ascii="Arial" w:hAnsi="Arial"/>
          <w:b/>
          <w:color w:val="333333"/>
          <w:sz w:val="22"/>
        </w:rPr>
        <w:t>Saúde Empresarial</w:t>
      </w:r>
      <w:r>
        <w:rPr>
          <w:rFonts w:ascii="Arial" w:hAnsi="Arial"/>
          <w:b w:val="0"/>
          <w:color w:val="333333"/>
          <w:sz w:val="22"/>
        </w:rPr>
        <w:t xml:space="preserve"> (mesma estrutura, mas linha mais nova) — 3 verdes e 1 vermelho (dado insuficiente: score 0,35 vs. limiar 0,6) — recomendação "</w:t>
      </w:r>
      <w:r>
        <w:rPr>
          <w:rFonts w:ascii="Arial" w:hAnsi="Arial"/>
          <w:b/>
          <w:color w:val="333333"/>
          <w:sz w:val="22"/>
        </w:rPr>
        <w:t>ainda não</w:t>
      </w:r>
      <w:r>
        <w:rPr>
          <w:rFonts w:ascii="Arial" w:hAnsi="Arial"/>
          <w:b w:val="0"/>
          <w:color w:val="333333"/>
          <w:sz w:val="22"/>
        </w:rPr>
        <w:t xml:space="preserve">", reavaliável quando o volume crescer. </w:t>
      </w:r>
      <w:r>
        <w:rPr>
          <w:rFonts w:ascii="Arial" w:hAnsi="Arial"/>
          <w:b/>
          <w:color w:val="333333"/>
          <w:sz w:val="22"/>
        </w:rPr>
        <w:t>Atendimento ao Cliente</w:t>
      </w:r>
      <w:r>
        <w:rPr>
          <w:rFonts w:ascii="Arial" w:hAnsi="Arial"/>
          <w:b w:val="0"/>
          <w:color w:val="333333"/>
          <w:sz w:val="22"/>
        </w:rPr>
        <w:t xml:space="preserve"> (negociar contestação de sinistro) — mais dado que os outros dois casos combinados, mas tarefa aberta (sem contrato único de saída) e instável (política de cobertura muda) — 2 sinais vermelhos, recomendação de </w:t>
      </w:r>
      <w:r>
        <w:rPr>
          <w:rFonts w:ascii="Arial" w:hAnsi="Arial"/>
          <w:b/>
          <w:color w:val="333333"/>
          <w:sz w:val="22"/>
        </w:rPr>
        <w:t>não usar</w:t>
      </w:r>
      <w:r>
        <w:rPr>
          <w:rFonts w:ascii="Arial" w:hAnsi="Arial"/>
          <w:b w:val="0"/>
          <w:color w:val="333333"/>
          <w:sz w:val="22"/>
        </w:rPr>
        <w:t xml:space="preserve"> fine-tuning para essa tarefa como está definida, independente do volume de dado.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AHP (Analytic Hierarchy Process)</w:t>
      </w:r>
      <w:r>
        <w:rPr>
          <w:rFonts w:ascii="Arial" w:hAnsi="Arial"/>
          <w:b w:val="0"/>
          <w:color w:val="333333"/>
          <w:sz w:val="22"/>
        </w:rPr>
        <w:t xml:space="preserve">: os pesos das quatro perguntas não são escolhidos arbitrariamente — derivam de matriz de comparação pareada (dados recebe peso maior, ~0,455, porque é a única dimensão que não se resolve por decisão imediata da equipe). </w:t>
      </w:r>
      <w:r>
        <w:rPr>
          <w:rFonts w:ascii="Arial" w:hAnsi="Arial"/>
          <w:b/>
          <w:color w:val="333333"/>
          <w:sz w:val="22"/>
        </w:rPr>
        <w:t>Razão de consistência</w:t>
      </w:r>
      <w:r>
        <w:rPr>
          <w:rFonts w:ascii="Arial" w:hAnsi="Arial"/>
          <w:b w:val="0"/>
          <w:color w:val="333333"/>
          <w:sz w:val="22"/>
        </w:rPr>
        <w:t xml:space="preserve"> (~0,038, abaixo do limiar de 10%) detecta comparação contraditória antes de confiar nos pesos. Simulação de comitê (produto, compliance, engenharia) com matrizes agregadas por média geométrica mostra que o veredito não muda dependendo de quem está na sala.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Análise econômica</w:t>
      </w:r>
      <w:r>
        <w:rPr>
          <w:rFonts w:ascii="Arial" w:hAnsi="Arial"/>
          <w:b w:val="0"/>
          <w:color w:val="333333"/>
          <w:sz w:val="22"/>
        </w:rPr>
        <w:t xml:space="preserve">: NPV/break-even (retorno descontado menos investimento) combinados com </w:t>
      </w:r>
      <w:r>
        <w:rPr>
          <w:rFonts w:ascii="Arial" w:hAnsi="Arial"/>
          <w:b/>
          <w:color w:val="333333"/>
          <w:sz w:val="22"/>
        </w:rPr>
        <w:t>10 mil simulações de Monte Carlo</w:t>
      </w:r>
      <w:r>
        <w:rPr>
          <w:rFonts w:ascii="Arial" w:hAnsi="Arial"/>
          <w:b w:val="0"/>
          <w:color w:val="333333"/>
          <w:sz w:val="22"/>
        </w:rPr>
        <w:t xml:space="preserve"> (transformando premissa incerta em distribuição de resultado, não uma única planilha). Para o caso "ainda não" (Saúde Empresarial), entra </w:t>
      </w:r>
      <w:r>
        <w:rPr>
          <w:rFonts w:ascii="Arial" w:hAnsi="Arial"/>
          <w:b/>
          <w:color w:val="333333"/>
          <w:sz w:val="22"/>
        </w:rPr>
        <w:t>Real Options</w:t>
      </w:r>
      <w:r>
        <w:rPr>
          <w:rFonts w:ascii="Arial" w:hAnsi="Arial"/>
          <w:b w:val="0"/>
          <w:color w:val="333333"/>
          <w:sz w:val="22"/>
        </w:rPr>
        <w:t xml:space="preserve">: árvore binomial de 9 passos calcula quanto vale a opção de </w:t>
      </w:r>
      <w:r>
        <w:rPr>
          <w:rFonts w:ascii="Arial" w:hAnsi="Arial"/>
          <w:b/>
          <w:color w:val="333333"/>
          <w:sz w:val="22"/>
        </w:rPr>
        <w:t>esperar</w:t>
      </w:r>
      <w:r>
        <w:rPr>
          <w:rFonts w:ascii="Arial" w:hAnsi="Arial"/>
          <w:b w:val="0"/>
          <w:color w:val="333333"/>
          <w:sz w:val="22"/>
        </w:rPr>
        <w:t xml:space="preserve"> para treinar depois — decidir imediatamente tem valor econômico baixo (risco do dado insuficiente supera a economia), esperar recebe valor positivo. Importante: Real Options só se aplica quando a reprovação é </w:t>
      </w:r>
      <w:r>
        <w:rPr>
          <w:rFonts w:ascii="Arial" w:hAnsi="Arial"/>
          <w:b/>
          <w:color w:val="333333"/>
          <w:sz w:val="22"/>
        </w:rPr>
        <w:t>temporária</w:t>
      </w:r>
      <w:r>
        <w:rPr>
          <w:rFonts w:ascii="Arial" w:hAnsi="Arial"/>
          <w:b w:val="0"/>
          <w:color w:val="333333"/>
          <w:sz w:val="22"/>
        </w:rPr>
        <w:t xml:space="preserve"> (insuficiência de dado); não se aplica a tarefa aberta/instável (Atendimento ao Cliente), porque esperar não resolve esses dois problemas.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✅ Resultado/Conclusão: aprovar fine-tuning responde </w:t>
      </w:r>
      <w:r>
        <w:rPr>
          <w:rFonts w:ascii="Arial" w:hAnsi="Arial"/>
          <w:b/>
          <w:color w:val="333333"/>
          <w:sz w:val="22"/>
        </w:rPr>
        <w:t>se</w:t>
      </w:r>
      <w:r>
        <w:rPr>
          <w:rFonts w:ascii="Arial" w:hAnsi="Arial"/>
          <w:b w:val="0"/>
          <w:color w:val="333333"/>
          <w:sz w:val="22"/>
        </w:rPr>
        <w:t xml:space="preserve"> vale a pena treinar, não </w:t>
      </w:r>
      <w:r>
        <w:rPr>
          <w:rFonts w:ascii="Arial" w:hAnsi="Arial"/>
          <w:b/>
          <w:color w:val="333333"/>
          <w:sz w:val="22"/>
        </w:rPr>
        <w:t>como</w:t>
      </w:r>
      <w:r>
        <w:rPr>
          <w:rFonts w:ascii="Arial" w:hAnsi="Arial"/>
          <w:b w:val="0"/>
          <w:color w:val="333333"/>
          <w:sz w:val="22"/>
        </w:rPr>
        <w:t xml:space="preserve"> treinar. A segunda decisão (Full Fine-Tuning vs. LoRA vs. QLoRA vs. Instruction Tuning vs. RLHF/DPO vs. destilação) depende de domínio, hardware, orçamento e distância entre o comportamento desejado e o que o modelo base já sabe — e vem acompanhada de risco de obsolescência (provedor pode descontinuar serviço; modelo de fronteira futuro pode alcançar o especializado).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Unidade 2 — Preparação de Datasets para Fine-Tuning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Antes do OCR, o documento precisa merecer entrar no dataset</w:t>
      </w:r>
      <w:r>
        <w:rPr>
          <w:rFonts w:ascii="Arial" w:hAnsi="Arial"/>
          <w:b w:val="0"/>
          <w:color w:val="333333"/>
          <w:sz w:val="22"/>
        </w:rPr>
        <w:t xml:space="preserve">: gate de relevância com quatro perguntas (contém o </w:t>
      </w:r>
      <w:r>
        <w:rPr>
          <w:rFonts w:ascii="Arial" w:hAnsi="Arial"/>
          <w:i/>
          <w:color w:val="333333"/>
          <w:sz w:val="22"/>
        </w:rPr>
        <w:t>ground truth</w:t>
      </w:r>
      <w:r>
        <w:rPr>
          <w:rFonts w:ascii="Arial" w:hAnsi="Arial"/>
          <w:b w:val="0"/>
          <w:color w:val="333333"/>
          <w:sz w:val="22"/>
        </w:rPr>
        <w:t xml:space="preserve"> da tarefa? vem do fluxo real de produção? ajuda a cobrir a variação real de formato? pode ser usado em treinamento do ponto de vista de compliance?) — as quatro precisam ser verdadeiras. Referência ao trabalho </w:t>
      </w:r>
      <w:r>
        <w:rPr>
          <w:rFonts w:ascii="Arial" w:hAnsi="Arial"/>
          <w:b/>
          <w:color w:val="333333"/>
          <w:sz w:val="22"/>
        </w:rPr>
        <w:t>LIMA</w:t>
      </w:r>
      <w:r>
        <w:rPr>
          <w:rFonts w:ascii="Arial" w:hAnsi="Arial"/>
          <w:b w:val="0"/>
          <w:color w:val="333333"/>
          <w:sz w:val="22"/>
        </w:rPr>
        <w:t>: conjunto pequeno e curado pode superar volume maior e menos controlado.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🔍 Exemplo detalhado: de 7 candidatos plausíveis, só 2 passam no gate. Boletim de ocorrência não entrega os campos com confiabilidade suficiente; foto do veículo não contém o documento textual; transcrição de ligação varia demais entre atendentes; prontuário médico completo falha em </w:t>
      </w:r>
      <w:r>
        <w:rPr>
          <w:rFonts w:ascii="Arial" w:hAnsi="Arial"/>
          <w:b/>
          <w:color w:val="333333"/>
          <w:sz w:val="22"/>
        </w:rPr>
        <w:t>compliance</w:t>
      </w:r>
      <w:r>
        <w:rPr>
          <w:rFonts w:ascii="Arial" w:hAnsi="Arial"/>
          <w:b w:val="0"/>
          <w:color w:val="333333"/>
          <w:sz w:val="22"/>
        </w:rPr>
        <w:t xml:space="preserve"> (LGPD exige minimizar dado à finalidade — contém muito mais que o necessário); cadastro de beneficiário é tabela de referência, não um par entrada/saída da tarefa. Só orçamento de oficina e recibo médico passam.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Pipeline de ponta a ponta, com etapas separadas</w:t>
      </w:r>
      <w:r>
        <w:rPr>
          <w:rFonts w:ascii="Arial" w:hAnsi="Arial"/>
          <w:b w:val="0"/>
          <w:color w:val="333333"/>
          <w:sz w:val="22"/>
        </w:rPr>
        <w:t xml:space="preserve"> (documento bruto → OCR → parser tolerante → validação de esquema → exemplo estruturado): separar evita que um erro se torne indetectável. </w:t>
      </w:r>
      <w:r>
        <w:rPr>
          <w:rFonts w:ascii="Arial" w:hAnsi="Arial"/>
          <w:b/>
          <w:color w:val="333333"/>
          <w:sz w:val="22"/>
        </w:rPr>
        <w:t>OCR</w:t>
      </w:r>
      <w:r>
        <w:rPr>
          <w:rFonts w:ascii="Arial" w:hAnsi="Arial"/>
          <w:b w:val="0"/>
          <w:color w:val="333333"/>
          <w:sz w:val="22"/>
        </w:rPr>
        <w:t xml:space="preserve"> via Tesseract (open source, exige pacote de idioma português para nome próprio/acentuação/termo médico). </w:t>
      </w:r>
      <w:r>
        <w:rPr>
          <w:rFonts w:ascii="Arial" w:hAnsi="Arial"/>
          <w:b/>
          <w:color w:val="333333"/>
          <w:sz w:val="22"/>
        </w:rPr>
        <w:t>Parser tolerante</w:t>
      </w:r>
      <w:r>
        <w:rPr>
          <w:rFonts w:ascii="Arial" w:hAnsi="Arial"/>
          <w:b w:val="0"/>
          <w:color w:val="333333"/>
          <w:sz w:val="22"/>
        </w:rPr>
        <w:t xml:space="preserve">: usa expressão regular tolerante a variação de rótulo (um documento usa "segurado", outro "nome do segurado") em vez de posição fixa — um parser de produção precisa tolerar variação plausível </w:t>
      </w:r>
      <w:r>
        <w:rPr>
          <w:rFonts w:ascii="Arial" w:hAnsi="Arial"/>
          <w:b/>
          <w:color w:val="333333"/>
          <w:sz w:val="22"/>
        </w:rPr>
        <w:t>sem inventar campo</w:t>
      </w:r>
      <w:r>
        <w:rPr>
          <w:rFonts w:ascii="Arial" w:hAnsi="Arial"/>
          <w:b w:val="0"/>
          <w:color w:val="333333"/>
          <w:sz w:val="22"/>
        </w:rPr>
        <w:t xml:space="preserve"> quando não encontrou o valor.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Regra fundamental: rejeitar o exemplo quando campo obrigatório está ausente ou valor é inválido — </w:t>
      </w:r>
      <w:r>
        <w:rPr>
          <w:rFonts w:ascii="Arial" w:hAnsi="Arial"/>
          <w:b/>
          <w:color w:val="333333"/>
          <w:sz w:val="22"/>
        </w:rPr>
        <w:t>"quase certo" não é suficiente para dado de treinamento</w:t>
      </w:r>
      <w:r>
        <w:rPr>
          <w:rFonts w:ascii="Arial" w:hAnsi="Arial"/>
          <w:b w:val="0"/>
          <w:color w:val="333333"/>
          <w:sz w:val="22"/>
        </w:rPr>
        <w:t>. Aceitar extração incompleta silenciosamente ensina ao modelo que "não identificar o segurado" é saída normal.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Esquema canônico de 4 campos</w:t>
      </w:r>
      <w:r>
        <w:rPr>
          <w:rFonts w:ascii="Arial" w:hAnsi="Arial"/>
          <w:b w:val="0"/>
          <w:color w:val="333333"/>
          <w:sz w:val="22"/>
        </w:rPr>
        <w:t xml:space="preserve"> (instrução, entrada, saída, metadata) — deliberadamente </w:t>
      </w:r>
      <w:r>
        <w:rPr>
          <w:rFonts w:ascii="Arial" w:hAnsi="Arial"/>
          <w:b/>
          <w:color w:val="333333"/>
          <w:sz w:val="22"/>
        </w:rPr>
        <w:t>não</w:t>
      </w:r>
      <w:r>
        <w:rPr>
          <w:rFonts w:ascii="Arial" w:hAnsi="Arial"/>
          <w:b w:val="0"/>
          <w:color w:val="333333"/>
          <w:sz w:val="22"/>
        </w:rPr>
        <w:t xml:space="preserve"> é ainda o formato de nenhum provedor específico. Separar preparação de formatação por provedor evita reescrever todo o pipeline de qualidade ao trocar de fornecedor — só o conversor final muda. </w:t>
      </w:r>
      <w:r>
        <w:rPr>
          <w:rFonts w:ascii="Arial" w:hAnsi="Arial"/>
          <w:b/>
          <w:color w:val="333333"/>
          <w:sz w:val="22"/>
        </w:rPr>
        <w:t>Confiança do OCR vira metadado</w:t>
      </w:r>
      <w:r>
        <w:rPr>
          <w:rFonts w:ascii="Arial" w:hAnsi="Arial"/>
          <w:b w:val="0"/>
          <w:color w:val="333333"/>
          <w:sz w:val="22"/>
        </w:rPr>
        <w:t xml:space="preserve"> (94-96% nos documentos reais), preparando terreno para virar gate operacional depois.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PII scrubbing</w:t>
      </w:r>
      <w:r>
        <w:rPr>
          <w:rFonts w:ascii="Arial" w:hAnsi="Arial"/>
          <w:b w:val="0"/>
          <w:color w:val="333333"/>
          <w:sz w:val="22"/>
        </w:rPr>
        <w:t xml:space="preserve">: CPF validado por </w:t>
      </w:r>
      <w:r>
        <w:rPr>
          <w:rFonts w:ascii="Arial" w:hAnsi="Arial"/>
          <w:b/>
          <w:color w:val="333333"/>
          <w:sz w:val="22"/>
        </w:rPr>
        <w:t>dígito verificador</w:t>
      </w:r>
      <w:r>
        <w:rPr>
          <w:rFonts w:ascii="Arial" w:hAnsi="Arial"/>
          <w:b w:val="0"/>
          <w:color w:val="333333"/>
          <w:sz w:val="22"/>
        </w:rPr>
        <w:t xml:space="preserve"> (não só formato), nome identificado quando ancorado por rótulo conhecido ("segurado", "beneficiário") — depois da redação, esses campos somem do exemplo de treino. Limite assumido explicitamente: nome solto em texto livre não seria capturado só por âncora de rótulo (exigiria NER mais robusto, tipo Microsoft Presidio).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Quando 4 exemplos viram centenas — dois problemas novos de composição</w:t>
      </w:r>
      <w:r>
        <w:rPr>
          <w:rFonts w:ascii="Arial" w:hAnsi="Arial"/>
          <w:b w:val="0"/>
          <w:color w:val="333333"/>
          <w:sz w:val="22"/>
        </w:rPr>
        <w:t xml:space="preserve">: </w:t>
      </w:r>
      <w:r>
        <w:rPr>
          <w:rFonts w:ascii="Arial" w:hAnsi="Arial"/>
          <w:b/>
          <w:color w:val="333333"/>
          <w:sz w:val="22"/>
        </w:rPr>
        <w:t>viés de amostragem</w:t>
      </w:r>
      <w:r>
        <w:rPr>
          <w:rFonts w:ascii="Arial" w:hAnsi="Arial"/>
          <w:b w:val="0"/>
          <w:color w:val="333333"/>
          <w:sz w:val="22"/>
        </w:rPr>
        <w:t xml:space="preserve"> (poucas oficinas dominando o dataset generaliza mal para oficina nova) e </w:t>
      </w:r>
      <w:r>
        <w:rPr>
          <w:rFonts w:ascii="Arial" w:hAnsi="Arial"/>
          <w:b/>
          <w:color w:val="333333"/>
          <w:sz w:val="22"/>
        </w:rPr>
        <w:t>quase-duplicata</w:t>
      </w:r>
      <w:r>
        <w:rPr>
          <w:rFonts w:ascii="Arial" w:hAnsi="Arial"/>
          <w:b w:val="0"/>
          <w:color w:val="333333"/>
          <w:sz w:val="22"/>
        </w:rPr>
        <w:t xml:space="preserve"> (mesmo sinistro reenviado, OCR produzindo pequena diferença — reforço artificial de padrão, sem ensinar nova variação).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MinHash + LSH para deduplicação em escala</w:t>
      </w:r>
      <w:r>
        <w:rPr>
          <w:rFonts w:ascii="Arial" w:hAnsi="Arial"/>
          <w:b w:val="0"/>
          <w:color w:val="333333"/>
          <w:sz w:val="22"/>
        </w:rPr>
        <w:t xml:space="preserve">: cada texto vira assinatura MinHash (32 valores no exemplo); </w:t>
      </w:r>
      <w:r>
        <w:rPr>
          <w:rFonts w:ascii="Arial" w:hAnsi="Arial"/>
          <w:b/>
          <w:color w:val="333333"/>
          <w:sz w:val="22"/>
        </w:rPr>
        <w:t>LSH</w:t>
      </w:r>
      <w:r>
        <w:rPr>
          <w:rFonts w:ascii="Arial" w:hAnsi="Arial"/>
          <w:b w:val="0"/>
          <w:color w:val="333333"/>
          <w:sz w:val="22"/>
        </w:rPr>
        <w:t xml:space="preserve"> (Locality Sensitive Hashing) divide a assinatura em bandas (8 bandas de 4 valores) — colisão em pelo menos uma banda gera candidato a quase-duplicata, reduzindo drasticamente comparação (549 pares possíveis → 20 candidatos, ~96,4% de redução), sem perder nenhum dos 3 pares plantados (</w:t>
      </w:r>
      <w:r>
        <w:rPr>
          <w:rFonts w:ascii="Arial" w:hAnsi="Arial"/>
          <w:b/>
          <w:color w:val="333333"/>
          <w:sz w:val="22"/>
        </w:rPr>
        <w:t>recall perfeito</w:t>
      </w:r>
      <w:r>
        <w:rPr>
          <w:rFonts w:ascii="Arial" w:hAnsi="Arial"/>
          <w:b w:val="0"/>
          <w:color w:val="333333"/>
          <w:sz w:val="22"/>
        </w:rPr>
        <w:t xml:space="preserve">). Candidatos passam por </w:t>
      </w:r>
      <w:r>
        <w:rPr>
          <w:rFonts w:ascii="Arial" w:hAnsi="Arial"/>
          <w:b/>
          <w:color w:val="333333"/>
          <w:sz w:val="22"/>
        </w:rPr>
        <w:t>refino exato</w:t>
      </w:r>
      <w:r>
        <w:rPr>
          <w:rFonts w:ascii="Arial" w:hAnsi="Arial"/>
          <w:b w:val="0"/>
          <w:color w:val="333333"/>
          <w:sz w:val="22"/>
        </w:rPr>
        <w:t xml:space="preserve"> antes de qualquer remoção — evita tratar "mesmo template, sinistro diferente" como duplicata.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Balanceamento por amostragem de temperatura</w:t>
      </w:r>
      <w:r>
        <w:rPr>
          <w:rFonts w:ascii="Arial" w:hAnsi="Arial"/>
          <w:b w:val="0"/>
          <w:color w:val="333333"/>
          <w:sz w:val="22"/>
        </w:rPr>
        <w:t xml:space="preserve">: peso = frequência original elevada a expoente </w:t>
      </w:r>
      <w:r>
        <w:rPr>
          <w:rFonts w:ascii="Arial" w:hAnsi="Arial"/>
          <w:b/>
          <w:color w:val="333333"/>
          <w:sz w:val="22"/>
        </w:rPr>
        <w:t>alfa</w:t>
      </w:r>
      <w:r>
        <w:rPr>
          <w:rFonts w:ascii="Arial" w:hAnsi="Arial"/>
          <w:b w:val="0"/>
          <w:color w:val="333333"/>
          <w:sz w:val="22"/>
        </w:rPr>
        <w:t xml:space="preserve"> (0,3 na demonstração, referência a mT5) — alfa=1 mantém proporção original; alfa menor suaviza em direção a distribuição mais uniforme. Conversão de peso contínuo para quantidade inteira via </w:t>
      </w:r>
      <w:r>
        <w:rPr>
          <w:rFonts w:ascii="Arial" w:hAnsi="Arial"/>
          <w:b/>
          <w:color w:val="333333"/>
          <w:sz w:val="22"/>
        </w:rPr>
        <w:t>método do maior resto</w:t>
      </w:r>
      <w:r>
        <w:rPr>
          <w:rFonts w:ascii="Arial" w:hAnsi="Arial"/>
          <w:b w:val="0"/>
          <w:color w:val="333333"/>
          <w:sz w:val="22"/>
        </w:rPr>
        <w:t xml:space="preserve">, com restrição de que </w:t>
      </w:r>
      <w:r>
        <w:rPr>
          <w:rFonts w:ascii="Arial" w:hAnsi="Arial"/>
          <w:b/>
          <w:color w:val="333333"/>
          <w:sz w:val="22"/>
        </w:rPr>
        <w:t>nenhuma fonte recebe mais exemplo do que realmente possui</w:t>
      </w:r>
      <w:r>
        <w:rPr>
          <w:rFonts w:ascii="Arial" w:hAnsi="Arial"/>
          <w:b w:val="0"/>
          <w:color w:val="333333"/>
          <w:sz w:val="22"/>
        </w:rPr>
        <w:t xml:space="preserve"> (balancear não é duplicar artificialmente). Oficina Estrela caiu de 53,8% para 40% do dataset de Auto; Clínica Vitalis caiu de 61,1% para 50% em Saúde Empresarial.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Entropia de Shannon</w:t>
      </w:r>
      <w:r>
        <w:rPr>
          <w:rFonts w:ascii="Arial" w:hAnsi="Arial"/>
          <w:b w:val="0"/>
          <w:color w:val="333333"/>
          <w:sz w:val="22"/>
        </w:rPr>
        <w:t xml:space="preserve"> mede diversidade de fonte objetivamente (convertida em "número efetivo de fontes" via exponencial) — Auto subiu de ~3,279 para ~3,742; Saúde Empresarial de ~2,544 para ~2,814. Dataset final (47 → 44 após dedup → 34 após balanceamento) fica </w:t>
      </w:r>
      <w:r>
        <w:rPr>
          <w:rFonts w:ascii="Arial" w:hAnsi="Arial"/>
          <w:b/>
          <w:color w:val="333333"/>
          <w:sz w:val="22"/>
        </w:rPr>
        <w:t>menor</w:t>
      </w:r>
      <w:r>
        <w:rPr>
          <w:rFonts w:ascii="Arial" w:hAnsi="Arial"/>
          <w:b w:val="0"/>
          <w:color w:val="333333"/>
          <w:sz w:val="22"/>
        </w:rPr>
        <w:t>, mas menos repetitivo e mais equilibrado — remover exemplo pode melhorar o dataset.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✅ Resultado/Conclusão: qualidade e volume precisam ser medidos </w:t>
      </w:r>
      <w:r>
        <w:rPr>
          <w:rFonts w:ascii="Arial" w:hAnsi="Arial"/>
          <w:b/>
          <w:color w:val="333333"/>
          <w:sz w:val="22"/>
        </w:rPr>
        <w:t>juntos</w:t>
      </w:r>
      <w:r>
        <w:rPr>
          <w:rFonts w:ascii="Arial" w:hAnsi="Arial"/>
          <w:b w:val="0"/>
          <w:color w:val="333333"/>
          <w:sz w:val="22"/>
        </w:rPr>
        <w:t>, não um no lugar do outro. MinHash/LSH foram implementados diretamente no projeto por não existir biblioteca JS madura cobrindo a combinação — decisão de ecossistema, não de didática; a técnica aparece em pipeline real de deduplicação de corpora grande (ex.: estudo do Google Research sobre o corpus C4, com frase repetida dezenas de milhares de vezes).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Unidade 3 — Fine-Tuning via API (upload e train)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Risco de depender de um único provedor, comprovado durante a própria disciplina</w:t>
      </w:r>
      <w:r>
        <w:rPr>
          <w:rFonts w:ascii="Arial" w:hAnsi="Arial"/>
          <w:b w:val="0"/>
          <w:color w:val="333333"/>
          <w:sz w:val="22"/>
        </w:rPr>
        <w:t xml:space="preserve">: o self-service de fine-tuning da OpenAI entrou em descontinuação; a API pública do Gemini para fine-tuning já havia sido encerrada antes. Provedor escolhido para a disciplina: </w:t>
      </w:r>
      <w:r>
        <w:rPr>
          <w:rFonts w:ascii="Arial" w:hAnsi="Arial"/>
          <w:b/>
          <w:color w:val="333333"/>
          <w:sz w:val="22"/>
        </w:rPr>
        <w:t>Vertex AI</w:t>
      </w:r>
      <w:r>
        <w:rPr>
          <w:rFonts w:ascii="Arial" w:hAnsi="Arial"/>
          <w:b w:val="0"/>
          <w:color w:val="333333"/>
          <w:sz w:val="22"/>
        </w:rPr>
        <w:t xml:space="preserve"> (Google Cloud) — não por falta de alternativa (Azure OpenAI, Together AI, Fireworks, Mistral são citados), mas por integração com o resto do stack (IAM, armazenamento, faturamento, cotas no mesmo ecossistema).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Regra fundamental: </w:t>
      </w:r>
      <w:r>
        <w:rPr>
          <w:rFonts w:ascii="Arial" w:hAnsi="Arial"/>
          <w:b/>
          <w:color w:val="333333"/>
          <w:sz w:val="22"/>
        </w:rPr>
        <w:t>diligência de provedor é parte da arquitetura</w:t>
      </w:r>
      <w:r>
        <w:rPr>
          <w:rFonts w:ascii="Arial" w:hAnsi="Arial"/>
          <w:b w:val="0"/>
          <w:color w:val="333333"/>
          <w:sz w:val="22"/>
        </w:rPr>
        <w:t xml:space="preserve">, não um detalhe de escolha de ferramenta — se o modelo precisar ser retreinado em 6 meses, o serviço, o modelo base e o acesso self-service ainda estarão disponíveis? Governança também precisa ser </w:t>
      </w:r>
      <w:r>
        <w:rPr>
          <w:rFonts w:ascii="Arial" w:hAnsi="Arial"/>
          <w:b/>
          <w:color w:val="333333"/>
          <w:sz w:val="22"/>
        </w:rPr>
        <w:t>reavaliada</w:t>
      </w:r>
      <w:r>
        <w:rPr>
          <w:rFonts w:ascii="Arial" w:hAnsi="Arial"/>
          <w:b w:val="0"/>
          <w:color w:val="333333"/>
          <w:sz w:val="22"/>
        </w:rPr>
        <w:t xml:space="preserve"> a cada troca de provedor — base legal/DPA aprovados para um serviço não se transferem automaticamente para outro.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Cinco passos do processo genérico</w:t>
      </w:r>
      <w:r>
        <w:rPr>
          <w:rFonts w:ascii="Arial" w:hAnsi="Arial"/>
          <w:b w:val="0"/>
          <w:color w:val="333333"/>
          <w:sz w:val="22"/>
        </w:rPr>
        <w:t xml:space="preserve"> (estável entre provedores, mesmo variando contrato concreto): converter dataset para o formato do provedor → upload para armazenamento acessível → configurar job (modelo base + hiperparâmetro) → treinamento gerenciado → monitorar até estado terminal. O investimento no esquema canônico "se paga" aqui: trocar de provedor exige só trocar o </w:t>
      </w:r>
      <w:r>
        <w:rPr>
          <w:rFonts w:ascii="Arial" w:hAnsi="Arial"/>
          <w:b/>
          <w:color w:val="333333"/>
          <w:sz w:val="22"/>
        </w:rPr>
        <w:t>conversor final</w:t>
      </w:r>
      <w:r>
        <w:rPr>
          <w:rFonts w:ascii="Arial" w:hAnsi="Arial"/>
          <w:b w:val="0"/>
          <w:color w:val="333333"/>
          <w:sz w:val="22"/>
        </w:rPr>
        <w:t>, não reescrever gate de relevância/OCR/PII/dedup/balanceamento.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Três hiperparâmetros centrais</w:t>
      </w:r>
      <w:r>
        <w:rPr>
          <w:rFonts w:ascii="Arial" w:hAnsi="Arial"/>
          <w:b w:val="0"/>
          <w:color w:val="333333"/>
          <w:sz w:val="22"/>
        </w:rPr>
        <w:t xml:space="preserve">: </w:t>
      </w:r>
      <w:r>
        <w:rPr>
          <w:rFonts w:ascii="Arial" w:hAnsi="Arial"/>
          <w:b/>
          <w:color w:val="333333"/>
          <w:sz w:val="22"/>
        </w:rPr>
        <w:t>epoch count</w:t>
      </w:r>
      <w:r>
        <w:rPr>
          <w:rFonts w:ascii="Arial" w:hAnsi="Arial"/>
          <w:b w:val="0"/>
          <w:color w:val="333333"/>
          <w:sz w:val="22"/>
        </w:rPr>
        <w:t xml:space="preserve"> (quantas vezes o modelo percorre o dataset completo — poucas épocas = underfitting, épocas demais em dataset pequeno = overfitting/memorização); </w:t>
      </w:r>
      <w:r>
        <w:rPr>
          <w:rFonts w:ascii="Arial" w:hAnsi="Arial"/>
          <w:b/>
          <w:color w:val="333333"/>
          <w:sz w:val="22"/>
        </w:rPr>
        <w:t>learning rate multiplier</w:t>
      </w:r>
      <w:r>
        <w:rPr>
          <w:rFonts w:ascii="Arial" w:hAnsi="Arial"/>
          <w:b w:val="0"/>
          <w:color w:val="333333"/>
          <w:sz w:val="22"/>
        </w:rPr>
        <w:t xml:space="preserve"> (multiplica uma taxa base interna do provedor — 5 na configuração usada, calibrado para volume de centenas de exemplo); </w:t>
      </w:r>
      <w:r>
        <w:rPr>
          <w:rFonts w:ascii="Arial" w:hAnsi="Arial"/>
          <w:b/>
          <w:color w:val="333333"/>
          <w:sz w:val="22"/>
        </w:rPr>
        <w:t>adapter size</w:t>
      </w:r>
      <w:r>
        <w:rPr>
          <w:rFonts w:ascii="Arial" w:hAnsi="Arial"/>
          <w:b w:val="0"/>
          <w:color w:val="333333"/>
          <w:sz w:val="22"/>
        </w:rPr>
        <w:t xml:space="preserve"> (capacidade da camada adaptativa treinada — rank baixo, 4 no caso, restringe grau de liberdade mas basta para saída estruturada curta de 3 campos).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🔍 Exemplo detalhado: um teste deliberado tentou criar job com </w:t>
      </w:r>
      <w:r>
        <w:rPr>
          <w:rFonts w:ascii="Courier New" w:hAnsi="Courier New"/>
          <w:color w:val="333333"/>
          <w:sz w:val="20"/>
        </w:rPr>
        <w:t>epoch count = 0</w:t>
      </w:r>
      <w:r>
        <w:rPr>
          <w:rFonts w:ascii="Arial" w:hAnsi="Arial"/>
          <w:b w:val="0"/>
          <w:color w:val="333333"/>
          <w:sz w:val="22"/>
        </w:rPr>
        <w:t xml:space="preserve"> esperando rejeição imediata da API. Não aconteceu — o Vertex AI </w:t>
      </w:r>
      <w:r>
        <w:rPr>
          <w:rFonts w:ascii="Arial" w:hAnsi="Arial"/>
          <w:b/>
          <w:color w:val="333333"/>
          <w:sz w:val="22"/>
        </w:rPr>
        <w:t>aceitou</w:t>
      </w:r>
      <w:r>
        <w:rPr>
          <w:rFonts w:ascii="Arial" w:hAnsi="Arial"/>
          <w:b w:val="0"/>
          <w:color w:val="333333"/>
          <w:sz w:val="22"/>
        </w:rPr>
        <w:t xml:space="preserve"> o job, levou para </w:t>
      </w:r>
      <w:r>
        <w:rPr>
          <w:rFonts w:ascii="Arial" w:hAnsi="Arial"/>
          <w:i/>
          <w:color w:val="333333"/>
          <w:sz w:val="22"/>
        </w:rPr>
        <w:t>Running</w:t>
      </w:r>
      <w:r>
        <w:rPr>
          <w:rFonts w:ascii="Arial" w:hAnsi="Arial"/>
          <w:b w:val="0"/>
          <w:color w:val="333333"/>
          <w:sz w:val="22"/>
        </w:rPr>
        <w:t xml:space="preserve">, e o campo inválido simplesmente ficou ausente na configuração aplicada, sem recusa explícita. </w:t>
      </w:r>
      <w:r>
        <w:rPr>
          <w:rFonts w:ascii="Arial" w:hAnsi="Arial"/>
          <w:b/>
          <w:color w:val="333333"/>
          <w:sz w:val="22"/>
        </w:rPr>
        <w:t>Silêncio da API não significa configuração correta.</w:t>
      </w:r>
      <w:r>
        <w:rPr>
          <w:rFonts w:ascii="Arial" w:hAnsi="Arial"/>
          <w:b w:val="0"/>
          <w:color w:val="333333"/>
          <w:sz w:val="22"/>
        </w:rPr>
        <w:t xml:space="preserve"> A resposta: duas camadas de proteção — (1) validação local antes de qualquer chamada de rede (epoch count entre 1-20 inteiro, learning rate multiplier entre 0,1-10) e (2) comparação entre o que foi </w:t>
      </w:r>
      <w:r>
        <w:rPr>
          <w:rFonts w:ascii="Arial" w:hAnsi="Arial"/>
          <w:b/>
          <w:color w:val="333333"/>
          <w:sz w:val="22"/>
        </w:rPr>
        <w:t>pedido</w:t>
      </w:r>
      <w:r>
        <w:rPr>
          <w:rFonts w:ascii="Arial" w:hAnsi="Arial"/>
          <w:b w:val="0"/>
          <w:color w:val="333333"/>
          <w:sz w:val="22"/>
        </w:rPr>
        <w:t xml:space="preserve"> e o que o job informa ter </w:t>
      </w:r>
      <w:r>
        <w:rPr>
          <w:rFonts w:ascii="Arial" w:hAnsi="Arial"/>
          <w:b/>
          <w:color w:val="333333"/>
          <w:sz w:val="22"/>
        </w:rPr>
        <w:t>aplicado</w:t>
      </w:r>
      <w:r>
        <w:rPr>
          <w:rFonts w:ascii="Arial" w:hAnsi="Arial"/>
          <w:b w:val="0"/>
          <w:color w:val="333333"/>
          <w:sz w:val="22"/>
        </w:rPr>
        <w:t xml:space="preserve"> depois de criado (com cuidado extra: comparar número com texto exige normalização, porque </w:t>
      </w:r>
      <w:r>
        <w:rPr>
          <w:rFonts w:ascii="Courier New" w:hAnsi="Courier New"/>
          <w:color w:val="333333"/>
          <w:sz w:val="20"/>
        </w:rPr>
        <w:t>3 === "3"</w:t>
      </w:r>
      <w:r>
        <w:rPr>
          <w:rFonts w:ascii="Arial" w:hAnsi="Arial"/>
          <w:b w:val="0"/>
          <w:color w:val="333333"/>
          <w:sz w:val="22"/>
        </w:rPr>
        <w:t xml:space="preserve"> é falso em igualdade estrita).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Automação com confirmação explícita</w:t>
      </w:r>
      <w:r>
        <w:rPr>
          <w:rFonts w:ascii="Arial" w:hAnsi="Arial"/>
          <w:b w:val="0"/>
          <w:color w:val="333333"/>
          <w:sz w:val="22"/>
        </w:rPr>
        <w:t xml:space="preserve">: os 5 passos viram pipeline sequencial com </w:t>
      </w:r>
      <w:r>
        <w:rPr>
          <w:rFonts w:ascii="Arial" w:hAnsi="Arial"/>
          <w:b/>
          <w:color w:val="333333"/>
          <w:sz w:val="22"/>
        </w:rPr>
        <w:t>fail fast</w:t>
      </w:r>
      <w:r>
        <w:rPr>
          <w:rFonts w:ascii="Arial" w:hAnsi="Arial"/>
          <w:b w:val="0"/>
          <w:color w:val="333333"/>
          <w:sz w:val="22"/>
        </w:rPr>
        <w:t xml:space="preserve"> (falha numa etapa interrompe antes de avançar com estado incompleto). Toda etapa é automatizável </w:t>
      </w:r>
      <w:r>
        <w:rPr>
          <w:rFonts w:ascii="Arial" w:hAnsi="Arial"/>
          <w:b/>
          <w:color w:val="333333"/>
          <w:sz w:val="22"/>
        </w:rPr>
        <w:t>exceto criar o job</w:t>
      </w:r>
      <w:r>
        <w:rPr>
          <w:rFonts w:ascii="Arial" w:hAnsi="Arial"/>
          <w:b w:val="0"/>
          <w:color w:val="333333"/>
          <w:sz w:val="22"/>
        </w:rPr>
        <w:t xml:space="preserve"> — que gera recurso cobrável e só executa com confirmação explícita </w:t>
      </w:r>
      <w:r>
        <w:rPr>
          <w:rFonts w:ascii="Courier New" w:hAnsi="Courier New"/>
          <w:color w:val="333333"/>
          <w:sz w:val="20"/>
        </w:rPr>
        <w:t>true</w:t>
      </w:r>
      <w:r>
        <w:rPr>
          <w:rFonts w:ascii="Arial" w:hAnsi="Arial"/>
          <w:b w:val="0"/>
          <w:color w:val="333333"/>
          <w:sz w:val="22"/>
        </w:rPr>
        <w:t>, ecoando o incidente do epoch count zero. Padrão análogo a plan/apply de Infraestrutura como Código.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Polling com backoff exponencial e teto</w:t>
      </w:r>
      <w:r>
        <w:rPr>
          <w:rFonts w:ascii="Arial" w:hAnsi="Arial"/>
          <w:b w:val="0"/>
          <w:color w:val="333333"/>
          <w:sz w:val="22"/>
        </w:rPr>
        <w:t xml:space="preserve">: primeiro intervalo de 5s, multiplicado por 1,5 a cada rodada até teto de 60s — evita tanto polling agressivo (custo de chamada desnecessária) quanto detecção tardia (sem teto, job longo faria o intervalo crescer demais). </w:t>
      </w:r>
      <w:r>
        <w:rPr>
          <w:rFonts w:ascii="Arial" w:hAnsi="Arial"/>
          <w:b/>
          <w:color w:val="333333"/>
          <w:sz w:val="22"/>
        </w:rPr>
        <w:t>Callback</w:t>
      </w:r>
      <w:r>
        <w:rPr>
          <w:rFonts w:ascii="Arial" w:hAnsi="Arial"/>
          <w:b w:val="0"/>
          <w:color w:val="333333"/>
          <w:sz w:val="22"/>
        </w:rPr>
        <w:t xml:space="preserve"> torna o acompanhamento observável (registra Pending/Running/Succeeded sem consulta manual). </w:t>
      </w:r>
      <w:r>
        <w:rPr>
          <w:rFonts w:ascii="Arial" w:hAnsi="Arial"/>
          <w:b/>
          <w:color w:val="333333"/>
          <w:sz w:val="22"/>
        </w:rPr>
        <w:t>Injeção de dependência</w:t>
      </w:r>
      <w:r>
        <w:rPr>
          <w:rFonts w:ascii="Arial" w:hAnsi="Arial"/>
          <w:b w:val="0"/>
          <w:color w:val="333333"/>
          <w:sz w:val="22"/>
        </w:rPr>
        <w:t xml:space="preserve"> (função de consulta e função de espera substituíveis) permite testar o loop assíncrono inteiro sem rede real e sem esperar segundos de verdade.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Versionamento e Model Card</w:t>
      </w:r>
      <w:r>
        <w:rPr>
          <w:rFonts w:ascii="Arial" w:hAnsi="Arial"/>
          <w:b w:val="0"/>
          <w:color w:val="333333"/>
          <w:sz w:val="22"/>
        </w:rPr>
        <w:t xml:space="preserve">: hash </w:t>
      </w:r>
      <w:r>
        <w:rPr>
          <w:rFonts w:ascii="Arial" w:hAnsi="Arial"/>
          <w:b/>
          <w:color w:val="333333"/>
          <w:sz w:val="22"/>
        </w:rPr>
        <w:t>SHA-256</w:t>
      </w:r>
      <w:r>
        <w:rPr>
          <w:rFonts w:ascii="Arial" w:hAnsi="Arial"/>
          <w:b w:val="0"/>
          <w:color w:val="333333"/>
          <w:sz w:val="22"/>
        </w:rPr>
        <w:t xml:space="preserve"> do dataset como identificador de versão (mesmo hash independente da linguagem usada para calculá-lo — depende do conteúdo do arquivo, não do processo). Ficha registra modelo base, dataset+hash, hiperparâmetro efetivamente aplicado, estatística de treino, timestamp de criação/conclusão (útil para correlacionar incidente com mudança de modelo), custo estimado </w:t>
      </w:r>
      <w:r>
        <w:rPr>
          <w:rFonts w:ascii="Arial" w:hAnsi="Arial"/>
          <w:b/>
          <w:color w:val="333333"/>
          <w:sz w:val="22"/>
        </w:rPr>
        <w:t>vs.</w:t>
      </w:r>
      <w:r>
        <w:rPr>
          <w:rFonts w:ascii="Arial" w:hAnsi="Arial"/>
          <w:b w:val="0"/>
          <w:color w:val="333333"/>
          <w:sz w:val="22"/>
        </w:rPr>
        <w:t xml:space="preserve"> custo real verificado no billing (R$2,39 no exemplo — Vertex AI cobra por token, não por hora de GPU).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✅ Resultado/Conclusão: </w:t>
      </w:r>
      <w:r>
        <w:rPr>
          <w:rFonts w:ascii="Arial" w:hAnsi="Arial"/>
          <w:b/>
          <w:color w:val="333333"/>
          <w:sz w:val="22"/>
        </w:rPr>
        <w:t>rastreabilidade também vale para decisão de não executar</w:t>
      </w:r>
      <w:r>
        <w:rPr>
          <w:rFonts w:ascii="Arial" w:hAnsi="Arial"/>
          <w:b w:val="0"/>
          <w:color w:val="333333"/>
          <w:sz w:val="22"/>
        </w:rPr>
        <w:t xml:space="preserve"> — registrar dataset/hash/hiperparâmetro/custo que </w:t>
      </w:r>
      <w:r>
        <w:rPr>
          <w:rFonts w:ascii="Arial" w:hAnsi="Arial"/>
          <w:i/>
          <w:color w:val="333333"/>
          <w:sz w:val="22"/>
        </w:rPr>
        <w:t>seriam</w:t>
      </w:r>
      <w:r>
        <w:rPr>
          <w:rFonts w:ascii="Arial" w:hAnsi="Arial"/>
          <w:b w:val="0"/>
          <w:color w:val="333333"/>
          <w:sz w:val="22"/>
        </w:rPr>
        <w:t xml:space="preserve"> usados documenta o planejamento mesmo sem gastar. Saúde Empresarial foi </w:t>
      </w:r>
      <w:r>
        <w:rPr>
          <w:rFonts w:ascii="Arial" w:hAnsi="Arial"/>
          <w:b/>
          <w:color w:val="333333"/>
          <w:sz w:val="22"/>
        </w:rPr>
        <w:t>reavaliado 9 meses depois</w:t>
      </w:r>
      <w:r>
        <w:rPr>
          <w:rFonts w:ascii="Arial" w:hAnsi="Arial"/>
          <w:b w:val="0"/>
          <w:color w:val="333333"/>
          <w:sz w:val="22"/>
        </w:rPr>
        <w:t xml:space="preserve"> rodando o mesmo Decision Framework (não uma lógica nova) — score de dado subiu de 0,35 para 0,62 (acima do limiar de 0,6), e o caso entrou no treinamento porque o critério que reprovou antes agora aprova com dado atualizado, não porque a régua foi baixada. O módulo fecha citando </w:t>
      </w:r>
      <w:r>
        <w:rPr>
          <w:rFonts w:ascii="Arial" w:hAnsi="Arial"/>
          <w:b/>
          <w:color w:val="333333"/>
          <w:sz w:val="22"/>
        </w:rPr>
        <w:t>Preference Tuning/DPO</w:t>
      </w:r>
      <w:r>
        <w:rPr>
          <w:rFonts w:ascii="Arial" w:hAnsi="Arial"/>
          <w:b w:val="0"/>
          <w:color w:val="333333"/>
          <w:sz w:val="22"/>
        </w:rPr>
        <w:t xml:space="preserve"> (pares de resposta preferida/rejeitada) como alternativa ao Supervised Fine-Tuning quando a tarefa envolve qualidade subjetiva (tom, voz de marca) em vez de resposta objetiva — e antecipa que o próximo módulo (ainda sem PDF publicado) migra o treinamento para infraestrutura local com LoRA/PEFT, mantendo o mesmo rigor de engenharia (hash, validação, teste).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3. Detalhes de Implementação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Os três projetos principais do módulo (Decision Framework, Dataset Preparation Pipeline, Fine-Tuning via API) foram portados 1:1 para Java (Spring Boot, sem web — bibliotecas standalone) e Go, mantendo constantes de negócio, algoritmo e cenário de teste idênticos ao original JavaScript/Python.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3.1 Decision Framework Tool — Go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que faz: porte Go do porte Java (não do </w:t>
      </w:r>
      <w:r>
        <w:rPr>
          <w:rFonts w:ascii="Courier New" w:hAnsi="Courier New"/>
          <w:color w:val="333333"/>
          <w:sz w:val="20"/>
        </w:rPr>
        <w:t>.js</w:t>
      </w:r>
      <w:r>
        <w:rPr>
          <w:rFonts w:ascii="Arial" w:hAnsi="Arial"/>
          <w:b w:val="0"/>
          <w:color w:val="333333"/>
          <w:sz w:val="22"/>
        </w:rPr>
        <w:t xml:space="preserve"> original diretamente) — gate de governança LGPD, AHP (pesos + consistência de Saaty + agregação de comitê), gate de 4 perguntas ponderado, NPV/DCF, Monte Carlo, Real Options (árvore binomial CRR) e análise de sensibilidade, aplicados aos 3 casos reais da Amplitude Seguros. Inclui também uma demo separada de GRPO (recompensa verificável + vantagem relativa ao grupo).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Fluxo de dados: </w:t>
      </w:r>
      <w:r>
        <w:rPr>
          <w:rFonts w:ascii="Courier New" w:hAnsi="Courier New"/>
          <w:color w:val="333333"/>
          <w:sz w:val="20"/>
        </w:rPr>
        <w:t>amplitude-seguros-casos.json</w:t>
      </w:r>
      <w:r>
        <w:rPr>
          <w:rFonts w:ascii="Arial" w:hAnsi="Arial"/>
          <w:b w:val="0"/>
          <w:color w:val="333333"/>
          <w:sz w:val="22"/>
        </w:rPr>
        <w:t xml:space="preserve"> (embarcado via </w:t>
      </w:r>
      <w:r>
        <w:rPr>
          <w:rFonts w:ascii="Courier New" w:hAnsi="Courier New"/>
          <w:color w:val="333333"/>
          <w:sz w:val="20"/>
        </w:rPr>
        <w:t>go:embed</w:t>
      </w:r>
      <w:r>
        <w:rPr>
          <w:rFonts w:ascii="Arial" w:hAnsi="Arial"/>
          <w:b w:val="0"/>
          <w:color w:val="333333"/>
          <w:sz w:val="22"/>
        </w:rPr>
        <w:t>) → gate de governança (bloqueia antes de qualquer ponderação) → matriz de comparação pareada → pesos AHP + razão de consistência → gate de 4 perguntas → se aprovado, NPV/Monte Carlo (10.000 simulações)/análise de sensibilidade; se reprovado só por dado insuficiente, Real Options (árvore binomial, indução retroativa).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Trecho de código (Go) — cálculo de vantagem relativa ao grupo do GRPO, normalizando recompensa dentro do próprio grupo de amostras: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func VantagemRelativaAoGrupo(recompensas []float64) []float64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media := mean(recompensas)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desvio := stdDev(recompensas, media)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vantagens := make([]float64, len(recompensas))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for i, r := range recompensas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vantagens[i] = (r - media) / desvio // A_i = (r_i - média(r)) / desvio_padrão(r)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return vantagens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Arquitetura: dois binários CLI (</w:t>
      </w:r>
      <w:r>
        <w:rPr>
          <w:rFonts w:ascii="Courier New" w:hAnsi="Courier New"/>
          <w:color w:val="333333"/>
          <w:sz w:val="20"/>
        </w:rPr>
        <w:t>cmd/decisionframework</w:t>
      </w:r>
      <w:r>
        <w:rPr>
          <w:rFonts w:ascii="Arial" w:hAnsi="Arial"/>
          <w:b w:val="0"/>
          <w:color w:val="333333"/>
          <w:sz w:val="22"/>
        </w:rPr>
        <w:t xml:space="preserve"> para a demo do framework de decisão, </w:t>
      </w:r>
      <w:r>
        <w:rPr>
          <w:rFonts w:ascii="Courier New" w:hAnsi="Courier New"/>
          <w:color w:val="333333"/>
          <w:sz w:val="20"/>
        </w:rPr>
        <w:t>cmd/grpodemo</w:t>
      </w:r>
      <w:r>
        <w:rPr>
          <w:rFonts w:ascii="Arial" w:hAnsi="Arial"/>
          <w:b w:val="0"/>
          <w:color w:val="333333"/>
          <w:sz w:val="22"/>
        </w:rPr>
        <w:t xml:space="preserve"> para a demo do GRPO), sem framework web — lógica de cálculo standalone organizada por pacote de responsabilidade (</w:t>
      </w:r>
      <w:r>
        <w:rPr>
          <w:rFonts w:ascii="Courier New" w:hAnsi="Courier New"/>
          <w:color w:val="333333"/>
          <w:sz w:val="20"/>
        </w:rPr>
        <w:t>ahp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governance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framework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finance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grpo</w:t>
      </w:r>
      <w:r>
        <w:rPr>
          <w:rFonts w:ascii="Arial" w:hAnsi="Arial"/>
          <w:b w:val="0"/>
          <w:color w:val="333333"/>
          <w:sz w:val="22"/>
        </w:rPr>
        <w:t>). O cliente Ollama (</w:t>
      </w:r>
      <w:r>
        <w:rPr>
          <w:rFonts w:ascii="Courier New" w:hAnsi="Courier New"/>
          <w:color w:val="333333"/>
          <w:sz w:val="20"/>
        </w:rPr>
        <w:t>grpo/ollama.go</w:t>
      </w:r>
      <w:r>
        <w:rPr>
          <w:rFonts w:ascii="Arial" w:hAnsi="Arial"/>
          <w:b w:val="0"/>
          <w:color w:val="333333"/>
          <w:sz w:val="22"/>
        </w:rPr>
        <w:t>) é um cliente HTTP mínimo próprio, sem SDK.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Como rodar: </w:t>
      </w:r>
      <w:r>
        <w:rPr>
          <w:rFonts w:ascii="Courier New" w:hAnsi="Courier New"/>
          <w:color w:val="333333"/>
          <w:sz w:val="20"/>
        </w:rPr>
        <w:t>go run ./cmd/decisionframework</w:t>
      </w:r>
      <w:r>
        <w:rPr>
          <w:rFonts w:ascii="Arial" w:hAnsi="Arial"/>
          <w:b w:val="0"/>
          <w:color w:val="333333"/>
          <w:sz w:val="22"/>
        </w:rPr>
        <w:t xml:space="preserve"> (framework completo) ou </w:t>
      </w:r>
      <w:r>
        <w:rPr>
          <w:rFonts w:ascii="Courier New" w:hAnsi="Courier New"/>
          <w:color w:val="333333"/>
          <w:sz w:val="20"/>
        </w:rPr>
        <w:t>go run ./cmd/grpodemo</w:t>
      </w:r>
      <w:r>
        <w:rPr>
          <w:rFonts w:ascii="Arial" w:hAnsi="Arial"/>
          <w:b w:val="0"/>
          <w:color w:val="333333"/>
          <w:sz w:val="22"/>
        </w:rPr>
        <w:t xml:space="preserve"> (GRPO); </w:t>
      </w:r>
      <w:r>
        <w:rPr>
          <w:rFonts w:ascii="Courier New" w:hAnsi="Courier New"/>
          <w:color w:val="333333"/>
          <w:sz w:val="20"/>
        </w:rPr>
        <w:t>go test ./...</w:t>
      </w:r>
      <w:r>
        <w:rPr>
          <w:rFonts w:ascii="Arial" w:hAnsi="Arial"/>
          <w:b w:val="0"/>
          <w:color w:val="333333"/>
          <w:sz w:val="22"/>
        </w:rPr>
        <w:t xml:space="preserve"> cobrindo AHP solo/comitê, gate de governança, gate de 4 perguntas, NPV/DCF, Monte Carlo e Real Options.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3.2 Dataset Preparation Pipeline — Go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O que faz: agrupa num único módulo as 5 ferramentas de preparação de dataset — pontuação de relevância, extração (OCR + LLM multimodal), limpeza/deduplicação/balanceamento (MinHash+LSH, temperatura, entropia), e PII scrubbing — formando o pipeline sequencial relevância → extração → limpeza/balanceamento → PII sobre o mesmo dataset da Amplitude Seguros.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Fluxo de dados: candidato de documento → gate de relevância (4 perguntas) → OCR (Tesseract via </w:t>
      </w:r>
      <w:r>
        <w:rPr>
          <w:rFonts w:ascii="Courier New" w:hAnsi="Courier New"/>
          <w:color w:val="333333"/>
          <w:sz w:val="20"/>
        </w:rPr>
        <w:t>os/exec</w:t>
      </w:r>
      <w:r>
        <w:rPr>
          <w:rFonts w:ascii="Arial" w:hAnsi="Arial"/>
          <w:b w:val="0"/>
          <w:color w:val="333333"/>
          <w:sz w:val="22"/>
        </w:rPr>
        <w:t xml:space="preserve">) ou extração via LLM multimodal (Vertex AI via HTTP + token do </w:t>
      </w:r>
      <w:r>
        <w:rPr>
          <w:rFonts w:ascii="Courier New" w:hAnsi="Courier New"/>
          <w:color w:val="333333"/>
          <w:sz w:val="20"/>
        </w:rPr>
        <w:t>gcloud</w:t>
      </w:r>
      <w:r>
        <w:rPr>
          <w:rFonts w:ascii="Arial" w:hAnsi="Arial"/>
          <w:b w:val="0"/>
          <w:color w:val="333333"/>
          <w:sz w:val="22"/>
        </w:rPr>
        <w:t>) → parser tolerante a rótulo → validação de esquema → PII scrubbing (CPF com dígito verificador, nome ancorado por rótulo) → JSONL canônico; separadamente, o conjunto completo passa por MinHash (k=32) + LSH (8 bandas, 4 linhas) para deduplicação e amostragem por temperatura (alfa=0,3) para balanceamento.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Trecho de código (Go) — validação de CPF por dígito verificador (Módulo 11), a mesma regra usada tanto para aceitar quanto para reduzir o dado antes do PII scrubbing: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func CPFValido(cpf string) bool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digitos := apenasDigitos(cpf)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if len(digitos) != 11 || todosIguais(digitos)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return false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d1 := calcularDigitoVerificador(digitos[:9], 10)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d2 := calcularDigitoVerificador(digitos[:10], 11)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return d1 == int(digitos[9]-'0') &amp;&amp; d2 == int(digitos[10]-'0')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Arquitetura: sem framework web — biblioteca pura organizada por pacote (</w:t>
      </w:r>
      <w:r>
        <w:rPr>
          <w:rFonts w:ascii="Courier New" w:hAnsi="Courier New"/>
          <w:color w:val="333333"/>
          <w:sz w:val="20"/>
        </w:rPr>
        <w:t>datarelevance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cleaning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pii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extraction</w:t>
      </w:r>
      <w:r>
        <w:rPr>
          <w:rFonts w:ascii="Arial" w:hAnsi="Arial"/>
          <w:b w:val="0"/>
          <w:color w:val="333333"/>
          <w:sz w:val="22"/>
        </w:rPr>
        <w:t xml:space="preserve">). Remoção de acento implementada com </w:t>
      </w:r>
      <w:r>
        <w:rPr>
          <w:rFonts w:ascii="Courier New" w:hAnsi="Courier New"/>
          <w:color w:val="333333"/>
          <w:sz w:val="20"/>
        </w:rPr>
        <w:t>strings.Replacer</w:t>
      </w:r>
      <w:r>
        <w:rPr>
          <w:rFonts w:ascii="Arial" w:hAnsi="Arial"/>
          <w:b w:val="0"/>
          <w:color w:val="333333"/>
          <w:sz w:val="22"/>
        </w:rPr>
        <w:t xml:space="preserve"> manual para o alfabeto português, evitando trazer </w:t>
      </w:r>
      <w:r>
        <w:rPr>
          <w:rFonts w:ascii="Courier New" w:hAnsi="Courier New"/>
          <w:color w:val="333333"/>
          <w:sz w:val="20"/>
        </w:rPr>
        <w:t>golang.org/x/text</w:t>
      </w:r>
      <w:r>
        <w:rPr>
          <w:rFonts w:ascii="Arial" w:hAnsi="Arial"/>
          <w:b w:val="0"/>
          <w:color w:val="333333"/>
          <w:sz w:val="22"/>
        </w:rPr>
        <w:t xml:space="preserve"> só para essa normalização (mantendo o módulo sem dependência externa). Chamada ao Tesseract e à Vertex AI exigem binário/credencial local — não rodam em CI, então só a lógica pura (parsing, validação, dedup, PII) tem teste automatizado.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Como rodar: </w:t>
      </w:r>
      <w:r>
        <w:rPr>
          <w:rFonts w:ascii="Courier New" w:hAnsi="Courier New"/>
          <w:color w:val="333333"/>
          <w:sz w:val="20"/>
        </w:rPr>
        <w:t>go build ./... &amp;&amp; go vet ./... &amp;&amp; go test ./...</w:t>
      </w:r>
      <w:r>
        <w:rPr>
          <w:rFonts w:ascii="Arial" w:hAnsi="Arial"/>
          <w:b w:val="0"/>
          <w:color w:val="333333"/>
          <w:sz w:val="22"/>
        </w:rPr>
        <w:t xml:space="preserve"> para validar; </w:t>
      </w:r>
      <w:r>
        <w:rPr>
          <w:rFonts w:ascii="Courier New" w:hAnsi="Courier New"/>
          <w:color w:val="333333"/>
          <w:sz w:val="20"/>
        </w:rPr>
        <w:t>go run .</w:t>
      </w:r>
      <w:r>
        <w:rPr>
          <w:rFonts w:ascii="Arial" w:hAnsi="Arial"/>
          <w:b w:val="0"/>
          <w:color w:val="333333"/>
          <w:sz w:val="22"/>
        </w:rPr>
        <w:t xml:space="preserve"> roda o demo offline (sem OCR real nem chamada à Vertex AI).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3.3 Fine-Tuning via API Toolkit — Go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O que faz: conversão para o formato Gemini, gate de confiança de OCR, validação/comparação de hiperparâmetro, automação de fine-tuning via Vertex AI (upload, criação de job com trava de confirmação, acompanhamento com backoff), versionamento de modelo (hash de dataset, Model Card), reavaliação do caso Saúde Empresarial (reabre o gate de decisão do Módulo 1), escala de dataset (305 brutos → dedup → 200 balanceados), e o extra Dolly-15k (dataset real alternativo).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Fluxo de dados: exemplo no esquema canônico → conversão para turnos usuário/modelo do Gemini → gate de confiança de OCR (limiar 0,85 — abaixo disso, sinaliza para revisão humana em vez de enviar direto) → validação de hiperparâmetro (antes da rede) → upload ao bucket → criação de job (só com confirmação explícita) → polling com backoff exponencial (5s ×1,5, teto 60s) até estado terminal → comparação pedido vs. aplicado → hash SHA-256 do dataset + Model Card.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Trecho de código (Go) — backoff exponencial com teto, calculado como função pura para ser testável sem esperar tempo real: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func ProximoIntervalo(atual time.Duration, teto time.Duration) time.Duration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proximo := time.Duration(float64(atual) * 1.5)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if proximo &gt; teto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return teto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return proximo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Arquitetura: sem framework web — coleção de pacotes-biblioteca (</w:t>
      </w:r>
      <w:r>
        <w:rPr>
          <w:rFonts w:ascii="Courier New" w:hAnsi="Courier New"/>
          <w:color w:val="333333"/>
          <w:sz w:val="20"/>
        </w:rPr>
        <w:t>gemini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ocrgate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hyperparam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automation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versioning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reavaliacao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vertexai</w:t>
      </w:r>
      <w:r>
        <w:rPr>
          <w:rFonts w:ascii="Arial" w:hAnsi="Arial"/>
          <w:b w:val="0"/>
          <w:color w:val="333333"/>
          <w:sz w:val="22"/>
        </w:rPr>
        <w:t xml:space="preserve">) mais um </w:t>
      </w:r>
      <w:r>
        <w:rPr>
          <w:rFonts w:ascii="Courier New" w:hAnsi="Courier New"/>
          <w:color w:val="333333"/>
          <w:sz w:val="20"/>
        </w:rPr>
        <w:t>cmd/demo</w:t>
      </w:r>
      <w:r>
        <w:rPr>
          <w:rFonts w:ascii="Arial" w:hAnsi="Arial"/>
          <w:b w:val="0"/>
          <w:color w:val="333333"/>
          <w:sz w:val="22"/>
        </w:rPr>
        <w:t xml:space="preserve"> orquestrando o fluxo ponta a ponta. Os pacotes </w:t>
      </w:r>
      <w:r>
        <w:rPr>
          <w:rFonts w:ascii="Courier New" w:hAnsi="Courier New"/>
          <w:color w:val="333333"/>
          <w:sz w:val="20"/>
        </w:rPr>
        <w:t>decisionframework</w:t>
      </w:r>
      <w:r>
        <w:rPr>
          <w:rFonts w:ascii="Arial" w:hAnsi="Arial"/>
          <w:b w:val="0"/>
          <w:color w:val="333333"/>
          <w:sz w:val="22"/>
        </w:rPr>
        <w:t xml:space="preserve"> e </w:t>
      </w:r>
      <w:r>
        <w:rPr>
          <w:rFonts w:ascii="Courier New" w:hAnsi="Courier New"/>
          <w:color w:val="333333"/>
          <w:sz w:val="20"/>
        </w:rPr>
        <w:t>minhash</w:t>
      </w:r>
      <w:r>
        <w:rPr>
          <w:rFonts w:ascii="Arial" w:hAnsi="Arial"/>
          <w:b w:val="0"/>
          <w:color w:val="333333"/>
          <w:sz w:val="22"/>
        </w:rPr>
        <w:t xml:space="preserve"> são </w:t>
      </w:r>
      <w:r>
        <w:rPr>
          <w:rFonts w:ascii="Arial" w:hAnsi="Arial"/>
          <w:b/>
          <w:color w:val="333333"/>
          <w:sz w:val="22"/>
        </w:rPr>
        <w:t>porte autocontido e duplicado</w:t>
      </w:r>
      <w:r>
        <w:rPr>
          <w:rFonts w:ascii="Arial" w:hAnsi="Arial"/>
          <w:b w:val="0"/>
          <w:color w:val="333333"/>
          <w:sz w:val="22"/>
        </w:rPr>
        <w:t xml:space="preserve">: o </w:t>
      </w:r>
      <w:r>
        <w:rPr>
          <w:rFonts w:ascii="Courier New" w:hAnsi="Courier New"/>
          <w:color w:val="333333"/>
          <w:sz w:val="20"/>
        </w:rPr>
        <w:t>.js</w:t>
      </w:r>
      <w:r>
        <w:rPr>
          <w:rFonts w:ascii="Arial" w:hAnsi="Arial"/>
          <w:b w:val="0"/>
          <w:color w:val="333333"/>
          <w:sz w:val="22"/>
        </w:rPr>
        <w:t xml:space="preserve"> original importa essas funções por </w:t>
      </w:r>
      <w:r>
        <w:rPr>
          <w:rFonts w:ascii="Courier New" w:hAnsi="Courier New"/>
          <w:color w:val="333333"/>
          <w:sz w:val="20"/>
        </w:rPr>
        <w:t>require()</w:t>
      </w:r>
      <w:r>
        <w:rPr>
          <w:rFonts w:ascii="Arial" w:hAnsi="Arial"/>
          <w:b w:val="0"/>
          <w:color w:val="333333"/>
          <w:sz w:val="22"/>
        </w:rPr>
        <w:t xml:space="preserve"> direto dos arquivos do Módulo 1 e 2, mas como Go não tem mecanismo equivalente de import cross-módulo tão direto neste layout, a lógica reaproveitada foi replicada aqui. O acompanhamento assíncrono usa injeção de dependência (função de consulta e função de espera passadas como parâmetro), permitindo testar Pending→Running→Succeeded sem rede nem tempo real de espera.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Como rodar: </w:t>
      </w:r>
      <w:r>
        <w:rPr>
          <w:rFonts w:ascii="Courier New" w:hAnsi="Courier New"/>
          <w:color w:val="333333"/>
          <w:sz w:val="20"/>
        </w:rPr>
        <w:t>go run ./cmd/demo</w:t>
      </w:r>
      <w:r>
        <w:rPr>
          <w:rFonts w:ascii="Arial" w:hAnsi="Arial"/>
          <w:b w:val="0"/>
          <w:color w:val="333333"/>
          <w:sz w:val="22"/>
        </w:rPr>
        <w:t xml:space="preserve"> (fluxo completo simulado); </w:t>
      </w:r>
      <w:r>
        <w:rPr>
          <w:rFonts w:ascii="Courier New" w:hAnsi="Courier New"/>
          <w:color w:val="333333"/>
          <w:sz w:val="20"/>
        </w:rPr>
        <w:t>go test ./...</w:t>
      </w:r>
      <w:r>
        <w:rPr>
          <w:rFonts w:ascii="Arial" w:hAnsi="Arial"/>
          <w:b w:val="0"/>
          <w:color w:val="333333"/>
          <w:sz w:val="22"/>
        </w:rPr>
        <w:t xml:space="preserve"> cobre automação (incluindo a trava de confirmação), conversão Gemini, hiperparâmetro, MinHash, gate de OCR, versionamento, escala de dataset e o extra Dolly-15k.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4. Analogias Java/Spring Boot e Go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Conceito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Equivalente Java/Spring Boot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Equivalente Go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Gate de governança como blocker anterior a qualquer ponderação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Um </w:t>
            </w:r>
            <w:r>
              <w:rPr>
                <w:rFonts w:ascii="Courier New" w:hAnsi="Courier New"/>
                <w:color w:val="333333"/>
                <w:sz w:val="20"/>
              </w:rPr>
              <w:t>@Component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de validação chamado explicitamente no início do fluxo, lançando exceção de negócio antes de qualquer cálculo de score — nunca um </w:t>
            </w:r>
            <w:r>
              <w:rPr>
                <w:rFonts w:ascii="Courier New" w:hAnsi="Courier New"/>
                <w:color w:val="333333"/>
                <w:sz w:val="20"/>
              </w:rPr>
              <w:t>@Aspect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genérico, porque a regra é intencionalmente visível e auditável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Uma função </w:t>
            </w:r>
            <w:r>
              <w:rPr>
                <w:rFonts w:ascii="Courier New" w:hAnsi="Courier New"/>
                <w:color w:val="333333"/>
                <w:sz w:val="20"/>
              </w:rPr>
              <w:t>ValidarGovernancaDado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chamada como primeira linha do </w:t>
            </w:r>
            <w:r>
              <w:rPr>
                <w:rFonts w:ascii="Courier New" w:hAnsi="Courier New"/>
                <w:color w:val="333333"/>
                <w:sz w:val="20"/>
              </w:rPr>
              <w:t>main()</w:t>
            </w:r>
            <w:r>
              <w:rPr>
                <w:rFonts w:ascii="Arial" w:hAnsi="Arial"/>
                <w:b w:val="0"/>
                <w:color w:val="333333"/>
                <w:sz w:val="22"/>
              </w:rPr>
              <w:t>/handler, retornando erro imediatamente — mesma visibilidade explícita, sem AOP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Confirmação explícita antes de ação cara (criar job)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Um parâmetro </w:t>
            </w:r>
            <w:r>
              <w:rPr>
                <w:rFonts w:ascii="Courier New" w:hAnsi="Courier New"/>
                <w:color w:val="333333"/>
                <w:sz w:val="20"/>
              </w:rPr>
              <w:t>boolean confirmar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no método de serviço, validado no início com </w:t>
            </w:r>
            <w:r>
              <w:rPr>
                <w:rFonts w:ascii="Courier New" w:hAnsi="Courier New"/>
                <w:color w:val="333333"/>
                <w:sz w:val="20"/>
              </w:rPr>
              <w:t>if (!confirmar) throw new IllegalStateException(...)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— o "dry run" vira o caminho padrão sem esse parâmetro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Mesmo padrão, com </w:t>
            </w:r>
            <w:r>
              <w:rPr>
                <w:rFonts w:ascii="Courier New" w:hAnsi="Courier New"/>
                <w:color w:val="333333"/>
                <w:sz w:val="20"/>
              </w:rPr>
              <w:t>ExigirConfirmacao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verificado antes de qualquer chamada HTTP em </w:t>
            </w:r>
            <w:r>
              <w:rPr>
                <w:rFonts w:ascii="Courier New" w:hAnsi="Courier New"/>
                <w:color w:val="333333"/>
                <w:sz w:val="20"/>
              </w:rPr>
              <w:t>automation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— Go não tem exceção, então o retorno de erro precoce cumpre o mesmo papel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Injeção de dependência para testar loop assíncrono sem rede/tempo real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Interface </w:t>
            </w:r>
            <w:r>
              <w:rPr>
                <w:rFonts w:ascii="Courier New" w:hAnsi="Courier New"/>
                <w:color w:val="333333"/>
                <w:sz w:val="20"/>
              </w:rPr>
              <w:t>JobPoller</w:t>
            </w:r>
            <w:r>
              <w:rPr>
                <w:rFonts w:ascii="Arial" w:hAnsi="Arial"/>
                <w:b w:val="0"/>
                <w:color w:val="333333"/>
                <w:sz w:val="22"/>
              </w:rPr>
              <w:t>/</w:t>
            </w:r>
            <w:r>
              <w:rPr>
                <w:rFonts w:ascii="Courier New" w:hAnsi="Courier New"/>
                <w:color w:val="333333"/>
                <w:sz w:val="20"/>
              </w:rPr>
              <w:t>Clock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injetada via Spring, com implementação fake (</w:t>
            </w:r>
            <w:r>
              <w:rPr>
                <w:rFonts w:ascii="Courier New" w:hAnsi="Courier New"/>
                <w:color w:val="333333"/>
                <w:sz w:val="20"/>
              </w:rPr>
              <w:t>@TestConfiguration</w:t>
            </w:r>
            <w:r>
              <w:rPr>
                <w:rFonts w:ascii="Arial" w:hAnsi="Arial"/>
                <w:b w:val="0"/>
                <w:color w:val="333333"/>
                <w:sz w:val="22"/>
              </w:rPr>
              <w:t>) substituindo a real durante o teste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Funções de primeira classe passadas como parâmetro (</w:t>
            </w:r>
            <w:r>
              <w:rPr>
                <w:rFonts w:ascii="Courier New" w:hAnsi="Courier New"/>
                <w:color w:val="333333"/>
                <w:sz w:val="20"/>
              </w:rPr>
              <w:t>func() (Estado, error)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, </w:t>
            </w:r>
            <w:r>
              <w:rPr>
                <w:rFonts w:ascii="Courier New" w:hAnsi="Courier New"/>
                <w:color w:val="333333"/>
                <w:sz w:val="20"/>
              </w:rPr>
              <w:t>func(time.Duration)</w:t>
            </w:r>
            <w:r>
              <w:rPr>
                <w:rFonts w:ascii="Arial" w:hAnsi="Arial"/>
                <w:b w:val="0"/>
                <w:color w:val="333333"/>
                <w:sz w:val="22"/>
              </w:rPr>
              <w:t>) — Go usa função como valor em vez de interface+mock, mesma capacidade de substituição sem framework de mock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Backoff exponencial com teto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Biblioteca como Resilience4j (</w:t>
            </w:r>
            <w:r>
              <w:rPr>
                <w:rFonts w:ascii="Courier New" w:hAnsi="Courier New"/>
                <w:color w:val="333333"/>
                <w:sz w:val="20"/>
              </w:rPr>
              <w:t>IntervalFunction.ofExponentialBackoff</w:t>
            </w:r>
            <w:r>
              <w:rPr>
                <w:rFonts w:ascii="Arial" w:hAnsi="Arial"/>
                <w:b w:val="0"/>
                <w:color w:val="333333"/>
                <w:sz w:val="22"/>
              </w:rPr>
              <w:t>) configurada declarativamente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Função pura calculando o próximo intervalo (</w:t>
            </w:r>
            <w:r>
              <w:rPr>
                <w:rFonts w:ascii="Courier New" w:hAnsi="Courier New"/>
                <w:color w:val="333333"/>
                <w:sz w:val="20"/>
              </w:rPr>
              <w:t>ProximoIntervalo</w:t>
            </w:r>
            <w:r>
              <w:rPr>
                <w:rFonts w:ascii="Arial" w:hAnsi="Arial"/>
                <w:b w:val="0"/>
                <w:color w:val="333333"/>
                <w:sz w:val="22"/>
              </w:rPr>
              <w:t>), chamada manualmente a cada iteração do loop — sem decorator, mas testável isoladamente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MinHash + LSH para deduplicação em escala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Implementação própria em classe utilitária (</w:t>
            </w:r>
            <w:r>
              <w:rPr>
                <w:rFonts w:ascii="Courier New" w:hAnsi="Courier New"/>
                <w:color w:val="333333"/>
                <w:sz w:val="20"/>
              </w:rPr>
              <w:t>MinHashLsh.java</w:t>
            </w:r>
            <w:r>
              <w:rPr>
                <w:rFonts w:ascii="Arial" w:hAnsi="Arial"/>
                <w:b w:val="0"/>
                <w:color w:val="333333"/>
                <w:sz w:val="22"/>
              </w:rPr>
              <w:t>), já que não há biblioteca madura no ecossistema Java/JS para essa combinação específica no contexto do curso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Implementação própria equivalente em </w:t>
            </w:r>
            <w:r>
              <w:rPr>
                <w:rFonts w:ascii="Courier New" w:hAnsi="Courier New"/>
                <w:color w:val="333333"/>
                <w:sz w:val="20"/>
              </w:rPr>
              <w:t>cleaning/minhashlsh.go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— mesma decisão de não trazer dependência externa, mesmo algoritmo (k=32, 8 bandas de 4)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Hash de dataset para versionamento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MessageDigest.getInstance("SHA-256")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da biblioteca padrão do Java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crypto/sha256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da stdlib — ambos produzem o mesmo hash para o mesmo arquivo, independente da linguagem, validando o princípio de que o hash depende do conteúdo, não do processo</w:t>
            </w:r>
          </w:p>
        </w:tc>
      </w:tr>
    </w:tbl>
    <w:p>
      <w:pPr>
        <w:spacing w:after="80"/>
      </w:pP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💡 Analogia arquitetural completa: pensar o pipeline de fine-tuning via API (converter → validar → upload → criar job → acompanhar) como um pipeline de deploy de infraestrutura ajuda a situar as duas linguagens. Em Java/Spring, cada etapa seria um </w:t>
      </w:r>
      <w:r>
        <w:rPr>
          <w:rFonts w:ascii="Courier New" w:hAnsi="Courier New"/>
          <w:color w:val="333333"/>
          <w:sz w:val="20"/>
        </w:rPr>
        <w:t>@Service</w:t>
      </w:r>
      <w:r>
        <w:rPr>
          <w:rFonts w:ascii="Arial" w:hAnsi="Arial"/>
          <w:b w:val="0"/>
          <w:color w:val="333333"/>
          <w:sz w:val="22"/>
        </w:rPr>
        <w:t xml:space="preserve"> especializado (</w:t>
      </w:r>
      <w:r>
        <w:rPr>
          <w:rFonts w:ascii="Courier New" w:hAnsi="Courier New"/>
          <w:color w:val="333333"/>
          <w:sz w:val="20"/>
        </w:rPr>
        <w:t>DatasetConverterService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HyperparameterValidator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VertexAiJobClient</w:t>
      </w:r>
      <w:r>
        <w:rPr>
          <w:rFonts w:ascii="Arial" w:hAnsi="Arial"/>
          <w:b w:val="0"/>
          <w:color w:val="333333"/>
          <w:sz w:val="22"/>
        </w:rPr>
        <w:t xml:space="preserve">) injetado num </w:t>
      </w:r>
      <w:r>
        <w:rPr>
          <w:rFonts w:ascii="Courier New" w:hAnsi="Courier New"/>
          <w:color w:val="333333"/>
          <w:sz w:val="20"/>
        </w:rPr>
        <w:t>FineTuningOrchestrator</w:t>
      </w:r>
      <w:r>
        <w:rPr>
          <w:rFonts w:ascii="Arial" w:hAnsi="Arial"/>
          <w:b w:val="0"/>
          <w:color w:val="333333"/>
          <w:sz w:val="22"/>
        </w:rPr>
        <w:t xml:space="preserve"> que encadeia as chamadas com </w:t>
      </w:r>
      <w:r>
        <w:rPr>
          <w:rFonts w:ascii="Courier New" w:hAnsi="Courier New"/>
          <w:color w:val="333333"/>
          <w:sz w:val="20"/>
        </w:rPr>
        <w:t>@Transactional</w:t>
      </w:r>
      <w:r>
        <w:rPr>
          <w:rFonts w:ascii="Arial" w:hAnsi="Arial"/>
          <w:b w:val="0"/>
          <w:color w:val="333333"/>
          <w:sz w:val="22"/>
        </w:rPr>
        <w:t xml:space="preserve">-like fail-fast (uma exceção interrompe a cadeia) — a confirmação explícita antes de criar o job seria um parâmetro de método ou um endpoint separado de "apply". Em Go, a mesma cadeia é uma função </w:t>
      </w:r>
      <w:r>
        <w:rPr>
          <w:rFonts w:ascii="Courier New" w:hAnsi="Courier New"/>
          <w:color w:val="333333"/>
          <w:sz w:val="20"/>
        </w:rPr>
        <w:t>RodarPipeline</w:t>
      </w:r>
      <w:r>
        <w:rPr>
          <w:rFonts w:ascii="Arial" w:hAnsi="Arial"/>
          <w:b w:val="0"/>
          <w:color w:val="333333"/>
          <w:sz w:val="22"/>
        </w:rPr>
        <w:t xml:space="preserve"> que recebe as dependências (cliente HTTP, função de espera) como parâmetro e as chama em sequência, retornando erro no primeiro passo que falhar — sem container de DI, mas com o mesmo princípio de que </w:t>
      </w:r>
      <w:r>
        <w:rPr>
          <w:rFonts w:ascii="Arial" w:hAnsi="Arial"/>
          <w:b/>
          <w:color w:val="333333"/>
          <w:sz w:val="22"/>
        </w:rPr>
        <w:t>nada que gere custo real roda sem confirmação explícita e nada é validado só pela ausência de erro da API</w:t>
      </w:r>
      <w:r>
        <w:rPr>
          <w:rFonts w:ascii="Arial" w:hAnsi="Arial"/>
          <w:b w:val="0"/>
          <w:color w:val="333333"/>
          <w:sz w:val="22"/>
        </w:rPr>
        <w:t>, que é o aprendizado central de toda a Unidade 3.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5. Escalabilidade e Produção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 xml:space="preserve">O gate de governança e a diligência de provedor (Unidade 1 e 3) não são checklists de compliance genéricos — são decisões arquiteturais que precisam ser </w:t>
      </w:r>
      <w:r>
        <w:rPr>
          <w:rFonts w:ascii="Arial" w:hAnsi="Arial"/>
          <w:b/>
          <w:color w:val="333333"/>
          <w:sz w:val="22"/>
        </w:rPr>
        <w:t>reavaliadas a cada mudança de infraestrutura</w:t>
      </w:r>
      <w:r>
        <w:rPr>
          <w:rFonts w:ascii="Arial" w:hAnsi="Arial"/>
          <w:b w:val="0"/>
          <w:color w:val="333333"/>
          <w:sz w:val="22"/>
        </w:rPr>
        <w:t>: trocar de provedor de fine-tuning reabre a mesma pergunta de base legal/DPA que foi resolvida para o provedor anterior, mesmo que o dado em si não tenha mudado.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A separação entre esquema canônico (independente de provedor) e formato específico de cada API é o que torna a migração de provedor barata: quando dois provedores relevantes descontinuaram self-service de fine-tuning durante a própria gravação da disciplina, só o conversor final precisou ser trocado, não o pipeline de qualidade inteiro.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Validação em duas camadas (antes da chamada de rede + comparação entre solicitado e aplicado depois) é o padrão correto para qualquer integração com API de terceiro que aceita silenciosamente um parâmetro inválido — "a API não reclamou" nunca deveria ser tratado como "a configuração está correta" em pipeline de produção.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O custo de retreinar deveria sempre separar estimativa de infraestrutura própria de cobrança real do serviço gerenciado (o exemplo mostra Vertex AI cobrando por token processado, não por hora de GPU) — confundir os dois modelos de cobrança leva a orçamento de fine-tuning mal calculado.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MinHash/LSH e balanceamento por temperatura, validados em dataset didático de dezenas de exemplos, escalaram sem mudança de algoritmo para 305 exemplos brutos (Unidade 3) — a mesma evidência formal (recall de deduplicação, entropia antes/depois) é o que dá confiança de que o pipeline generaliza para volume maior, em vez de depender de inspeção manual.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Versionamento por hash de conteúdo (SHA-256) é agnóstico de linguagem e de provedor — o mesmo princípio se aplica a um adaptador LoRA local (arquivo SafeTensor) tanto quanto a um dataset JSONL enviado a uma API gerenciada, o que o próprio material já antecipa como ponte para o módulo de treinamento local.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6. Conexões entre Módulos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Módulo relacionado</w:t>
            </w:r>
          </w:p>
        </w:tc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Conexão com este módulo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Módulo 02 da pós (APIs de IA Generativa e Prompt Engineering)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RAG (introduzido lá como técnica de recuperação) é aqui o contraponto conceitual central do fine-tuning — a mesma distinção "RAG resolve conhecimento, fine-tuning resolve comportamento" ancora toda a Unidade 1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Módulo 03 da pós (Model Context Protocol)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O princípio de "adaptador fino sobre integração externa, sem alterar a lógica de negócio" (Adapter Pattern do MCP) é o mesmo raciocínio por trás de manter o esquema canônico independente do formato de cada provedor de fine-tuning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Módulo 04 da pós (Criação de Agentes Autônomos)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Validação em duas camadas (antes da chamada + comparação pedido/aplicado), fail-fast e confirmação explícita antes de ação cara reproduzem exatamente os mesmos princípios de Circuit Breaker, rules.md e Approval Gate vistos lá, aqui aplicados à API de um provedor de treinamento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Módulo 08 da pós (Arquitetura de Sistemas com IA)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O framework de decisão em camadas (gate binário de governança → condições necessárias → ponderação → análise financeira) é uma instância concreta do mesmo raciocínio de Approval Gate e Audit Trail formalizado ali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Dentro do próprio Módulo 09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Cada unidade constrói sobre a anterior: decidir </w:t>
            </w:r>
            <w:r>
              <w:rPr>
                <w:rFonts w:ascii="Arial" w:hAnsi="Arial"/>
                <w:i/>
                <w:color w:val="333333"/>
                <w:sz w:val="22"/>
              </w:rPr>
              <w:t>se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vale a pena treinar com evidência financeira e de governança (01) → preparar o dado que sustenta essa decisão com o mesmo rigor mesmo quando a resposta foi "esperar" (02) → executar o treinamento gerenciado com validação, automação segura e versionamento (03) — e a Unidade 3 fecha citando explicitamente que o próximo módulo (LoRA/PEFT local, ainda sem PDF publicado no momento deste resumo) mantém o mesmo rigor de engenharia, só troca a infraestrutura de nuvem gerenciada por máquina local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Glossário do Módulo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Termo</w:t>
            </w:r>
          </w:p>
        </w:tc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Definição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Decision Framework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Framework de 4 perguntas + gate de governança que decide se fine-tuning vale a pena antes de qualquer preparação de dado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AHP (Analytic Hierarchy Process)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Técnica de derivar peso de critério a partir de matriz de comparação pareada, com razão de consistência para validar o julgamento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Real Options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Valoração econômica da opção de esperar para decidir depois, usada quando a reprovação é temporária (ex.: dado insuficiente)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Gate de relevância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Filtro de 4 perguntas aplicado a um documento antes de qualquer processamento, decidindo se ele merece virar exemplo de treino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Parser tolerante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Extrator de campo que aceita variação de rótulo (regex flexível) em vez de depender de posição/nome fixo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Esquema canônico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Formato intermediário (instrução/entrada/saída/metadata) independente de provedor, adaptado só no passo final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PII scrubbing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Remoção verificável de dado pessoal identificável (CPF por dígito verificador, nome por âncora de rótulo) antes do treino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MinHash / LSH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Assinatura aproximada de similaridade de texto / técnica que agrupa assinaturas em bandas para reduzir comparação em escala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Amostragem por temperatura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Balanceamento de fonte via peso = frequência^alfa, suavizando concentração sem inventar exemplo inexistente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Entropia de Shannon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Medida objetiva de diversidade de distribuição, convertida em "número efetivo de fontes"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Epoch count / Learning rate multiplier / Adapter size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Número de passagens pelo dataset / intensidade de ajuste por exemplo / capacidade da camada adaptativa treinada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Backoff exponencial com teto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Estratégia de polling que aumenta o intervalo entre consultas até um limite máximo, equilibrando responsividade e custo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Model Card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Ficha de documentação de um modelo treinado — linhagem, dataset+hash, hiperparâmetro aplicado, custo, resultado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Preference Tuning / DPO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Treinamento com pares de resposta preferida/rejeitada, alternativa ao Supervised Fine-Tuning para tarefa de qualidade subjetiva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