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Ferramentas de IA para DevOps — Explicação Detalhada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Camila Martins · Rafael Mattos Moreira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1: Fundamentos e Arquitetura de IA para Infraestrutura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Da Automação à Inteligência Agêntica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Por que a IA "entende" código de infraestrutura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 professora abre reforçando uma tese que atravessa o módulo inteiro: usar IA profissionalmente não elimina a necessidade de conhecimento técnico — pelo contrário, quanto mais experiência a pessoa tem, melhor ela aproveita as respostas do modelo. A explicação técnica de por que isso funciona bem em DevOps está na arquitetura Transformer. O mecanismo de </w:t>
      </w:r>
      <w:r>
        <w:rPr>
          <w:rFonts w:ascii="Arial" w:hAnsi="Arial"/>
          <w:b/>
          <w:color w:val="333333"/>
          <w:sz w:val="22"/>
        </w:rPr>
        <w:t>Self-Attention</w:t>
      </w:r>
      <w:r>
        <w:rPr>
          <w:rFonts w:ascii="Arial" w:hAnsi="Arial"/>
          <w:b w:val="0"/>
          <w:color w:val="333333"/>
          <w:sz w:val="22"/>
        </w:rPr>
        <w:t xml:space="preserve"> permite ao modelo relacionar partes distantes de um mesmo documento — o que é decisivo em arquivos HCL (Terraform) e YAML (Kubernetes), onde uma configuração definida no topo do arquivo frequentemente influencia um comportamento declarado muitas linhas depois. A </w:t>
      </w:r>
      <w:r>
        <w:rPr>
          <w:rFonts w:ascii="Arial" w:hAnsi="Arial"/>
          <w:b/>
          <w:color w:val="333333"/>
          <w:sz w:val="22"/>
        </w:rPr>
        <w:t>tokenização</w:t>
      </w:r>
      <w:r>
        <w:rPr>
          <w:rFonts w:ascii="Arial" w:hAnsi="Arial"/>
          <w:b w:val="0"/>
          <w:color w:val="333333"/>
          <w:sz w:val="22"/>
        </w:rPr>
        <w:t>, por sua vez, explica por que o modelo reconhece blocos lógicos e padrões estruturais de código, não apenas palavras — ele foi exposto a milhares de projetos reais durante o treinamento.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A IA não é uma salvadora nem substitui conhecimento técnico. Ela apresenta hipóteses plausíveis, mas incorretas com frequência — a validação final continua sendo humana.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Prompt Engineering como habilidade central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Quanto mais detalhado o prompt, mais precisa a resposta — esse princípio é repetido dezenas de vezes ao longo do curso e vale a pena tratá-lo como a "regra de ouro" do módulo inteiro. A aula também comenta o panorama de modelos (Gemini, ChatGPT, Claude, Grok) e observa um detalhe curioso: respostas do ChatGPT costumam ter uma "cara de IA" reconhecível — estrutura repetitiva que reduz naturalidade — reforçando a necessidade de revisão humana mesmo em texto gerado, não só em código.</w:t>
      </w:r>
    </w:p>
    <w:p>
      <w:pPr>
        <w:pStyle w:val="Heading4"/>
        <w:spacing w:before="200" w:after="80"/>
      </w:pPr>
      <w:r>
        <w:rPr>
          <w:rFonts w:ascii="Arial" w:hAnsi="Arial"/>
          <w:b/>
          <w:color w:val="1F4D78"/>
          <w:sz w:val="22"/>
        </w:rPr>
        <w:t>CrewAI e o motivo da escolha por Python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Para o laboratório, a escolha de Python (em vez de Go, dominante em ferramentas DevOps como Docker/Kubernetes/Terraform) se justifica pela proximidade natural com Ciência de Dados e IA, e pela riqueza de bibliotecas para scripts de automação. A ferramenta central é o </w:t>
      </w:r>
      <w:r>
        <w:rPr>
          <w:rFonts w:ascii="Arial" w:hAnsi="Arial"/>
          <w:b/>
          <w:color w:val="333333"/>
          <w:sz w:val="22"/>
        </w:rPr>
        <w:t>CrewAI</w:t>
      </w:r>
      <w:r>
        <w:rPr>
          <w:rFonts w:ascii="Arial" w:hAnsi="Arial"/>
          <w:b w:val="0"/>
          <w:color w:val="333333"/>
          <w:sz w:val="22"/>
        </w:rPr>
        <w:t>, que permite criar "equipes" de agentes especializados em vez de um único agente genérico — a analogia usada é a de uma empresa real, onde arquitetura, segurança, confiabilidade e auditoria são responsabilidades de pessoas diferentes. O CrewAI suporta fluxos sequenciais (uma etapa só libera a próxima após sucesso) e hierárquicos (um agente coordena os demais) — este último reaparece no módulo 12 como padrão "manager".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RAG e Prompts Avançados para Infraestrutura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 prompt vago ("crie uma infraestrutura Kubernetes") obriga o modelo a assumir hipóteses — provedor de nuvem, zonas de disponibilidade, padrões internos — e cada hipótese aumenta o risco de divergir do que a organização realmente precisa. A solução prática apresentada é dupla: (1) detalhar exaustivamente o prompt e (2) usar </w:t>
      </w:r>
      <w:r>
        <w:rPr>
          <w:rFonts w:ascii="Arial" w:hAnsi="Arial"/>
          <w:b/>
          <w:color w:val="333333"/>
          <w:sz w:val="22"/>
        </w:rPr>
        <w:t>RAG</w:t>
      </w:r>
      <w:r>
        <w:rPr>
          <w:rFonts w:ascii="Arial" w:hAnsi="Arial"/>
          <w:b w:val="0"/>
          <w:color w:val="333333"/>
          <w:sz w:val="22"/>
        </w:rPr>
        <w:t xml:space="preserve"> para injetar padrões corporativos que não estão no conhecimento público do modelo (convenções de nomenclatura, região obrigatória, regras de privacidade). A analogia usada é a de uma lupa: o RAG não substitui o conhecimento geral da LLM, ele direciona a busca para um conjunto específico de informações.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Primeiro Agente — Arquiteto de Infraestrutura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Na implementação prática, o primeiro componente do projeto </w:t>
      </w:r>
      <w:r>
        <w:rPr>
          <w:rFonts w:ascii="Arial" w:hAnsi="Arial"/>
          <w:b/>
          <w:color w:val="333333"/>
          <w:sz w:val="22"/>
        </w:rPr>
        <w:t>Nexus Foundation</w:t>
      </w:r>
      <w:r>
        <w:rPr>
          <w:rFonts w:ascii="Arial" w:hAnsi="Arial"/>
          <w:b w:val="0"/>
          <w:color w:val="333333"/>
          <w:sz w:val="22"/>
        </w:rPr>
        <w:t xml:space="preserve"> é conectado a uma LLM (Grok, escolhido por acessibilidade de custo para fins didáticos, não superioridade técnica) via API Key armazenada em variável de ambiente — mesmo padrão usado para integrar qualquer serviço externo em DevOps. O agente recebe o papel de "arquiteto de infraestrutura" e, antes de responder à tarefa (projetar um bucket de logs), consulta o RAG contendo regras internas: nomenclatura, região obrigatória, exigência de bucket privado. O resultado final já nasce aderente aos padrões da organização — nome padronizado, região correta, acesso privado, versionamento habilitado — sem que nenhuma dessas regras precisasse ser repetida manualmente no prompt de cada tarefa.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4: Planejamento vs. Execução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Ponto importante reforçado no fechamento do módulo: o agente construído até aqui </w:t>
      </w:r>
      <w:r>
        <w:rPr>
          <w:rFonts w:ascii="Arial" w:hAnsi="Arial"/>
          <w:b/>
          <w:color w:val="333333"/>
          <w:sz w:val="22"/>
        </w:rPr>
        <w:t>não cria infraestrutura real</w:t>
      </w:r>
      <w:r>
        <w:rPr>
          <w:rFonts w:ascii="Arial" w:hAnsi="Arial"/>
          <w:b w:val="0"/>
          <w:color w:val="333333"/>
          <w:sz w:val="22"/>
        </w:rPr>
        <w:t xml:space="preserve"> — ele projeta. Essa separação entre planejamento e execução reflete a maturidade de ambientes corporativos, onde mudanças raramente são aplicadas sem passar por validação. O bucket de logs gerado inclui versionamento habilitado (histórico de alterações recuperável) e retenção de logs — decisões que não foram pedidas explicitamente, mas emergiram da combinação entre conhecimento geral da LLM e as regras do RAG, evidenciando como a arquitetura reduz a dependência de conhecimento concentrado em poucas pessoas da equipe.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2: IaC Copilot (Terraform e Cloud)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Terraform, Providers e a Ponte de Tradução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Antes de entrar nos agentes, a aula situa o Terraform no ecossistema: ele converte código declarativo em chamadas reais de API através de </w:t>
      </w:r>
      <w:r>
        <w:rPr>
          <w:rFonts w:ascii="Arial" w:hAnsi="Arial"/>
          <w:i/>
          <w:color w:val="333333"/>
          <w:sz w:val="22"/>
        </w:rPr>
        <w:t>providers</w:t>
      </w:r>
      <w:r>
        <w:rPr>
          <w:rFonts w:ascii="Arial" w:hAnsi="Arial"/>
          <w:b w:val="0"/>
          <w:color w:val="333333"/>
          <w:sz w:val="22"/>
        </w:rPr>
        <w:t xml:space="preserve"> (conectores para AWS, GCP, Azure, e até ambientes bare metal). A comparação com Pulumi (infraestrutura descrita em linguagens de programação tradicionais) e Ansible (mais focado em configuração do que provisionamento) ajuda a situar o Terraform como "o engenheiro que constrói a estrutura", com o Ansible entrando depois como "quem faz o acabamento".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papel do agente aqui é de </w:t>
      </w:r>
      <w:r>
        <w:rPr>
          <w:rFonts w:ascii="Arial" w:hAnsi="Arial"/>
          <w:b/>
          <w:color w:val="333333"/>
          <w:sz w:val="22"/>
        </w:rPr>
        <w:t>tradução semântica</w:t>
      </w:r>
      <w:r>
        <w:rPr>
          <w:rFonts w:ascii="Arial" w:hAnsi="Arial"/>
          <w:b w:val="0"/>
          <w:color w:val="333333"/>
          <w:sz w:val="22"/>
        </w:rPr>
        <w:t xml:space="preserve">: o usuário descreve a necessidade em linguagem natural, e o agente converte isso em Terraform aderente às políticas já carregadas via RAG. A arquitetura usa dois agentes: o </w:t>
      </w:r>
      <w:r>
        <w:rPr>
          <w:rFonts w:ascii="Arial" w:hAnsi="Arial"/>
          <w:b/>
          <w:color w:val="333333"/>
          <w:sz w:val="22"/>
        </w:rPr>
        <w:t>arquiteto</w:t>
      </w:r>
      <w:r>
        <w:rPr>
          <w:rFonts w:ascii="Arial" w:hAnsi="Arial"/>
          <w:b w:val="0"/>
          <w:color w:val="333333"/>
          <w:sz w:val="22"/>
        </w:rPr>
        <w:t xml:space="preserve"> (gera o código com uma Writer Tool, responsável por transformar texto em arquivo real no sistema — distinção importante, pois uma LLM gera texto, mas não manipula arquivos sozinha) e o </w:t>
      </w:r>
      <w:r>
        <w:rPr>
          <w:rFonts w:ascii="Arial" w:hAnsi="Arial"/>
          <w:b/>
          <w:color w:val="333333"/>
          <w:sz w:val="22"/>
        </w:rPr>
        <w:t>auditor</w:t>
      </w:r>
      <w:r>
        <w:rPr>
          <w:rFonts w:ascii="Arial" w:hAnsi="Arial"/>
          <w:b w:val="0"/>
          <w:color w:val="333333"/>
          <w:sz w:val="22"/>
        </w:rPr>
        <w:t xml:space="preserve"> (engenheiro DevSecOps, roda </w:t>
      </w:r>
      <w:r>
        <w:rPr>
          <w:rFonts w:ascii="Arial" w:hAnsi="Arial"/>
          <w:b/>
          <w:color w:val="333333"/>
          <w:sz w:val="22"/>
        </w:rPr>
        <w:t>Checkov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Checkov analisa estaticamente antes do provisionamento: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- criptografia em repouso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- bloqueio de acesso público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# - versionamento de recursos críticos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O feedback loop entre arquiteto e auditor é o início do self-healing: se o Checkov reprova, a informação volta para o arquiteto corrigir — não é uma falha isolada, é um ciclo de melhoria.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Open Policy Agent — Governança Além da Segurança Técnica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Checkov identifica vulnerabilidades e más práticas conhecidas pelo mercado. Mas existe uma categoria de regra que nenhum scanner genérico conhece: as regras específicas daquela organização — soberania de dados (região obrigatória por exigência regulatória ou estratégica), limites de custo por tipo de instância, restrição de famílias de recursos. É exatamente esse espaço que o </w:t>
      </w:r>
      <w:r>
        <w:rPr>
          <w:rFonts w:ascii="Arial" w:hAnsi="Arial"/>
          <w:b/>
          <w:color w:val="333333"/>
          <w:sz w:val="22"/>
        </w:rPr>
        <w:t>Open Policy Agent (OPA)</w:t>
      </w:r>
      <w:r>
        <w:rPr>
          <w:rFonts w:ascii="Arial" w:hAnsi="Arial"/>
          <w:b w:val="0"/>
          <w:color w:val="333333"/>
          <w:sz w:val="22"/>
        </w:rPr>
        <w:t xml:space="preserve"> ocupa, popularizado originalmente em ambientes Kubernetes mas hoje usado amplamente para qualquer validação de política antes de uma ação.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exemplo central do capítulo: um recurso tecnicamente correto (sem vulnerabilidade) é reprovado porque foi criado em região diferente da definida pela política de soberania de dados da organização. Essa distinção — </w:t>
      </w:r>
      <w:r>
        <w:rPr>
          <w:rFonts w:ascii="Arial" w:hAnsi="Arial"/>
          <w:b/>
          <w:color w:val="333333"/>
          <w:sz w:val="22"/>
        </w:rPr>
        <w:t>conformidade técnica não é o mesmo que conformidade organizacional</w:t>
      </w:r>
      <w:r>
        <w:rPr>
          <w:rFonts w:ascii="Arial" w:hAnsi="Arial"/>
          <w:b w:val="0"/>
          <w:color w:val="333333"/>
          <w:sz w:val="22"/>
        </w:rPr>
        <w:t xml:space="preserve"> — é repetida como um dos pontos mais importantes do capítulo.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Outro conceito central é </w:t>
      </w:r>
      <w:r>
        <w:rPr>
          <w:rFonts w:ascii="Arial" w:hAnsi="Arial"/>
          <w:b/>
          <w:color w:val="333333"/>
          <w:sz w:val="22"/>
        </w:rPr>
        <w:t>Drift Detection</w:t>
      </w:r>
      <w:r>
        <w:rPr>
          <w:rFonts w:ascii="Arial" w:hAnsi="Arial"/>
          <w:b w:val="0"/>
          <w:color w:val="333333"/>
          <w:sz w:val="22"/>
        </w:rPr>
        <w:t>: divergência entre o estado real do ambiente e o que está descrito no código, geralmente causada por alterações manuais feitas diretamente no console da nuvem. A IA pode comparar o estado real com o Terraform e sinalizar a inconsistência. O gerenciamento de estado do Terraform (diferente de ferramentas puramente operacionais) é o que viabiliza rollback controlado quando uma alteração incorreta é aplicada.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Pipeline Completo — Bucket S3 Seguro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Execução ponta a ponta: o arquiteto recebe a tarefa de criar um bucket S3 seguro, grava o arquivo via Writer Tool, e o auditor roda Checkov + OPA em sequência. No exemplo demonstrado, a violação de região (soberania de dados) é detectada, o relatório explica exatamente qual regra foi descumprida, e a correção é aplicada na configuração do agente arquiteto — resolvendo a causa, não apenas a execução pontual. Esse padrão ("corrigir a origem, não o sintoma") é chamado de fundamento sustentável da automação: sem ele, os agentes nunca se tornam mais alinhados aos objetivos da organização ao longo do tempo.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3: Agentes para Kubernetes (K8s AI-Ops)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Da Geração de YAML ao Raciocínio sobre Infraestrutura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aula abre com uma brincadeira conhecida da comunidade DevOps: boa parte da carreira é passada como "YAML Engineer", já que Docker Compose, Kubernetes, pipelines de CI e ferramentas de observabilidade dependem massivamente desse formato. A vantagem da IA aqui não é só gerar sintaxe — é inferir quais recursos normalmente acompanham um requisito (se peço um Nginx, o modelo já sabe que provavelmente preciso de Deployment, imagem, portas e Service).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Dois conceitos operacionais centrais são apresentados: </w:t>
      </w:r>
      <w:r>
        <w:rPr>
          <w:rFonts w:ascii="Arial" w:hAnsi="Arial"/>
          <w:b/>
          <w:color w:val="333333"/>
          <w:sz w:val="22"/>
        </w:rPr>
        <w:t>Readiness Probes</w:t>
      </w:r>
      <w:r>
        <w:rPr>
          <w:rFonts w:ascii="Arial" w:hAnsi="Arial"/>
          <w:b w:val="0"/>
          <w:color w:val="333333"/>
          <w:sz w:val="22"/>
        </w:rPr>
        <w:t xml:space="preserve"> (evitam que o Kubernetes direcione tráfego para um pod que ainda não terminou de inicializar) e </w:t>
      </w:r>
      <w:r>
        <w:rPr>
          <w:rFonts w:ascii="Arial" w:hAnsi="Arial"/>
          <w:b/>
          <w:color w:val="333333"/>
          <w:sz w:val="22"/>
        </w:rPr>
        <w:t>Canary Deployment</w:t>
      </w:r>
      <w:r>
        <w:rPr>
          <w:rFonts w:ascii="Arial" w:hAnsi="Arial"/>
          <w:b w:val="0"/>
          <w:color w:val="333333"/>
          <w:sz w:val="22"/>
        </w:rPr>
        <w:t xml:space="preserve"> — cuja origem do nome vem dos canários usados em minas para detectar gases tóxicos antes que afetassem os trabalhadores; aplicado a software, a nova versão é exposta a uma fração pequena do tráfego primeiro, permitindo detectar problemas antes que afetem toda a base de usuários.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laboratório usa dois agentes: o </w:t>
      </w:r>
      <w:r>
        <w:rPr>
          <w:rFonts w:ascii="Arial" w:hAnsi="Arial"/>
          <w:b/>
          <w:color w:val="333333"/>
          <w:sz w:val="22"/>
        </w:rPr>
        <w:t>arquiteto</w:t>
      </w:r>
      <w:r>
        <w:rPr>
          <w:rFonts w:ascii="Arial" w:hAnsi="Arial"/>
          <w:b w:val="0"/>
          <w:color w:val="333333"/>
          <w:sz w:val="22"/>
        </w:rPr>
        <w:t xml:space="preserve"> (agora gerando manifestos K8s em vez de Terraform, usando uma ferramenta especializada que substitui a Writer Tool anterior) e o </w:t>
      </w:r>
      <w:r>
        <w:rPr>
          <w:rFonts w:ascii="Arial" w:hAnsi="Arial"/>
          <w:b/>
          <w:color w:val="333333"/>
          <w:sz w:val="22"/>
        </w:rPr>
        <w:t>SRE</w:t>
      </w:r>
      <w:r>
        <w:rPr>
          <w:rFonts w:ascii="Arial" w:hAnsi="Arial"/>
          <w:b w:val="0"/>
          <w:color w:val="333333"/>
          <w:sz w:val="22"/>
        </w:rPr>
        <w:t xml:space="preserve"> (aplica o manifesto e analisa métricas pós-deploy). Restrições explícitas no prompt evitam que a IA "invente" imagens de container inexistentes — usar apenas imagens públicas válidas é obrigatório.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Reconciliação e o Canary Analyzer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agente de SRE assume a </w:t>
      </w:r>
      <w:r>
        <w:rPr>
          <w:rFonts w:ascii="Arial" w:hAnsi="Arial"/>
          <w:b/>
          <w:color w:val="333333"/>
          <w:sz w:val="22"/>
        </w:rPr>
        <w:t>reconciliação</w:t>
      </w:r>
      <w:r>
        <w:rPr>
          <w:rFonts w:ascii="Arial" w:hAnsi="Arial"/>
          <w:b w:val="0"/>
          <w:color w:val="333333"/>
          <w:sz w:val="22"/>
        </w:rPr>
        <w:t xml:space="preserve"> com o cluster — comparar o que deveria existir (manifesto) com o que existe de fato e aplicar a diferença. Um detalhe técnico importante: se o cluster não estiver disponível, a ferramenta consegue operar em modo simulação, permitindo validar manifestos mesmo sem ambiente ativo — útil em fases iniciais de desenvolvimento.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Canary Analyzer</w:t>
      </w:r>
      <w:r>
        <w:rPr>
          <w:rFonts w:ascii="Arial" w:hAnsi="Arial"/>
          <w:b w:val="0"/>
          <w:color w:val="333333"/>
          <w:sz w:val="22"/>
        </w:rPr>
        <w:t xml:space="preserve"> observa taxa de erros e latência para decidir se o rollout deve prosseguir. Como o laboratório roda em ambiente local sem tráfego real, as métricas naturalmente permanecem estáveis e o rollout é aprovado — mas o comportamento reproduz exatamente a lógica que orientaria decisões reais de continuar ou reverter um deploy em produção.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Validação de Substituição de Variáveis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capítulo final do módulo demonstra uma modificação simples no prompt (novo identificador de aplicação) para verificar se o agente propaga corretamente essa informação por todo o manifesto — deployment, serviços, labels. Um experimento interessante tentou induzir o agente a gerar configuração inválida deliberadamente; ele continuou produzindo manifestos válidos, evidenciando que </w:t>
      </w:r>
      <w:r>
        <w:rPr>
          <w:rFonts w:ascii="Arial" w:hAnsi="Arial"/>
          <w:b/>
          <w:color w:val="333333"/>
          <w:sz w:val="22"/>
        </w:rPr>
        <w:t>restrições explícitas bem definidas</w:t>
      </w:r>
      <w:r>
        <w:rPr>
          <w:rFonts w:ascii="Arial" w:hAnsi="Arial"/>
          <w:b w:val="0"/>
          <w:color w:val="333333"/>
          <w:sz w:val="22"/>
        </w:rPr>
        <w:t xml:space="preserve"> funcionam mesmo sob tentativa de manipulação — mas isso não significa infalibilidade, apenas que boas práticas de prompt engineering reduzem substancialmente a superfície de erro.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4: Troubleshooting e Diagnóstico com ReAct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MTTR e o Framework ReAct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MTTR (Mean Time To Recovery/Repair) é o tempo entre a ocorrência de um incidente e a restauração do serviço — e reduzi-lo é prioridade central de qualquer equipe de SRE moderna. O framework central deste módulo é o </w:t>
      </w:r>
      <w:r>
        <w:rPr>
          <w:rFonts w:ascii="Arial" w:hAnsi="Arial"/>
          <w:b/>
          <w:color w:val="333333"/>
          <w:sz w:val="22"/>
        </w:rPr>
        <w:t>ReAct</w:t>
      </w:r>
      <w:r>
        <w:rPr>
          <w:rFonts w:ascii="Arial" w:hAnsi="Arial"/>
          <w:b w:val="0"/>
          <w:color w:val="333333"/>
          <w:sz w:val="22"/>
        </w:rPr>
        <w:t xml:space="preserve"> (Reasoning + Acting — atenção, nada a ver com o React de front-end), que estrutura o raciocínio do agente em ciclos: pensar → agir → observar → repetir, em vez de tentar produzir a resposta final de uma vez.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O ReAct reproduz como um profissional experiente investiga: raramente alguém encontra a causa raiz olhando só uma mensagem de erro isolada. Existe uma sequência — sintomas, métricas, logs, dependências — até chegar à conclusão.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Dois erros clássicos de Kubernetes ganham destaque: </w:t>
      </w:r>
      <w:r>
        <w:rPr>
          <w:rFonts w:ascii="Arial" w:hAnsi="Arial"/>
          <w:b/>
          <w:color w:val="333333"/>
          <w:sz w:val="22"/>
        </w:rPr>
        <w:t>CrashLoopBackOff</w:t>
      </w:r>
      <w:r>
        <w:rPr>
          <w:rFonts w:ascii="Arial" w:hAnsi="Arial"/>
          <w:b w:val="0"/>
          <w:color w:val="333333"/>
          <w:sz w:val="22"/>
        </w:rPr>
        <w:t xml:space="preserve"> (container inicia e falha repetidamente — causas comuns incluem variável de ambiente incorreta, falha de conexão com banco, ou health check mal configurado) e </w:t>
      </w:r>
      <w:r>
        <w:rPr>
          <w:rFonts w:ascii="Arial" w:hAnsi="Arial"/>
          <w:b/>
          <w:color w:val="333333"/>
          <w:sz w:val="22"/>
        </w:rPr>
        <w:t>OOMKilled</w:t>
      </w:r>
      <w:r>
        <w:rPr>
          <w:rFonts w:ascii="Arial" w:hAnsi="Arial"/>
          <w:b w:val="0"/>
          <w:color w:val="333333"/>
          <w:sz w:val="22"/>
        </w:rPr>
        <w:t xml:space="preserve"> (processo excede o limite de memória do container e é encerrado pelo sistema operacional — não é exclusivo de aplicações Java, qualquer linguagem pode sofrer com limites mal dimensionados).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agente novo introduzido é focado em </w:t>
      </w:r>
      <w:r>
        <w:rPr>
          <w:rFonts w:ascii="Arial" w:hAnsi="Arial"/>
          <w:b/>
          <w:color w:val="333333"/>
          <w:sz w:val="22"/>
        </w:rPr>
        <w:t>confiabilidade e disponibilidade</w:t>
      </w:r>
      <w:r>
        <w:rPr>
          <w:rFonts w:ascii="Arial" w:hAnsi="Arial"/>
          <w:b w:val="0"/>
          <w:color w:val="333333"/>
          <w:sz w:val="22"/>
        </w:rPr>
        <w:t>, complementando o arquiteto já existente — ele não cria infraestrutura, ele interpreta evidências e apoia recuperação de falhas.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Prometheus, PromQL e Jaeger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Prometheus</w:t>
      </w:r>
      <w:r>
        <w:rPr>
          <w:rFonts w:ascii="Arial" w:hAnsi="Arial"/>
          <w:b w:val="0"/>
          <w:color w:val="333333"/>
          <w:sz w:val="22"/>
        </w:rPr>
        <w:t xml:space="preserve"> coleta métricas via </w:t>
      </w:r>
      <w:r>
        <w:rPr>
          <w:rFonts w:ascii="Arial" w:hAnsi="Arial"/>
          <w:i/>
          <w:color w:val="333333"/>
          <w:sz w:val="22"/>
        </w:rPr>
        <w:t>scraping</w:t>
      </w:r>
      <w:r>
        <w:rPr>
          <w:rFonts w:ascii="Arial" w:hAnsi="Arial"/>
          <w:b w:val="0"/>
          <w:color w:val="333333"/>
          <w:sz w:val="22"/>
        </w:rPr>
        <w:t xml:space="preserve"> (consulta periódica em vez de espera passiva por dados enviados). Sua linguagem de consulta é o </w:t>
      </w:r>
      <w:r>
        <w:rPr>
          <w:rFonts w:ascii="Arial" w:hAnsi="Arial"/>
          <w:b/>
          <w:color w:val="333333"/>
          <w:sz w:val="22"/>
        </w:rPr>
        <w:t>PromQL</w:t>
      </w:r>
      <w:r>
        <w:rPr>
          <w:rFonts w:ascii="Arial" w:hAnsi="Arial"/>
          <w:b w:val="0"/>
          <w:color w:val="333333"/>
          <w:sz w:val="22"/>
        </w:rPr>
        <w:t xml:space="preserve"> — assim como o Terraform usa HCL e o Kubernetes usa YAML, o Prometheus tem sua própria sintaxe especializada. Duas métricas ganham papel central: taxa de erro (respostas 5xx sinalizam problema interno ou falha em dependência) e latência (aumento sugere gargalo de infraestrutura ou saturação de recursos).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Jaeger</w:t>
      </w:r>
      <w:r>
        <w:rPr>
          <w:rFonts w:ascii="Arial" w:hAnsi="Arial"/>
          <w:b w:val="0"/>
          <w:color w:val="333333"/>
          <w:sz w:val="22"/>
        </w:rPr>
        <w:t xml:space="preserve"> complementa com tracing distribuído — mostra o caminho de uma requisição por múltiplos serviços, algo que logs isolados dificilmente revelam em arquiteturas de microsserviços. No exemplo, o tracing identifica que boa parte do tempo de resposta está concentrada numa chamada específica ao PostgreSQL, apontando exatamente onde investigar em vez de espalhar esforço por todos os componentes.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inspeção de pods complementa métricas e traces, revelando eventos, estados internos e mensagens — inclusive um terceiro cenário além dos dois clássicos: logs aparentemente normais, sem CrashLoopBackOff nem OOMKilled, mas com a aplicação ainda indisponível. Nesses casos, o problema costuma estar nos Readiness Probes.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Correção do Checkout Broken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Cenário demonstrado com uma aplicação propositalmente quebrada (</w:t>
      </w:r>
      <w:r>
        <w:rPr>
          <w:rFonts w:ascii="Courier New" w:hAnsi="Courier New"/>
          <w:color w:val="333333"/>
          <w:sz w:val="20"/>
        </w:rPr>
        <w:t>Checkout Broken</w:t>
      </w:r>
      <w:r>
        <w:rPr>
          <w:rFonts w:ascii="Arial" w:hAnsi="Arial"/>
          <w:b w:val="0"/>
          <w:color w:val="333333"/>
          <w:sz w:val="22"/>
        </w:rPr>
        <w:t>), com dois problemas simultâneos: memória insuficiente (o pod nem chega a ser criado corretamente — evidência de que nem todo erro de memória se manifesta como OOMKilled) e health checks disparando cedo demais para uma aplicação que ainda está estabelecendo conexões externas. O agente consulta os eventos do Kubernetes (linha do tempo detalhada desde o download da imagem até as tentativas de inicialização) e produz um manifesto corrigido ajustando limites de memória e o atraso inicial dos probes (</w:t>
      </w:r>
      <w:r>
        <w:rPr>
          <w:rFonts w:ascii="Courier New" w:hAnsi="Courier New"/>
          <w:color w:val="333333"/>
          <w:sz w:val="20"/>
        </w:rPr>
        <w:t>initialDelaySeconds</w:t>
      </w:r>
      <w:r>
        <w:rPr>
          <w:rFonts w:ascii="Arial" w:hAnsi="Arial"/>
          <w:b w:val="0"/>
          <w:color w:val="333333"/>
          <w:sz w:val="22"/>
        </w:rPr>
        <w:t>). Após reaplicar, o pod atinge estado saudável — validando que a recomendação realmente resolveu o problema, não apenas parece plausível.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Resultado:</w:t>
      </w:r>
      <w:r>
        <w:rPr>
          <w:rFonts w:ascii="Arial" w:hAnsi="Arial"/>
          <w:b w:val="0"/>
          <w:color w:val="333333"/>
          <w:sz w:val="22"/>
        </w:rPr>
        <w:t xml:space="preserve"> o valor da Inteligência Agêntica em troubleshooting não está apenas em identificar problemas — está em transformar observabilidade em ação prática, reduzindo o tempo entre "algo está errado" e "corrigido e validado".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5: AIOps e Observabilidade Preditiva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De Reativo para Preditivo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desloca o foco de "reagir a incidentes" para "antecipar comportamentos". O conceito central é </w:t>
      </w:r>
      <w:r>
        <w:rPr>
          <w:rFonts w:ascii="Arial" w:hAnsi="Arial"/>
          <w:b/>
          <w:color w:val="333333"/>
          <w:sz w:val="22"/>
        </w:rPr>
        <w:t>NL2Q (Natural Language to Query)</w:t>
      </w:r>
      <w:r>
        <w:rPr>
          <w:rFonts w:ascii="Arial" w:hAnsi="Arial"/>
          <w:b w:val="0"/>
          <w:color w:val="333333"/>
          <w:sz w:val="22"/>
        </w:rPr>
        <w:t>: em vez de dominar PromQL ou LogQL, o profissional descreve o que quer observar em linguagem natural e o agente traduz. Isso democratiza o acesso à observabilidade — nem todo desenvolvedor domina a sintaxe de consulta, mas praticamente qualquer um consegue descrever o que precisa monitorar.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segundo problema atacado é o </w:t>
      </w:r>
      <w:r>
        <w:rPr>
          <w:rFonts w:ascii="Arial" w:hAnsi="Arial"/>
          <w:b/>
          <w:color w:val="333333"/>
          <w:sz w:val="22"/>
        </w:rPr>
        <w:t>alerta estático</w:t>
      </w:r>
      <w:r>
        <w:rPr>
          <w:rFonts w:ascii="Arial" w:hAnsi="Arial"/>
          <w:b w:val="0"/>
          <w:color w:val="333333"/>
          <w:sz w:val="22"/>
        </w:rPr>
        <w:t xml:space="preserve">: limites fixos que não consideram sazonalidade legítima (Black Friday gera aumento normal de CPU, não deveria disparar o mesmo alerta que um problema real) — gerando </w:t>
      </w:r>
      <w:r>
        <w:rPr>
          <w:rFonts w:ascii="Arial" w:hAnsi="Arial"/>
          <w:b/>
          <w:color w:val="333333"/>
          <w:sz w:val="22"/>
        </w:rPr>
        <w:t>fadiga de alertas</w:t>
      </w:r>
      <w:r>
        <w:rPr>
          <w:rFonts w:ascii="Arial" w:hAnsi="Arial"/>
          <w:b w:val="0"/>
          <w:color w:val="333333"/>
          <w:sz w:val="22"/>
        </w:rPr>
        <w:t xml:space="preserve">, o fenômeno onde equipes passam a ignorar notificações por excesso de ruído, inclusive as importantes. A solução envolve séries temporais, sazonalidade e algoritmos como </w:t>
      </w:r>
      <w:r>
        <w:rPr>
          <w:rFonts w:ascii="Arial" w:hAnsi="Arial"/>
          <w:b/>
          <w:color w:val="333333"/>
          <w:sz w:val="22"/>
        </w:rPr>
        <w:t>Isolation Forest</w:t>
      </w:r>
      <w:r>
        <w:rPr>
          <w:rFonts w:ascii="Arial" w:hAnsi="Arial"/>
          <w:b w:val="0"/>
          <w:color w:val="333333"/>
          <w:sz w:val="22"/>
        </w:rPr>
        <w:t xml:space="preserve"> (detecção de anomalia) — sempre com o cuidado de que anomalia não é sinônimo automático de problema; requer interpretação de contexto.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Pipeline de Disco — Da Consulta ao Dashboard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Implementação com três responsabilidades encadeadas: tradução NL2Q ("existe suspeita de lentidão de banco associada ao crescimento de disco" → consulta PromQL de espaço livre), análise preditiva (85% de uso atual, crescimento de ~2 GB/hora → estimativa de esgotamento em ~4 horas, com sugestões de mitigação como limpeza ou expansão) e geração automática de um JSON de dashboard compatível com Grafana, incluindo painel de disco e taxa de erro para correlacionar infraestrutura com impacto ao usuário.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agente de AIOps carrega no seu perfil conhecimento de séries temporais, PromQL e algoritmos como Prophet e Isolation Forest — o mesmo padrão de "definir o papel para direcionar o raciocínio" usado em todos os módulos anteriores.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Visualização no Grafana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JSON gerado é importado diretamente no Grafana (que suporta essa importação nativamente), sem necessidade de configurar painéis manualmente — o que tradicionalmente consome tempo valioso justamente no momento em que ele é mais escasso: durante um incidente. Ainda que os dados usados no laboratório sejam simulados, o comportamento reproduz fielmente o que aconteceria com fontes reais de dados (CloudWatch, Prometheus em produção).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🎯 A mudança de paradigma não está na tecnologia usada, mas na filosofia: em vez de esperar o alerta acontecer para então investigar, o sistema passa a indicar o que provavelmente acontecerá e o que fazer a respeito antes que aconteça.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6: ChatOps e Governança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Da Linha de Comando à Conversa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ChatOps vai além de "usar Slack ou Teams" — é a transformação de canais de comunicação em interfaces operacionais para infraestrutura. A motivação central é reduzir a barreira técnica: em vez de exigir que todo profissional conheça comandos de Terraform/AWS/Kubernetes, a solicitação passa a ser feita em linguagem natural.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Essa facilidade levanta imediatamente uma questão de segurança, e é aqui que entram os pilares de governança do capítulo: </w:t>
      </w:r>
      <w:r>
        <w:rPr>
          <w:rFonts w:ascii="Arial" w:hAnsi="Arial"/>
          <w:b/>
          <w:color w:val="333333"/>
          <w:sz w:val="22"/>
        </w:rPr>
        <w:t>RBAC</w:t>
      </w:r>
      <w:r>
        <w:rPr>
          <w:rFonts w:ascii="Arial" w:hAnsi="Arial"/>
          <w:b w:val="0"/>
          <w:color w:val="333333"/>
          <w:sz w:val="22"/>
        </w:rPr>
        <w:t xml:space="preserve"> (Role-Based Access Control — limites claros de quem pode fazer o quê) e o caso real do </w:t>
      </w:r>
      <w:r>
        <w:rPr>
          <w:rFonts w:ascii="Arial" w:hAnsi="Arial"/>
          <w:b/>
          <w:color w:val="333333"/>
          <w:sz w:val="22"/>
        </w:rPr>
        <w:t>incidente do GitLab em 2017</w:t>
      </w:r>
      <w:r>
        <w:rPr>
          <w:rFonts w:ascii="Arial" w:hAnsi="Arial"/>
          <w:b w:val="0"/>
          <w:color w:val="333333"/>
          <w:sz w:val="22"/>
        </w:rPr>
        <w:t xml:space="preserve"> — uma pessoa recém-chegada executou uma ação que resultou em perda de dados críticos, evento que se tornou referência sobre a importância de processos de acesso adequados, não culpa individual (conceito de </w:t>
      </w:r>
      <w:r>
        <w:rPr>
          <w:rFonts w:ascii="Arial" w:hAnsi="Arial"/>
          <w:b/>
          <w:color w:val="333333"/>
          <w:sz w:val="22"/>
        </w:rPr>
        <w:t>blameless culture</w:t>
      </w:r>
      <w:r>
        <w:rPr>
          <w:rFonts w:ascii="Arial" w:hAnsi="Arial"/>
          <w:b w:val="0"/>
          <w:color w:val="333333"/>
          <w:sz w:val="22"/>
        </w:rPr>
        <w:t>: o foco vai para os processos que permitiram o incidente, não para quem apertou o botão).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IAM</w:t>
      </w:r>
      <w:r>
        <w:rPr>
          <w:rFonts w:ascii="Arial" w:hAnsi="Arial"/>
          <w:b w:val="0"/>
          <w:color w:val="333333"/>
          <w:sz w:val="22"/>
        </w:rPr>
        <w:t xml:space="preserve"> complementa o RBAC verificando </w:t>
      </w:r>
      <w:r>
        <w:rPr>
          <w:rFonts w:ascii="Arial" w:hAnsi="Arial"/>
          <w:i/>
          <w:color w:val="333333"/>
          <w:sz w:val="22"/>
        </w:rPr>
        <w:t>quem</w:t>
      </w:r>
      <w:r>
        <w:rPr>
          <w:rFonts w:ascii="Arial" w:hAnsi="Arial"/>
          <w:b w:val="0"/>
          <w:color w:val="333333"/>
          <w:sz w:val="22"/>
        </w:rPr>
        <w:t xml:space="preserve"> está solicitando, não só </w:t>
      </w:r>
      <w:r>
        <w:rPr>
          <w:rFonts w:ascii="Arial" w:hAnsi="Arial"/>
          <w:i/>
          <w:color w:val="333333"/>
          <w:sz w:val="22"/>
        </w:rPr>
        <w:t>o quê</w:t>
      </w:r>
      <w:r>
        <w:rPr>
          <w:rFonts w:ascii="Arial" w:hAnsi="Arial"/>
          <w:b w:val="0"/>
          <w:color w:val="333333"/>
          <w:sz w:val="22"/>
        </w:rPr>
        <w:t xml:space="preserve"> está sendo solicitado. E o terceiro pilar, </w:t>
      </w:r>
      <w:r>
        <w:rPr>
          <w:rFonts w:ascii="Arial" w:hAnsi="Arial"/>
          <w:b/>
          <w:color w:val="333333"/>
          <w:sz w:val="22"/>
        </w:rPr>
        <w:t>Human in the Loop</w:t>
      </w:r>
      <w:r>
        <w:rPr>
          <w:rFonts w:ascii="Arial" w:hAnsi="Arial"/>
          <w:b w:val="0"/>
          <w:color w:val="333333"/>
          <w:sz w:val="22"/>
        </w:rPr>
        <w:t>, estabelece que operações críticas nunca são executadas sem aprovação explícita — a IA pode analisar, propor e até preparar a execução, mas o gatilho final para ações de alto impacto continua sendo humano.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Streamlit como Simulador e a Ferramenta de Detecção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Para evitar a complexidade de integrar Slack/Teams reais só para fins didáticos, o laboratório usa </w:t>
      </w:r>
      <w:r>
        <w:rPr>
          <w:rFonts w:ascii="Arial" w:hAnsi="Arial"/>
          <w:b/>
          <w:color w:val="333333"/>
          <w:sz w:val="22"/>
        </w:rPr>
        <w:t>Streamlit</w:t>
      </w:r>
      <w:r>
        <w:rPr>
          <w:rFonts w:ascii="Arial" w:hAnsi="Arial"/>
          <w:b w:val="0"/>
          <w:color w:val="333333"/>
          <w:sz w:val="22"/>
        </w:rPr>
        <w:t xml:space="preserve"> como interface conversacional local (canal fictício </w:t>
      </w:r>
      <w:r>
        <w:rPr>
          <w:rFonts w:ascii="Courier New" w:hAnsi="Courier New"/>
          <w:color w:val="333333"/>
          <w:sz w:val="20"/>
        </w:rPr>
        <w:t>InfraOps</w:t>
      </w:r>
      <w:r>
        <w:rPr>
          <w:rFonts w:ascii="Arial" w:hAnsi="Arial"/>
          <w:b w:val="0"/>
          <w:color w:val="333333"/>
          <w:sz w:val="22"/>
        </w:rPr>
        <w:t xml:space="preserve">). A implementação central é uma ferramenta que varre o conteúdo da mensagem por palavras associadas a operações destrutivas; se detectadas, o fluxo é interrompido e uma credencial de aprovação é exigida — implementação simplificada do Human in the Loop (a credencial estar hardcoded no código é uma simplificação didática explicitamente sinalizada como prática </w:t>
      </w:r>
      <w:r>
        <w:rPr>
          <w:rFonts w:ascii="Arial" w:hAnsi="Arial"/>
          <w:b/>
          <w:color w:val="333333"/>
          <w:sz w:val="22"/>
        </w:rPr>
        <w:t>inadequada</w:t>
      </w:r>
      <w:r>
        <w:rPr>
          <w:rFonts w:ascii="Arial" w:hAnsi="Arial"/>
          <w:b w:val="0"/>
          <w:color w:val="333333"/>
          <w:sz w:val="22"/>
        </w:rPr>
        <w:t xml:space="preserve"> para produção, onde se usaria um cofre de segredos dedicado).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Três cenários demonstrados: consulta informativa (sem risco, executa direto), geração de plano Terraform (visualização, sem aplicar — também de baixo risco) e solicitação explicitamente destrutiva (interrompida e só prossegue após confirmação).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Auditabilidade via Logs do CrewAI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capítulo final expõe o "raciocínio interno" do agente através dos logs do CrewAI, mostrando exatamente como cada mensagem foi classificada e por que determinado caminho (aprovação exigida ou não) foi seguido. Esse nível de rastreabilidade é apresentado como equivalente operacional aos logs de aplicações tradicionais — os agentes passam a ser mais um componente que precisa ser observado e governado, não uma caixa-preta separada do resto da infraestrutura monitorada.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7: Segurança e Compliance (DevSecOps + AI)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O Problema do Volume de Vulnerabilidades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Scanners como </w:t>
      </w:r>
      <w:r>
        <w:rPr>
          <w:rFonts w:ascii="Arial" w:hAnsi="Arial"/>
          <w:b/>
          <w:color w:val="333333"/>
          <w:sz w:val="22"/>
        </w:rPr>
        <w:t>Trivy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Arial" w:hAnsi="Arial"/>
          <w:b/>
          <w:color w:val="333333"/>
          <w:sz w:val="22"/>
        </w:rPr>
        <w:t>Snyk</w:t>
      </w:r>
      <w:r>
        <w:rPr>
          <w:rFonts w:ascii="Arial" w:hAnsi="Arial"/>
          <w:b w:val="0"/>
          <w:color w:val="333333"/>
          <w:sz w:val="22"/>
        </w:rPr>
        <w:t xml:space="preserve"> fazem excelente trabalho identificando vulnerabilidades — o problema real é volume: uma análise pode retornar dezenas ou centenas de itens classificados como High/Critical, gerando a mesma fadiga de alertas já discutida em observabilidade, agora aplicada à segurança. Nem toda vulnerabilidade listada é igualmente explorável: pode estar numa dependência nunca usada, ou numa dependência indireta que não participa da execução real.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exemplo âncora do módulo é a </w:t>
      </w:r>
      <w:r>
        <w:rPr>
          <w:rFonts w:ascii="Arial" w:hAnsi="Arial"/>
          <w:b/>
          <w:color w:val="333333"/>
          <w:sz w:val="22"/>
        </w:rPr>
        <w:t>CVE-2024-3094</w:t>
      </w:r>
      <w:r>
        <w:rPr>
          <w:rFonts w:ascii="Arial" w:hAnsi="Arial"/>
          <w:b w:val="0"/>
          <w:color w:val="333333"/>
          <w:sz w:val="22"/>
        </w:rPr>
        <w:t>, associada ao backdoor descoberto nos pacotes XZ Utils — um caso que chamou atenção mundial por não ser um bug acidental comum, mas uma tentativa deliberada e sofisticada de comprometer a cadeia de fornecimento de software. A aula também alerta que popularidade de uma imagem Docker (milhões de downloads) não é sinônimo de segurança — verificar procedência, mantenedor e selos de verificação (imagens oficiais) continua sendo necessário.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segundo tema do módulo é </w:t>
      </w:r>
      <w:r>
        <w:rPr>
          <w:rFonts w:ascii="Arial" w:hAnsi="Arial"/>
          <w:b/>
          <w:color w:val="333333"/>
          <w:sz w:val="22"/>
        </w:rPr>
        <w:t>Compliance as Code</w:t>
      </w:r>
      <w:r>
        <w:rPr>
          <w:rFonts w:ascii="Arial" w:hAnsi="Arial"/>
          <w:b w:val="0"/>
          <w:color w:val="333333"/>
          <w:sz w:val="22"/>
        </w:rPr>
        <w:t>: organizações certificadas (ISO 27001, SOC 2) tradicionalmente gastam semanas coletando evidências manualmente para auditoria; agentes especializados podem atuar como "pré-auditores", organizando evidências continuamente em vez de concentrar o esforço em um período isolado.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Agente Especialista em Segurança Ofensiva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agente introduzido tem perfil de </w:t>
      </w:r>
      <w:r>
        <w:rPr>
          <w:rFonts w:ascii="Arial" w:hAnsi="Arial"/>
          <w:b/>
          <w:color w:val="333333"/>
          <w:sz w:val="22"/>
        </w:rPr>
        <w:t>segurança ofensiva</w:t>
      </w:r>
      <w:r>
        <w:rPr>
          <w:rFonts w:ascii="Arial" w:hAnsi="Arial"/>
          <w:b w:val="0"/>
          <w:color w:val="333333"/>
          <w:sz w:val="22"/>
        </w:rPr>
        <w:t xml:space="preserve"> — não apenas catalogar vulnerabilidades, mas interpretar quais representam possibilidade concreta de exploração, reproduzindo o raciocínio de um analista experiente ao revisar manualmente um relatório. A ferramenta usada carrega um JSON simulando fielmente a estrutura real de saída do Trivy, e a tarefa do agente é filtrar ruído, identificar ameaças críticas e destacar especificamente se a CVE-2024-3094 está presente — sem perder de vista as demais vulnerabilidades, apenas hierarquizando prioridade.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Triagem e Adaptação Dinâmica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Na execução, o relatório contém duas vulnerabilidades: o backdoor do XZ Utils (prioridade máxima, pelo potencial de execução arbitrária de código) e um problema de alta severidade na biblioteca MiniZip (mencionado, mas com prioridade secundária). O agente gera um plano de ação objetivo — atualizar bibliotecas afetadas, substituir pacotes vulneráveis, validar impactos secundários.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Um experimento interessante adicionou manualmente uma vulnerabilidade fictícia (relacionada a um componente HTTP) ao relatório para testar se o agente dependia de conhecimento pré-codificado sobre CVEs específicas ou se realmente processava o conteúdo dinamicamente — o agente incorporou corretamente a nova entrada, confirmando análise dinâmica baseada no conteúdo real recebido, não em respostas fixas memorizadas.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✅ O verdadeiro valor não está em identificar vulnerabilidades — ferramentas tradicionais já fazem isso com excelência. Está em transformar um conjunto extenso de resultados em uma lista priorizada e orientada a risco real.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8: CI/CD Copilot e Otimização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O Custo do Desperdício em Pipelines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Muitas pipelines executam integralmente a cada alteração, independentemente da natureza da mudança — desperdiçando tempo e recursos computacionais mesmo quando a alteração é pequena. O agente deste módulo analisa o contexto das mudanças para decidir quais etapas realmente precisam rodar, transformando pipelines estáticas em adaptativas.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tema de </w:t>
      </w:r>
      <w:r>
        <w:rPr>
          <w:rFonts w:ascii="Arial" w:hAnsi="Arial"/>
          <w:b/>
          <w:color w:val="333333"/>
          <w:sz w:val="22"/>
        </w:rPr>
        <w:t>inteligência pós-deploy</w:t>
      </w:r>
      <w:r>
        <w:rPr>
          <w:rFonts w:ascii="Arial" w:hAnsi="Arial"/>
          <w:b w:val="0"/>
          <w:color w:val="333333"/>
          <w:sz w:val="22"/>
        </w:rPr>
        <w:t xml:space="preserve"> conecta ao clássico debate sobre "deploy de sexta-feira": em vez de evitar deploys em determinados dias por medo, a cultura DevOps madura defende que, com testes adequados e observabilidade eficiente, o dia da semana não deveria importar — um agente monitorando comportamento logo após implantação, capaz de disparar rollback automático via API da plataforma de CI/CD ao detectar degradação, é o que sustenta essa maturidade.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Multi-Stage Build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princípio de </w:t>
      </w:r>
      <w:r>
        <w:rPr>
          <w:rFonts w:ascii="Arial" w:hAnsi="Arial"/>
          <w:b/>
          <w:color w:val="333333"/>
          <w:sz w:val="22"/>
        </w:rPr>
        <w:t>responsabilidade única de container</w:t>
      </w:r>
      <w:r>
        <w:rPr>
          <w:rFonts w:ascii="Arial" w:hAnsi="Arial"/>
          <w:b w:val="0"/>
          <w:color w:val="333333"/>
          <w:sz w:val="22"/>
        </w:rPr>
        <w:t xml:space="preserve"> (analogia direta com Single Responsibility da engenharia de software) motiva o </w:t>
      </w:r>
      <w:r>
        <w:rPr>
          <w:rFonts w:ascii="Arial" w:hAnsi="Arial"/>
          <w:b/>
          <w:color w:val="333333"/>
          <w:sz w:val="22"/>
        </w:rPr>
        <w:t>Multi-Stage Build</w:t>
      </w:r>
      <w:r>
        <w:rPr>
          <w:rFonts w:ascii="Arial" w:hAnsi="Arial"/>
          <w:b w:val="0"/>
          <w:color w:val="333333"/>
          <w:sz w:val="22"/>
        </w:rPr>
        <w:t>: uma primeira etapa com todas as ferramentas de compilação, uma segunda etapa (imagem final, baseada em Alpine ou Slim) que recebe apenas os artefatos já compilados — sem compiladores nem dependências temporárias. Isso reduz tamanho, tempo de transferência, tempo de deploy e superfície de ataque simultaneamente.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3: Análise da Pipeline Lenta — Cache do GitHub Actions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agente (perfil "engenheiro DevOps com aversão a desperdício de tempo de runner") analisa um workflow real do GitHub Actions (~10 minutos de execução) e identifica a ausência de cache como causa principal — toda execução reinstala dependências do zero, mesmo sem mudança no lock file. A correção proposta usa o mecanismo nativo de cache do GitHub Actions, com chave baseada no arquivo de lock (mesmo princípio das camadas do Docker: se nada mudou, reaproveita). Estimativa de ganho: 2 a 5 minutos por execução — que se multiplica exponencialmente em organizações com centenas de execuções diárias, com impacto direto em custo (runners são recurso cobrado por tempo de uso).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4: Refinamento e Ajuste de Formato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capítulo final mostra que a primeira saída do agente raramente está pronta para uso direto — um padrão comum ao trabalhar profissionalmente com IA é iterar, usando inclusive outras ferramentas para refinar o formato antes de aplicar ao arquivo YAML real. O agente não sobrescreve o arquivo original diretamente; produz uma sugestão estruturada que passa por ajuste humano antes de virar parte efetiva do workflow — reforçando novamente que o papel do agente é acelerar análise, não substituir julgamento técnico.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9: FinOps e Otimização de Custos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O Custo Invisível da Facilidade de Provisionar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facilidade de criar recursos em nuvem é ao mesmo tempo a maior vantagem e a maior armadilha financeira: sem cultura de acompanhamento, o primeiro sinal de um problema de custo costuma ser a fatura no fim do mês. O capítulo detalha modelos de cobrança (tempo de execução, armazenamento, requisições, dados transferidos), o Free Tier da AWS e créditos promocionais de GCP/Oracle (que exigem monitoramento redobrado, já que o saldo pode se esgotar rapidamente sem alertas configurados).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Ferramentas de mercado citadas: </w:t>
      </w:r>
      <w:r>
        <w:rPr>
          <w:rFonts w:ascii="Arial" w:hAnsi="Arial"/>
          <w:b/>
          <w:color w:val="333333"/>
          <w:sz w:val="22"/>
        </w:rPr>
        <w:t>InfraCost</w:t>
      </w:r>
      <w:r>
        <w:rPr>
          <w:rFonts w:ascii="Arial" w:hAnsi="Arial"/>
          <w:b w:val="0"/>
          <w:color w:val="333333"/>
          <w:sz w:val="22"/>
        </w:rPr>
        <w:t xml:space="preserve"> (visibilidade de custo de mudanças em IaC </w:t>
      </w:r>
      <w:r>
        <w:rPr>
          <w:rFonts w:ascii="Arial" w:hAnsi="Arial"/>
          <w:i/>
          <w:color w:val="333333"/>
          <w:sz w:val="22"/>
        </w:rPr>
        <w:t>antes</w:t>
      </w:r>
      <w:r>
        <w:rPr>
          <w:rFonts w:ascii="Arial" w:hAnsi="Arial"/>
          <w:b w:val="0"/>
          <w:color w:val="333333"/>
          <w:sz w:val="22"/>
        </w:rPr>
        <w:t xml:space="preserve"> do deploy) e </w:t>
      </w:r>
      <w:r>
        <w:rPr>
          <w:rFonts w:ascii="Arial" w:hAnsi="Arial"/>
          <w:b/>
          <w:color w:val="333333"/>
          <w:sz w:val="22"/>
        </w:rPr>
        <w:t>Kubecost</w:t>
      </w:r>
      <w:r>
        <w:rPr>
          <w:rFonts w:ascii="Arial" w:hAnsi="Arial"/>
          <w:b w:val="0"/>
          <w:color w:val="333333"/>
          <w:sz w:val="22"/>
        </w:rPr>
        <w:t xml:space="preserve"> (análise especializada em custo por nó/workload dentro de clusters Kubernetes, útil para comparar estratégias como instâncias Spot versus Fargate).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Uma categoria central de desperdício são os </w:t>
      </w:r>
      <w:r>
        <w:rPr>
          <w:rFonts w:ascii="Arial" w:hAnsi="Arial"/>
          <w:b/>
          <w:color w:val="333333"/>
          <w:sz w:val="22"/>
        </w:rPr>
        <w:t>recursos zumbis</w:t>
      </w:r>
      <w:r>
        <w:rPr>
          <w:rFonts w:ascii="Arial" w:hAnsi="Arial"/>
          <w:b w:val="0"/>
          <w:color w:val="333333"/>
          <w:sz w:val="22"/>
        </w:rPr>
        <w:t xml:space="preserve"> — ativos que continuam existindo e gerando custo sem entregar valor, silenciosos porque não causam falhas visíveis: volumes EBS órfãos (disco sobrevive após a máquina ser removida), Elastic IPs não associados, snapshots antigos sem política de retenção adequada.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Auditor de Inventário — Right Sizing e Instâncias Spot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agente (perfil "auditor financeiro especializado em ambientes cloud") analisa um inventário estruturado (tipicamente derivado do state do Terraform) contendo instâncias, volumes, IPs e seus atributos de utilização. Identifica volumes órfãos, IPs não associados, e casos de </w:t>
      </w:r>
      <w:r>
        <w:rPr>
          <w:rFonts w:ascii="Arial" w:hAnsi="Arial"/>
          <w:b/>
          <w:color w:val="333333"/>
          <w:sz w:val="22"/>
        </w:rPr>
        <w:t>superdimensionamento</w:t>
      </w:r>
      <w:r>
        <w:rPr>
          <w:rFonts w:ascii="Arial" w:hAnsi="Arial"/>
          <w:b w:val="0"/>
          <w:color w:val="333333"/>
          <w:sz w:val="22"/>
        </w:rPr>
        <w:t xml:space="preserve"> — o exemplo usado é uma máquina de grande porte hospedando uma aplicação simples com utilização média de CPU de 2-3%, recomendando </w:t>
      </w:r>
      <w:r>
        <w:rPr>
          <w:rFonts w:ascii="Arial" w:hAnsi="Arial"/>
          <w:b/>
          <w:color w:val="333333"/>
          <w:sz w:val="22"/>
        </w:rPr>
        <w:t>right sizing</w:t>
      </w:r>
      <w:r>
        <w:rPr>
          <w:rFonts w:ascii="Arial" w:hAnsi="Arial"/>
          <w:b w:val="0"/>
          <w:color w:val="333333"/>
          <w:sz w:val="22"/>
        </w:rPr>
        <w:t xml:space="preserve"> para uma configuração compatível com a demanda real.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Instâncias Spot</w:t>
      </w:r>
      <w:r>
        <w:rPr>
          <w:rFonts w:ascii="Arial" w:hAnsi="Arial"/>
          <w:b w:val="0"/>
          <w:color w:val="333333"/>
          <w:sz w:val="22"/>
        </w:rPr>
        <w:t xml:space="preserve"> são apresentadas como estratégia de redução de custo aproveitando capacidade ociosa dos provedores — com a contrapartida de poderem ser interrompidas, adequadas a cargas temporárias/experimentais, não a produção crítica. O relatório final do agente não apenas aponta problemas: acompanha cada recomendação de uma estimativa de economia, permitindo priorizar por retorno financeiro — transformando a análise em ferramenta prática de gestão, não apenas diagnóstico.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10: RAG de Runbooks e Auto-Remediação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Conhecimento Vivo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problema central: documentação corporativa existe (wikis, bases de conhecimento), mas raramente é consultada durante um incidente real — a equipe está focada em restaurar o serviço, não em navegar por documentos dispersos. O conceito de </w:t>
      </w:r>
      <w:r>
        <w:rPr>
          <w:rFonts w:ascii="Arial" w:hAnsi="Arial"/>
          <w:b/>
          <w:color w:val="333333"/>
          <w:sz w:val="22"/>
        </w:rPr>
        <w:t>conhecimento vivo</w:t>
      </w:r>
      <w:r>
        <w:rPr>
          <w:rFonts w:ascii="Arial" w:hAnsi="Arial"/>
          <w:b w:val="0"/>
          <w:color w:val="333333"/>
          <w:sz w:val="22"/>
        </w:rPr>
        <w:t xml:space="preserve"> propõe transformar essa documentação estática em fonte ativa de consulta via </w:t>
      </w:r>
      <w:r>
        <w:rPr>
          <w:rFonts w:ascii="Arial" w:hAnsi="Arial"/>
          <w:b/>
          <w:color w:val="333333"/>
          <w:sz w:val="22"/>
        </w:rPr>
        <w:t>RAG</w:t>
      </w:r>
      <w:r>
        <w:rPr>
          <w:rFonts w:ascii="Arial" w:hAnsi="Arial"/>
          <w:b w:val="0"/>
          <w:color w:val="333333"/>
          <w:sz w:val="22"/>
        </w:rPr>
        <w:t>, permitindo que o agente combine conhecimento geral com procedimentos específicos da organização durante a investigação.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Postmortems</w:t>
      </w:r>
      <w:r>
        <w:rPr>
          <w:rFonts w:ascii="Arial" w:hAnsi="Arial"/>
          <w:b w:val="0"/>
          <w:color w:val="333333"/>
          <w:sz w:val="22"/>
        </w:rPr>
        <w:t xml:space="preserve"> enfrentam um problema estrutural: quanto maior o intervalo entre o incidente e a documentação, maior a perda de detalhes — especialmente em incidentes de madrugada, quando ninguém tem energia para documentar imediatamente após horas de trabalho intenso. A solução: o agente acompanha o incidente em tempo real (canais de comunicação, transcrições de reunião, métricas) e produz um rascunho de postmortem automaticamente, deslocando o esforço humano da burocracia de documentação para a análise da falha em si.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Roteamento por Tipo de Incidente e Dry Run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agente (perfil de SRE experiente) direciona a consulta ao runbook correto conforme o tipo de incidente (banco de dados, Kubernetes, rede) — não apenas reproduz o conteúdo do documento, mas o interpreta combinado com o contexto atual, reproduzindo como um profissional experiente adapta procedimentos à situação real em vez de segui-los mecanicamente.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No exemplo de saturação de conexões de banco, o agente identifica conexões ociosas como causa provável (sintomas incluem lentidão, falhas de escrita, degradação em leitura), recomenda liberar recursos, e simultaneamente já constrói o postmortem: resumo do incidente, causa raiz, ações corretivas aplicadas e ações preventivas — a etapa mais valiosa estrategicamente, pois é o que evita recorrência.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conceito de </w:t>
      </w:r>
      <w:r>
        <w:rPr>
          <w:rFonts w:ascii="Arial" w:hAnsi="Arial"/>
          <w:b/>
          <w:color w:val="333333"/>
          <w:sz w:val="22"/>
        </w:rPr>
        <w:t>dry run</w:t>
      </w:r>
      <w:r>
        <w:rPr>
          <w:rFonts w:ascii="Arial" w:hAnsi="Arial"/>
          <w:b w:val="0"/>
          <w:color w:val="333333"/>
          <w:sz w:val="22"/>
        </w:rPr>
        <w:t xml:space="preserve"> (simulação prévia antes de aplicar qualquer ação real) é apresentado como complemento indispensável desse fluxo — reduz risco de intervenção incorreta e prepara terreno para o guardrail mais elaborado do módulo seguinte.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11: Auto-Remediação Segura com Guardrails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Guardrails e Autocura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Quanto maior o nível de automação, maior a necessidade de mecanismos que garantam previsibilidade e controle. </w:t>
      </w:r>
      <w:r>
        <w:rPr>
          <w:rFonts w:ascii="Arial" w:hAnsi="Arial"/>
          <w:b/>
          <w:color w:val="333333"/>
          <w:sz w:val="22"/>
        </w:rPr>
        <w:t>Guardrails</w:t>
      </w:r>
      <w:r>
        <w:rPr>
          <w:rFonts w:ascii="Arial" w:hAnsi="Arial"/>
          <w:b w:val="0"/>
          <w:color w:val="333333"/>
          <w:sz w:val="22"/>
        </w:rPr>
        <w:t xml:space="preserve"> funcionam como limites que orientam o comportamento de sistemas automatizados; </w:t>
      </w:r>
      <w:r>
        <w:rPr>
          <w:rFonts w:ascii="Arial" w:hAnsi="Arial"/>
          <w:b/>
          <w:color w:val="333333"/>
          <w:sz w:val="22"/>
        </w:rPr>
        <w:t>autocura</w:t>
      </w:r>
      <w:r>
        <w:rPr>
          <w:rFonts w:ascii="Arial" w:hAnsi="Arial"/>
          <w:b w:val="0"/>
          <w:color w:val="333333"/>
          <w:sz w:val="22"/>
        </w:rPr>
        <w:t xml:space="preserve"> (self-healing) é a capacidade de detectar e corrigir problemas automática ou semiautomaticamente. O fluxo completo segue detecção → diagnóstico (via IA) → validação da hipótese → ação — nunca pulando etapas, porque agir sem validar aumenta o risco de agravar a situação (uma mesma métrica pode ter múltiplas causas plausíveis).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 risco específico de ambientes altamente automatizados é a </w:t>
      </w:r>
      <w:r>
        <w:rPr>
          <w:rFonts w:ascii="Arial" w:hAnsi="Arial"/>
          <w:b/>
          <w:color w:val="333333"/>
          <w:sz w:val="22"/>
        </w:rPr>
        <w:t>falha em cascata provocada pela própria automação</w:t>
      </w:r>
      <w:r>
        <w:rPr>
          <w:rFonts w:ascii="Arial" w:hAnsi="Arial"/>
          <w:b w:val="0"/>
          <w:color w:val="333333"/>
          <w:sz w:val="22"/>
        </w:rPr>
        <w:t xml:space="preserve"> — quando a correção de um problema gera um novo problema. Como LLMs trabalham com probabilidade, estão sujeitas a </w:t>
      </w:r>
      <w:r>
        <w:rPr>
          <w:rFonts w:ascii="Arial" w:hAnsi="Arial"/>
          <w:b/>
          <w:color w:val="333333"/>
          <w:sz w:val="22"/>
        </w:rPr>
        <w:t>alucinação</w:t>
      </w:r>
      <w:r>
        <w:rPr>
          <w:rFonts w:ascii="Arial" w:hAnsi="Arial"/>
          <w:b w:val="0"/>
          <w:color w:val="333333"/>
          <w:sz w:val="22"/>
        </w:rPr>
        <w:t>, e em contexto operacional uma alucinação pode ter consequência real, não apenas uma resposta incorreta isolada.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Mecanismos de proteção apresentados: </w:t>
      </w:r>
      <w:r>
        <w:rPr>
          <w:rFonts w:ascii="Arial" w:hAnsi="Arial"/>
          <w:b/>
          <w:color w:val="333333"/>
          <w:sz w:val="22"/>
        </w:rPr>
        <w:t>rate limiting</w:t>
      </w:r>
      <w:r>
        <w:rPr>
          <w:rFonts w:ascii="Arial" w:hAnsi="Arial"/>
          <w:b w:val="0"/>
          <w:color w:val="333333"/>
          <w:sz w:val="22"/>
        </w:rPr>
        <w:t xml:space="preserve"> (limite de ações automatizadas por janela de tempo, restringindo o dano de um possível erro) e </w:t>
      </w:r>
      <w:r>
        <w:rPr>
          <w:rFonts w:ascii="Arial" w:hAnsi="Arial"/>
          <w:b/>
          <w:color w:val="333333"/>
          <w:sz w:val="22"/>
        </w:rPr>
        <w:t>Canary Rollback</w:t>
      </w:r>
      <w:r>
        <w:rPr>
          <w:rFonts w:ascii="Arial" w:hAnsi="Arial"/>
          <w:b w:val="0"/>
          <w:color w:val="333333"/>
          <w:sz w:val="22"/>
        </w:rPr>
        <w:t xml:space="preserve"> — após aplicar uma correção, o sistema continua monitorando; se as métricas piorarem em vez de melhorar, reverte automaticamente, fechando um ciclo de autovalidação contínua.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2: O Agente Auditor de Segurança Operacional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 novo perfil de agente é introduzido: não focado em resolver o problema, mas em </w:t>
      </w:r>
      <w:r>
        <w:rPr>
          <w:rFonts w:ascii="Arial" w:hAnsi="Arial"/>
          <w:b/>
          <w:color w:val="333333"/>
          <w:sz w:val="22"/>
        </w:rPr>
        <w:t>proteger o ambiente</w:t>
      </w:r>
      <w:r>
        <w:rPr>
          <w:rFonts w:ascii="Arial" w:hAnsi="Arial"/>
          <w:b w:val="0"/>
          <w:color w:val="333333"/>
          <w:sz w:val="22"/>
        </w:rPr>
        <w:t xml:space="preserve"> — atua como auditor permanente das correções propostas antes de autorizar execução. O mecanismo central continua sendo o </w:t>
      </w:r>
      <w:r>
        <w:rPr>
          <w:rFonts w:ascii="Arial" w:hAnsi="Arial"/>
          <w:b/>
          <w:color w:val="333333"/>
          <w:sz w:val="22"/>
        </w:rPr>
        <w:t>dry run</w:t>
      </w:r>
      <w:r>
        <w:rPr>
          <w:rFonts w:ascii="Arial" w:hAnsi="Arial"/>
          <w:b w:val="0"/>
          <w:color w:val="333333"/>
          <w:sz w:val="22"/>
        </w:rPr>
        <w:t>: simular integralmente a mudança, gerar relatório do que aconteceria, e só então permitir avaliação humana.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Um detalhe técnico reforçado: prompts vagos geram interpretação ambígua, especialmente perigosa em fluxos com aprovação humana — o agente precisa reagir de forma absolutamente previsível a "aprovado" versus "rejeitado", sem margem para interpretação incorreta nesse ponto específico do fluxo. No exemplo do checkout com falha após atualização, o agente propõe correção, executa dry run, e a decisão final (aplicar ou não) é transferida explicitamente ao operador — reforçando que a IA funciona como copiloto, nunca como autoridade final em decisões de alto impacto.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Conclusão do módulo:</w:t>
      </w:r>
      <w:r>
        <w:rPr>
          <w:rFonts w:ascii="Arial" w:hAnsi="Arial"/>
          <w:b w:val="0"/>
          <w:color w:val="333333"/>
          <w:sz w:val="22"/>
        </w:rPr>
        <w:t xml:space="preserve"> o equilíbrio entre velocidade de diagnóstico (proporcionada pela IA) e segurança operacional (proporcionada pelos guardrails) é o que permite usar automação de forma responsável — nunca a busca por eficiência às custas da segurança.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12: Projeto Integrador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1: Orquestração Hierárquica e o Agente Manager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As especialidades construídas ao longo do curso (segurança, FinOps, SRE, ChatOps) são reunidas sob um novo padrão arquitetural: um </w:t>
      </w:r>
      <w:r>
        <w:rPr>
          <w:rFonts w:ascii="Arial" w:hAnsi="Arial"/>
          <w:b/>
          <w:color w:val="333333"/>
          <w:sz w:val="22"/>
        </w:rPr>
        <w:t>agente manager</w:t>
      </w:r>
      <w:r>
        <w:rPr>
          <w:rFonts w:ascii="Arial" w:hAnsi="Arial"/>
          <w:b w:val="0"/>
          <w:color w:val="333333"/>
          <w:sz w:val="22"/>
        </w:rPr>
        <w:t xml:space="preserve"> no topo, que não executa análise técnica diretamente, mas distribui trabalho entre especialistas e consolida resultados — reproduzindo a estrutura de uma equipe de tecnologia real, onde um líder coordena especialistas em vez de tentar dominar todos os domínios sozinho.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Esse modelo resolve uma limitação de agentes únicos tentando cobrir múltiplos domínios: a alternância constante de contexto (custos, depois segurança, depois métricas) tende a reduzir a qualidade das respostas. Especialistas dedicados produzem análises mais profundas, e o manager mantém a visão global.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compartilhamento de contexto</w:t>
      </w:r>
      <w:r>
        <w:rPr>
          <w:rFonts w:ascii="Arial" w:hAnsi="Arial"/>
          <w:b w:val="0"/>
          <w:color w:val="333333"/>
          <w:sz w:val="22"/>
        </w:rPr>
        <w:t xml:space="preserve"> entre especialistas é o que permite correlação: eventos que pareceriam independentes (instabilidade operacional, vulnerabilidade, aumento de custo) revelam-se manifestações da mesma causa raiz quando analisados em conjunto — poder de diagnóstico que nenhum agente isolado teria.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Game Day</w:t>
      </w:r>
      <w:r>
        <w:rPr>
          <w:rFonts w:ascii="Arial" w:hAnsi="Arial"/>
          <w:b w:val="0"/>
          <w:color w:val="333333"/>
          <w:sz w:val="22"/>
        </w:rPr>
        <w:t xml:space="preserve"> — simulação controlada de múltiplos incidentes simultâneos — é o método usado para validar essa arquitetura antes de considerá-la pronta, testando o sistema num cenário próximo da complexidade real corporativa, onde raramente um problema afeta só uma área.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2 e 3: Consolidação, ROI e Escalabilidade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relatório final produzido pelo manager traduz achados técnicos para linguagem de negócio — respondendo perguntas como "quanto foi economizado", "quais riscos foram eliminados", "qual investimento é necessário agora". O conceito de </w:t>
      </w:r>
      <w:r>
        <w:rPr>
          <w:rFonts w:ascii="Arial" w:hAnsi="Arial"/>
          <w:b/>
          <w:color w:val="333333"/>
          <w:sz w:val="22"/>
        </w:rPr>
        <w:t>ROI (Return on Investment)</w:t>
      </w:r>
      <w:r>
        <w:rPr>
          <w:rFonts w:ascii="Arial" w:hAnsi="Arial"/>
          <w:b w:val="0"/>
          <w:color w:val="333333"/>
          <w:sz w:val="22"/>
        </w:rPr>
        <w:t xml:space="preserve"> aparece como ferramenta central para justificar a adoção da automação perante gestores: reduções de custo, tempo de resposta a incidentes e correção antecipada de vulnerabilidades são convertidas em indicadores financeiros que sustentam a defesa da iniciativa.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 arquitetura é apresentada como escalável por design — novos especialistas (qualidade, arquitetura, machine learning) podem ser incorporados sem alterar o papel do manager, que continua coordenando, distribuindo e consolidando. O módulo fecha reforçando que </w:t>
      </w:r>
      <w:r>
        <w:rPr>
          <w:rFonts w:ascii="Arial" w:hAnsi="Arial"/>
          <w:b/>
          <w:color w:val="333333"/>
          <w:sz w:val="22"/>
        </w:rPr>
        <w:t>Human in the Loop</w:t>
      </w:r>
      <w:r>
        <w:rPr>
          <w:rFonts w:ascii="Arial" w:hAnsi="Arial"/>
          <w:b w:val="0"/>
          <w:color w:val="333333"/>
          <w:sz w:val="22"/>
        </w:rPr>
        <w:t xml:space="preserve"> continua sendo pilar mesmo em arquiteturas multiagentes sofisticadas: a supervisão humana garante que decisões críticas sejam avaliadas dentro do contexto adequado que nenhum agente, por mais bem orquestrado, consegue captar sozinho.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Módulo 13: AI-Ops Enterprise — Do Terminal ao Escalável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 a 3: Dockerização — Artefato de IA Imutável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final leva os agentes construídos ao longo do curso para uma arquitetura de produção real, começando pela conteinerização. A aula situa o Docker historicamente (2013, evolução a partir de isolamento de processos do kernel Linux, superando as limitações de recursos das máquinas virtuais tradicionais) e reforça o conceito de </w:t>
      </w:r>
      <w:r>
        <w:rPr>
          <w:rFonts w:ascii="Arial" w:hAnsi="Arial"/>
          <w:b/>
          <w:color w:val="333333"/>
          <w:sz w:val="22"/>
        </w:rPr>
        <w:t>imagem</w:t>
      </w:r>
      <w:r>
        <w:rPr>
          <w:rFonts w:ascii="Arial" w:hAnsi="Arial"/>
          <w:b w:val="0"/>
          <w:color w:val="333333"/>
          <w:sz w:val="22"/>
        </w:rPr>
        <w:t xml:space="preserve"> como artefato imutável — uma "fotografia" completa do ambiente, com o container sendo sua instância em execução.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Práticas de eficiência: imagens </w:t>
      </w:r>
      <w:r>
        <w:rPr>
          <w:rFonts w:ascii="Arial" w:hAnsi="Arial"/>
          <w:b/>
          <w:color w:val="333333"/>
          <w:sz w:val="22"/>
        </w:rPr>
        <w:t>Slim/Alpine</w:t>
      </w:r>
      <w:r>
        <w:rPr>
          <w:rFonts w:ascii="Arial" w:hAnsi="Arial"/>
          <w:b w:val="0"/>
          <w:color w:val="333333"/>
          <w:sz w:val="22"/>
        </w:rPr>
        <w:t xml:space="preserve"> (variantes enxutas), princípio de </w:t>
      </w:r>
      <w:r>
        <w:rPr>
          <w:rFonts w:ascii="Arial" w:hAnsi="Arial"/>
          <w:b/>
          <w:color w:val="333333"/>
          <w:sz w:val="22"/>
        </w:rPr>
        <w:t>responsabilidade única do container</w:t>
      </w:r>
      <w:r>
        <w:rPr>
          <w:rFonts w:ascii="Arial" w:hAnsi="Arial"/>
          <w:b w:val="0"/>
          <w:color w:val="333333"/>
          <w:sz w:val="22"/>
        </w:rPr>
        <w:t xml:space="preserve"> (um WordPress não deveria compartilhar container com seu servidor web), </w:t>
      </w:r>
      <w:r>
        <w:rPr>
          <w:rFonts w:ascii="Courier New" w:hAnsi="Courier New"/>
          <w:color w:val="333333"/>
          <w:sz w:val="20"/>
        </w:rPr>
        <w:t>.dockerignore</w:t>
      </w:r>
      <w:r>
        <w:rPr>
          <w:rFonts w:ascii="Arial" w:hAnsi="Arial"/>
          <w:b w:val="0"/>
          <w:color w:val="333333"/>
          <w:sz w:val="22"/>
        </w:rPr>
        <w:t xml:space="preserve"> para excluir arquivos irrelevantes, e o sistema de </w:t>
      </w:r>
      <w:r>
        <w:rPr>
          <w:rFonts w:ascii="Arial" w:hAnsi="Arial"/>
          <w:b/>
          <w:color w:val="333333"/>
          <w:sz w:val="22"/>
        </w:rPr>
        <w:t>camadas em cache</w:t>
      </w:r>
      <w:r>
        <w:rPr>
          <w:rFonts w:ascii="Arial" w:hAnsi="Arial"/>
          <w:b w:val="0"/>
          <w:color w:val="333333"/>
          <w:sz w:val="22"/>
        </w:rPr>
        <w:t xml:space="preserve"> do Docker — cada instrução do Dockerfile gera uma camada reutilizável, e apenas as camadas alteradas precisam ser reconstruídas.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Variáveis de ambiente carregam credenciais (nunca embutidas na imagem ou no código-fonte) — a mesma prática de segurança já vista em ChatOps e FinOps se repete aqui, agora aplicada à execução dos próprios agentes de IA em produção. O capítulo final demonstra o agente manager rodando dentro do container, coordenando os especialistas de segurança, confiabilidade e FinOps — mesma lógica do módulo 12, agora empacotada de forma portátil e reproduzível.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4 e 5: Kubernetes Local com Minikube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Minikube</w:t>
      </w:r>
      <w:r>
        <w:rPr>
          <w:rFonts w:ascii="Arial" w:hAnsi="Arial"/>
          <w:b w:val="0"/>
          <w:color w:val="333333"/>
          <w:sz w:val="22"/>
        </w:rPr>
        <w:t xml:space="preserve"> permite rodar um cluster Kubernetes completo localmente, sem custo de nuvem, ideal para aprendizado e testes. A aula detalha os componentes centrais do Kubernetes: </w:t>
      </w:r>
      <w:r>
        <w:rPr>
          <w:rFonts w:ascii="Arial" w:hAnsi="Arial"/>
          <w:b/>
          <w:color w:val="333333"/>
          <w:sz w:val="22"/>
        </w:rPr>
        <w:t>Pod</w:t>
      </w:r>
      <w:r>
        <w:rPr>
          <w:rFonts w:ascii="Arial" w:hAnsi="Arial"/>
          <w:b w:val="0"/>
          <w:color w:val="333333"/>
          <w:sz w:val="22"/>
        </w:rPr>
        <w:t xml:space="preserve"> (menor unidade de execução, podendo conter múltiplos containers no padrão </w:t>
      </w:r>
      <w:r>
        <w:rPr>
          <w:rFonts w:ascii="Arial" w:hAnsi="Arial"/>
          <w:b/>
          <w:color w:val="333333"/>
          <w:sz w:val="22"/>
        </w:rPr>
        <w:t>Sidecar</w:t>
      </w:r>
      <w:r>
        <w:rPr>
          <w:rFonts w:ascii="Arial" w:hAnsi="Arial"/>
          <w:b w:val="0"/>
          <w:color w:val="333333"/>
          <w:sz w:val="22"/>
        </w:rPr>
        <w:t xml:space="preserve">), </w:t>
      </w:r>
      <w:r>
        <w:rPr>
          <w:rFonts w:ascii="Arial" w:hAnsi="Arial"/>
          <w:b/>
          <w:color w:val="333333"/>
          <w:sz w:val="22"/>
        </w:rPr>
        <w:t>Kubelet</w:t>
      </w:r>
      <w:r>
        <w:rPr>
          <w:rFonts w:ascii="Arial" w:hAnsi="Arial"/>
          <w:b w:val="0"/>
          <w:color w:val="333333"/>
          <w:sz w:val="22"/>
        </w:rPr>
        <w:t xml:space="preserve"> (monitora nós), </w:t>
      </w:r>
      <w:r>
        <w:rPr>
          <w:rFonts w:ascii="Arial" w:hAnsi="Arial"/>
          <w:b/>
          <w:color w:val="333333"/>
          <w:sz w:val="22"/>
        </w:rPr>
        <w:t>Kube Proxy</w:t>
      </w:r>
      <w:r>
        <w:rPr>
          <w:rFonts w:ascii="Arial" w:hAnsi="Arial"/>
          <w:b w:val="0"/>
          <w:color w:val="333333"/>
          <w:sz w:val="22"/>
        </w:rPr>
        <w:t xml:space="preserve"> (roteamento interno), </w:t>
      </w:r>
      <w:r>
        <w:rPr>
          <w:rFonts w:ascii="Arial" w:hAnsi="Arial"/>
          <w:b/>
          <w:color w:val="333333"/>
          <w:sz w:val="22"/>
        </w:rPr>
        <w:t>Scheduler</w:t>
      </w:r>
      <w:r>
        <w:rPr>
          <w:rFonts w:ascii="Arial" w:hAnsi="Arial"/>
          <w:b w:val="0"/>
          <w:color w:val="333333"/>
          <w:sz w:val="22"/>
        </w:rPr>
        <w:t xml:space="preserve"> (decide onde cada Pod roda, considerando capacidade, afinidade e restrições) e </w:t>
      </w:r>
      <w:r>
        <w:rPr>
          <w:rFonts w:ascii="Arial" w:hAnsi="Arial"/>
          <w:b/>
          <w:color w:val="333333"/>
          <w:sz w:val="22"/>
        </w:rPr>
        <w:t>ETCD</w:t>
      </w:r>
      <w:r>
        <w:rPr>
          <w:rFonts w:ascii="Arial" w:hAnsi="Arial"/>
          <w:b w:val="0"/>
          <w:color w:val="333333"/>
          <w:sz w:val="22"/>
        </w:rPr>
        <w:t xml:space="preserve"> (base de dados distribuída interna do próprio Kubernetes).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Escalabilidade é explicada via </w:t>
      </w:r>
      <w:r>
        <w:rPr>
          <w:rFonts w:ascii="Arial" w:hAnsi="Arial"/>
          <w:b/>
          <w:color w:val="333333"/>
          <w:sz w:val="22"/>
        </w:rPr>
        <w:t>Horizontal Pod Autoscaling</w:t>
      </w:r>
      <w:r>
        <w:rPr>
          <w:rFonts w:ascii="Arial" w:hAnsi="Arial"/>
          <w:b w:val="0"/>
          <w:color w:val="333333"/>
          <w:sz w:val="22"/>
        </w:rPr>
        <w:t xml:space="preserve"> (mais réplicas) versus </w:t>
      </w:r>
      <w:r>
        <w:rPr>
          <w:rFonts w:ascii="Arial" w:hAnsi="Arial"/>
          <w:b/>
          <w:color w:val="333333"/>
          <w:sz w:val="22"/>
        </w:rPr>
        <w:t>Vertical Pod Autoscaling</w:t>
      </w:r>
      <w:r>
        <w:rPr>
          <w:rFonts w:ascii="Arial" w:hAnsi="Arial"/>
          <w:b w:val="0"/>
          <w:color w:val="333333"/>
          <w:sz w:val="22"/>
        </w:rPr>
        <w:t xml:space="preserve"> (mais recursos por réplica) — estratégias que podem coexistir dependendo da natureza da aplicação. </w:t>
      </w:r>
      <w:r>
        <w:rPr>
          <w:rFonts w:ascii="Arial" w:hAnsi="Arial"/>
          <w:b/>
          <w:color w:val="333333"/>
          <w:sz w:val="22"/>
        </w:rPr>
        <w:t>Secrets</w:t>
      </w:r>
      <w:r>
        <w:rPr>
          <w:rFonts w:ascii="Arial" w:hAnsi="Arial"/>
          <w:b w:val="0"/>
          <w:color w:val="333333"/>
          <w:sz w:val="22"/>
        </w:rPr>
        <w:t xml:space="preserve"> do Kubernetes armazenam credenciais dos agentes (com o cuidado explícito de que Base64 não é criptografia, apenas outra representação textual — adequado só para demonstração). O conceito de workloads com ciclo de vida transitório (Jobs que terminam naturalmente após concluir uma tarefa) é reforçado como especialmente relevante para agentes de IA, que frequentemente executam análises pontuais em vez de permanecerem ativos indefinidamente.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6 e 7: Cloud Simulada com LocalStack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LocalStack</w:t>
      </w:r>
      <w:r>
        <w:rPr>
          <w:rFonts w:ascii="Arial" w:hAnsi="Arial"/>
          <w:b w:val="0"/>
          <w:color w:val="333333"/>
          <w:sz w:val="22"/>
        </w:rPr>
        <w:t xml:space="preserve"> simula localmente serviços AWS (S3, SQS, IAM), eliminando custo e dependência de conta real durante desenvolvimento — com a vantagem adicional de que o conhecimento adquirido não fica preso a um único provedor. Implantado como Service + Deployment dentro do cluster, expõe a porta tradicional 4566. A validação usa exatamente as mesmas operações que seriam usadas contra a AWS real: listar buckets, criar bucket, fazer upload, consultar objetos — comprovando que a aplicação está genuinamente desacoplada da infraestrutura real, dependendo apenas de um endpoint configurável.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Um Job dedicado exclusivamente à validação de conectividade confirma que os agentes conseguem alcançar o LocalStack através do </w:t>
      </w:r>
      <w:r>
        <w:rPr>
          <w:rFonts w:ascii="Arial" w:hAnsi="Arial"/>
          <w:b/>
          <w:color w:val="333333"/>
          <w:sz w:val="22"/>
        </w:rPr>
        <w:t>Kube Proxy</w:t>
      </w:r>
      <w:r>
        <w:rPr>
          <w:rFonts w:ascii="Arial" w:hAnsi="Arial"/>
          <w:b w:val="0"/>
          <w:color w:val="333333"/>
          <w:sz w:val="22"/>
        </w:rPr>
        <w:t>, sem configuração complexa de rede — a comunicação interna do cluster resolve isso nativamente.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8 e 9: Dashboard com Streamlit no Kubernetes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interface visual (</w:t>
      </w:r>
      <w:r>
        <w:rPr>
          <w:rFonts w:ascii="Arial" w:hAnsi="Arial"/>
          <w:b/>
          <w:color w:val="333333"/>
          <w:sz w:val="22"/>
        </w:rPr>
        <w:t>Streamlit</w:t>
      </w:r>
      <w:r>
        <w:rPr>
          <w:rFonts w:ascii="Arial" w:hAnsi="Arial"/>
          <w:b w:val="0"/>
          <w:color w:val="333333"/>
          <w:sz w:val="22"/>
        </w:rPr>
        <w:t xml:space="preserve">, reaproveitando conhecimento do módulo de ChatOps) passa a rodar como Deployment independente dentro do cluster, consumindo os serviços simulados do LocalStack via </w:t>
      </w:r>
      <w:r>
        <w:rPr>
          <w:rFonts w:ascii="Arial" w:hAnsi="Arial"/>
          <w:b/>
          <w:color w:val="333333"/>
          <w:sz w:val="22"/>
        </w:rPr>
        <w:t>Boto3</w:t>
      </w:r>
      <w:r>
        <w:rPr>
          <w:rFonts w:ascii="Arial" w:hAnsi="Arial"/>
          <w:b w:val="0"/>
          <w:color w:val="333333"/>
          <w:sz w:val="22"/>
        </w:rPr>
        <w:t xml:space="preserve"> (SDK padrão AWS, funcionando de forma praticamente idêntica com endpoint apontado para o ambiente simulado). Exposição externa via </w:t>
      </w:r>
      <w:r>
        <w:rPr>
          <w:rFonts w:ascii="Arial" w:hAnsi="Arial"/>
          <w:b/>
          <w:color w:val="333333"/>
          <w:sz w:val="22"/>
        </w:rPr>
        <w:t>Service tipo LoadBalancer</w:t>
      </w:r>
      <w:r>
        <w:rPr>
          <w:rFonts w:ascii="Arial" w:hAnsi="Arial"/>
          <w:b w:val="0"/>
          <w:color w:val="333333"/>
          <w:sz w:val="22"/>
        </w:rPr>
        <w:t>, com o Minikube resolvendo o acesso local através de um mecanismo similar a port forwarding (túnel).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 separação entre agentes, LocalStack e Streamlit como componentes independentes no cluster reforça um princípio arquitetural recorrente no módulo: separação de responsabilidades reduz acoplamento e permite evolução independente de cada peça. O capítulo reforça que o mesmo padrão de dashboard poderia exibir custos de FinOps, incidentes ativos ou vulnerabilidades de segurança — a listagem de buckets é apenas prova de conceito, não o limite da arquitetura.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10 e 11: IA Offline com Ollama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aborda a limitação de depender de APIs externas: consumo de tokens tem custo, limites de plano podem ser atingidos rapidamente (especialmente em arquiteturas multiagente com múltiplas chamadas por tarefa), e há cenários onde privacidade impede o envio de dados a terceiros. O </w:t>
      </w:r>
      <w:r>
        <w:rPr>
          <w:rFonts w:ascii="Arial" w:hAnsi="Arial"/>
          <w:b/>
          <w:color w:val="333333"/>
          <w:sz w:val="22"/>
        </w:rPr>
        <w:t>Ollama</w:t>
      </w:r>
      <w:r>
        <w:rPr>
          <w:rFonts w:ascii="Arial" w:hAnsi="Arial"/>
          <w:b w:val="0"/>
          <w:color w:val="333333"/>
          <w:sz w:val="22"/>
        </w:rPr>
        <w:t xml:space="preserve"> simplifica a execução local de modelos abertos (o laboratório usa Llama 3.1), mas a tentativa de rodá-lo dentro do Minikube expõe uma limitação real: o cluster local (um único nó, compartilhando recursos com a máquina do desenvolvedor) não tem capacidade suficiente, e o Pod permanece pendente — uma demonstração honesta de que eliminar dependência de nuvem transfere toda a responsabilidade de processamento para a infraestrutura local, que precisa estar dimensionada para isso.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capítulo também explora o </w:t>
      </w:r>
      <w:r>
        <w:rPr>
          <w:rFonts w:ascii="Arial" w:hAnsi="Arial"/>
          <w:b/>
          <w:color w:val="333333"/>
          <w:sz w:val="22"/>
        </w:rPr>
        <w:t>dashboard do Minikube</w:t>
      </w:r>
      <w:r>
        <w:rPr>
          <w:rFonts w:ascii="Arial" w:hAnsi="Arial"/>
          <w:b w:val="0"/>
          <w:color w:val="333333"/>
          <w:sz w:val="22"/>
        </w:rPr>
        <w:t xml:space="preserve"> como ferramenta de visualização do cluster (Deployments, Services, ConfigMaps, Secrets, Roles, namespaces), e a distinção entre </w:t>
      </w:r>
      <w:r>
        <w:rPr>
          <w:rFonts w:ascii="Arial" w:hAnsi="Arial"/>
          <w:b/>
          <w:color w:val="333333"/>
          <w:sz w:val="22"/>
        </w:rPr>
        <w:t>Service</w:t>
      </w:r>
      <w:r>
        <w:rPr>
          <w:rFonts w:ascii="Arial" w:hAnsi="Arial"/>
          <w:b w:val="0"/>
          <w:color w:val="333333"/>
          <w:sz w:val="22"/>
        </w:rPr>
        <w:t xml:space="preserve"> (roteamento interno básico) e </w:t>
      </w:r>
      <w:r>
        <w:rPr>
          <w:rFonts w:ascii="Arial" w:hAnsi="Arial"/>
          <w:b/>
          <w:color w:val="333333"/>
          <w:sz w:val="22"/>
        </w:rPr>
        <w:t>Ingress</w:t>
      </w:r>
      <w:r>
        <w:rPr>
          <w:rFonts w:ascii="Arial" w:hAnsi="Arial"/>
          <w:b w:val="0"/>
          <w:color w:val="333333"/>
          <w:sz w:val="22"/>
        </w:rPr>
        <w:t xml:space="preserve"> (camada superior — URLs, TLS, múltiplas aplicações por um único ponto de entrada), historicamente dominada pelo Ingress NGINX.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Capítulo 12, 13 e 14: O que Podemos Fazer com IA em DevOps?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Os capítulos de encerramento situam a evolução da IA em DevOps dentro do ciclo histórico de adoção de tecnologia (Docker e Kubernetes também foram vistos com ceticismo inicialmente e hoje são padrão). A pergunta "a IA vai substituir profissionais de TI" é tratada com pragmatismo: a mudança real não é substituição total, é transformação na forma de trabalhar — atividades repetitivas são cada vez mais automatizadas, enquanto validação crítica, análise de contexto organizacional e tomada de decisão continuam profundamente humanas.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</w:t>
      </w:r>
      <w:r>
        <w:rPr>
          <w:rFonts w:ascii="Arial" w:hAnsi="Arial"/>
          <w:b/>
          <w:color w:val="333333"/>
          <w:sz w:val="22"/>
        </w:rPr>
        <w:t>RAG</w:t>
      </w:r>
      <w:r>
        <w:rPr>
          <w:rFonts w:ascii="Arial" w:hAnsi="Arial"/>
          <w:b w:val="0"/>
          <w:color w:val="333333"/>
          <w:sz w:val="22"/>
        </w:rPr>
        <w:t xml:space="preserve"> reaparece como conceito unificador de todo o módulo: runbooks internos, procedimentos documentados, configurações específicas — tudo isso consultado antes de gerar uma recomendação, aproximando a IA genérica do conhecimento real da organização. </w:t>
      </w:r>
      <w:r>
        <w:rPr>
          <w:rFonts w:ascii="Arial" w:hAnsi="Arial"/>
          <w:b/>
          <w:color w:val="333333"/>
          <w:sz w:val="22"/>
        </w:rPr>
        <w:t>AIOps</w:t>
      </w:r>
      <w:r>
        <w:rPr>
          <w:rFonts w:ascii="Arial" w:hAnsi="Arial"/>
          <w:b w:val="0"/>
          <w:color w:val="333333"/>
          <w:sz w:val="22"/>
        </w:rPr>
        <w:t xml:space="preserve"> é definido formalmente como a aplicação de IA para interpretar grandes volumes de dados operacionais e produzir ações mais eficientes — guarda-chuva que cobre praticamente tudo trabalhado no módulo.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Do ponto de vista de carreira, o curso reforça a importância crescente de </w:t>
      </w:r>
      <w:r>
        <w:rPr>
          <w:rFonts w:ascii="Arial" w:hAnsi="Arial"/>
          <w:b/>
          <w:color w:val="333333"/>
          <w:sz w:val="22"/>
        </w:rPr>
        <w:t>Prompt Engineering</w:t>
      </w:r>
      <w:r>
        <w:rPr>
          <w:rFonts w:ascii="Arial" w:hAnsi="Arial"/>
          <w:b w:val="0"/>
          <w:color w:val="333333"/>
          <w:sz w:val="22"/>
        </w:rPr>
        <w:t xml:space="preserve"> como competência prática (não apenas curiosidade técnica), a necessidade permanente de validação humana diante de alucinações, e a valorização de soft skills (comunicação, pensamento estratégico, compreensão de negócio) como diferencial que nenhuma IA substitui.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</w:t>
      </w:r>
      <w:r>
        <w:rPr>
          <w:rFonts w:ascii="Arial" w:hAnsi="Arial"/>
          <w:b/>
          <w:color w:val="333333"/>
          <w:sz w:val="22"/>
        </w:rPr>
        <w:t>Conclusão final do módulo:</w:t>
      </w:r>
      <w:r>
        <w:rPr>
          <w:rFonts w:ascii="Arial" w:hAnsi="Arial"/>
          <w:b w:val="0"/>
          <w:color w:val="333333"/>
          <w:sz w:val="22"/>
        </w:rPr>
        <w:t xml:space="preserve"> a inteligência artificial não elimina a necessidade dos profissionais de DevOps — muda a forma como esses profissionais trabalham. Quem aprende a usar IA estrategicamente amplia produtividade e capacidade de entrega; quem ignora a transformação tende a encontrar mais dificuldade à medida que o mercado evolui. A IA potencializa o conhecimento técnico — não o substitui.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Analogia final para devs Java e Go: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Conceito                  Java/Spring Boot                        Go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Agente CrewAI              @Service responsabilidade única         struct + método Run(ctx)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RAG corporativo            @ConfigurationProperties                struct Config carregada por viper/env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Checkov + OPA              Cadeia de @Validator                    Funções Validate() encadeadas (errors.Join)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Human in the Loop          @PreAuthorize + confirmação explícita   Middleware de permissão + confirmação explícita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Circuit Breaker/RateLimit  Resilience4j                            sony/gobreaker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Dry Run                    terraform plan / flyway validate        Plan() separado de Apply()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Agente Manager             Facade sobre múltiplos @Component       Coordenadora + goroutines/WaitGroup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Danger.js no PR            Quality Gate do SonarQube               golangci-lint + regra de 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