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2E74B5"/>
          <w:sz w:val="40"/>
        </w:rPr>
        <w:t>Ferramentas de IA para DevOps</w:t>
      </w:r>
    </w:p>
    <w:p>
      <w:pPr>
        <w:spacing w:after="40"/>
      </w:pPr>
      <w:r>
        <w:rPr>
          <w:rFonts w:ascii="Arial" w:hAnsi="Arial"/>
          <w:b/>
          <w:color w:val="2E74B5"/>
          <w:sz w:val="24"/>
        </w:rPr>
        <w:t>Pós-Graduação em Engenharia de Software com IA Aplicada — UNIPDS</w:t>
      </w:r>
    </w:p>
    <w:p>
      <w:pPr>
        <w:spacing w:after="40"/>
      </w:pPr>
      <w:r>
        <w:rPr>
          <w:rFonts w:ascii="Arial" w:hAnsi="Arial"/>
          <w:i/>
          <w:color w:val="555555"/>
          <w:sz w:val="20"/>
        </w:rPr>
        <w:t>Camila Martins · Rafael Mattos Moreira — Resumo de estudo técnico · 2026</w:t>
      </w:r>
    </w:p>
    <w:p>
      <w:pPr>
        <w:spacing w:after="120"/>
      </w:pPr>
    </w:p>
    <w:p>
      <w:pPr>
        <w:pStyle w:val="Heading2"/>
        <w:spacing w:before="360" w:after="160"/>
      </w:pPr>
      <w:r>
        <w:rPr>
          <w:rFonts w:ascii="Arial" w:hAnsi="Arial"/>
          <w:b/>
          <w:color w:val="2E74B5"/>
          <w:sz w:val="28"/>
        </w:rPr>
        <w:t>1. Visão Geral do Módulo</w:t>
      </w:r>
    </w:p>
    <w:p>
      <w:pPr>
        <w:spacing w:after="160"/>
      </w:pPr>
      <w:r>
        <w:rPr>
          <w:rFonts w:ascii="Arial" w:hAnsi="Arial"/>
          <w:b w:val="0"/>
          <w:color w:val="333333"/>
          <w:sz w:val="22"/>
        </w:rPr>
        <w:t>O módulo percorre treze frentes da cultura DevOps — infraestrutura como código, Kubernetes, troubleshooting, observabilidade preditiva, ChatOps, DevSecOps, CI/CD, FinOps, gestão de conhecimento operacional, auto-remediação segura e orquestração multiagente — mostrando em cada uma como a IA deixa de ser "só um chat que responde" para atuar como camada de raciocínio dentro de agentes especializados (construídos majoritariamente em Python com CrewAI). O fio condutor é sempre o mesmo: a IA acelera diagnóstico, geração e análise, mas a arquitetura de governança — guardrails, Human in the Loop, dry run, rate limiting — é o que torna essa aceleração segura o suficiente para produção. O módulo fecha com um projeto integrador multiagente e uma trilha "AI-Ops Enterprise" que leva os agentes do terminal a um cluster Kubernetes local completo, com cloud simulada (LocalStack), dashboard (Streamlit) e IA offline (Ollama).</w:t>
      </w:r>
    </w:p>
    <w:p>
      <w:pPr>
        <w:pStyle w:val="Heading2"/>
        <w:spacing w:before="360" w:after="160"/>
      </w:pPr>
      <w:r>
        <w:rPr>
          <w:rFonts w:ascii="Arial" w:hAnsi="Arial"/>
          <w:b/>
          <w:color w:val="2E74B5"/>
          <w:sz w:val="28"/>
        </w:rPr>
        <w:t>2. Conceitos Fundamentais</w:t>
      </w:r>
    </w:p>
    <w:p>
      <w:pPr>
        <w:pStyle w:val="Heading3"/>
        <w:spacing w:before="200" w:after="80"/>
      </w:pPr>
      <w:r>
        <w:rPr>
          <w:rFonts w:ascii="Arial" w:hAnsi="Arial"/>
          <w:b/>
          <w:color w:val="1F4D78"/>
          <w:sz w:val="24"/>
        </w:rPr>
        <w:t>Da Automação à Inteligência Agêntica</w:t>
      </w:r>
    </w:p>
    <w:p>
      <w:pPr>
        <w:spacing w:after="160"/>
      </w:pPr>
      <w:r>
        <w:rPr>
          <w:rFonts w:ascii="Arial" w:hAnsi="Arial"/>
          <w:b w:val="0"/>
          <w:color w:val="333333"/>
          <w:sz w:val="22"/>
        </w:rPr>
        <w:t>A IA não substitui conhecimento técnico — ela acelera análise e amplia hipóteses de investigação. Os fundamentos que sustentam isso são a arquitetura Transformer (mecanismo de Self-Attention, essencial para interpretar arquivos HCL/YAML extensos onde uma seção influencia outra distante) e a tokenização, que explica por que a IA reconhece padrões estruturais de código e não apenas texto.</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shd w:val="clear" w:fill="D6E4F0"/>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color w:val="333333"/>
                <w:sz w:val="22"/>
              </w:rPr>
              <w:t>Conceito</w:t>
            </w:r>
          </w:p>
        </w:tc>
        <w:tc>
          <w:tcPr>
            <w:tcW w:type="dxa" w:w="4320"/>
            <w:shd w:val="clear" w:fill="D6E4F0"/>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color w:val="333333"/>
                <w:sz w:val="22"/>
              </w:rPr>
              <w:t>Definição</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Self-Attention</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Mecanismo que permite ao modelo relacionar partes distantes de um arquivo (ex.: um bloco de configuração Terraform e seu uso em outra seção)</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Agente</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LLM + camada de organização, autonomia e especialização — não é só uma chamada de API, é um componente com papel, ferramentas e responsabilidade definidos</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CrewAI</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Framework Python para orquestrar equipes de agentes especializados, com fluxos sequenciais ou hierárquicos</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RAG (neste contexto)</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Mecanismo que injeta padrões corporativos (nomenclatura, região, segurança) no raciocínio do agente antes da geração — funciona como uma "lupa" sobre conhecimento interno</w:t>
            </w:r>
          </w:p>
        </w:tc>
      </w:tr>
    </w:tbl>
    <w:p>
      <w:pPr>
        <w:spacing w:after="80"/>
      </w:pPr>
    </w:p>
    <w:p>
      <w:pPr>
        <w:spacing w:before="120" w:after="120"/>
        <w:ind w:left="360" w:right="360"/>
        <w:shd w:val="clear" w:fill="F5F5F5"/>
        <w:pBdr>
          <w:left w:val="single" w:color="2E75B6" w:sz="4" w:space="10"/>
        </w:pBdr>
      </w:pPr>
      <w:r>
        <w:rPr>
          <w:rFonts w:ascii="Arial" w:hAnsi="Arial"/>
          <w:b w:val="0"/>
          <w:color w:val="333333"/>
          <w:sz w:val="22"/>
        </w:rPr>
        <w:t xml:space="preserve">🔑 </w:t>
      </w:r>
      <w:r>
        <w:rPr>
          <w:rFonts w:ascii="Arial" w:hAnsi="Arial"/>
          <w:b/>
          <w:color w:val="333333"/>
          <w:sz w:val="22"/>
        </w:rPr>
        <w:t>Regra fundamental:</w:t>
      </w:r>
      <w:r>
        <w:rPr>
          <w:rFonts w:ascii="Arial" w:hAnsi="Arial"/>
          <w:b w:val="0"/>
          <w:color w:val="333333"/>
          <w:sz w:val="22"/>
        </w:rPr>
        <w:t xml:space="preserve"> conectar uma automação a um LLM não gera governança sozinho. O que torna um agente confiável para produção é a combinação de papel bem definido + RAG com regras organizacionais + ferramentas restritas (toolbox) — exatamente como um profissional júnior precisa de escopo claro antes de ganhar autonomia.</w:t>
      </w:r>
    </w:p>
    <w:p>
      <w:pPr>
        <w:pStyle w:val="Heading3"/>
        <w:spacing w:before="200" w:after="80"/>
      </w:pPr>
      <w:r>
        <w:rPr>
          <w:rFonts w:ascii="Arial" w:hAnsi="Arial"/>
          <w:b/>
          <w:color w:val="1F4D78"/>
          <w:sz w:val="24"/>
        </w:rPr>
        <w:t>Guardrails e Segurança Operacional</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880"/>
            <w:shd w:val="clear" w:fill="D6E4F0"/>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color w:val="333333"/>
                <w:sz w:val="22"/>
              </w:rPr>
              <w:t>Mecanismo</w:t>
            </w:r>
          </w:p>
        </w:tc>
        <w:tc>
          <w:tcPr>
            <w:tcW w:type="dxa" w:w="2880"/>
            <w:shd w:val="clear" w:fill="D6E4F0"/>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color w:val="333333"/>
                <w:sz w:val="22"/>
              </w:rPr>
              <w:t>Função</w:t>
            </w:r>
          </w:p>
        </w:tc>
        <w:tc>
          <w:tcPr>
            <w:tcW w:type="dxa" w:w="2880"/>
            <w:shd w:val="clear" w:fill="D6E4F0"/>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color w:val="333333"/>
                <w:sz w:val="22"/>
              </w:rPr>
              <w:t>Onde aparece no módulo</w:t>
            </w:r>
          </w:p>
        </w:tc>
      </w:tr>
      <w:tr>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Human in the Loop</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Ação crítica só executa após aprovação humana explícita</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ChatOps (M6), Auto-remediação (M11)</w:t>
            </w:r>
          </w:p>
        </w:tc>
      </w:tr>
      <w:tr>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Dry Run</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Simulação da alteração antes da execução real — mostra o que mudaria</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Guardrails (M11), Terraform plan</w:t>
            </w:r>
          </w:p>
        </w:tc>
      </w:tr>
      <w:tr>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Circuit Breaker / Rate Limiting</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Limita quantidade de ações automatizadas em janela de tempo — reduz dano de decisão incorreta</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Auto-remediação segura (M11)</w:t>
            </w:r>
          </w:p>
        </w:tc>
      </w:tr>
      <w:tr>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Canary Rollback</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Reverte automaticamente se métricas piorarem após uma correção aplicada</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Auto-remediação (M11)</w:t>
            </w:r>
          </w:p>
        </w:tc>
      </w:tr>
      <w:tr>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RBAC + IAM</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Verifica identidade e permissão do solicitante antes de liberar operação via ChatOps</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ChatOps (M6)</w:t>
            </w:r>
          </w:p>
        </w:tc>
      </w:tr>
    </w:tbl>
    <w:p>
      <w:pPr>
        <w:spacing w:after="80"/>
      </w:pPr>
    </w:p>
    <w:p>
      <w:pPr>
        <w:spacing w:before="120" w:after="120"/>
        <w:ind w:left="360" w:right="360"/>
        <w:shd w:val="clear" w:fill="F5F5F5"/>
        <w:pBdr>
          <w:left w:val="single" w:color="2E75B6" w:sz="4" w:space="10"/>
        </w:pBdr>
      </w:pPr>
      <w:r>
        <w:rPr>
          <w:rFonts w:ascii="Arial" w:hAnsi="Arial"/>
          <w:b w:val="0"/>
          <w:color w:val="333333"/>
          <w:sz w:val="22"/>
        </w:rPr>
        <w:t xml:space="preserve">⚡ </w:t>
      </w:r>
      <w:r>
        <w:rPr>
          <w:rFonts w:ascii="Arial" w:hAnsi="Arial"/>
          <w:b/>
          <w:color w:val="333333"/>
          <w:sz w:val="22"/>
        </w:rPr>
        <w:t>Regra de ouro:</w:t>
      </w:r>
      <w:r>
        <w:rPr>
          <w:rFonts w:ascii="Arial" w:hAnsi="Arial"/>
          <w:b w:val="0"/>
          <w:color w:val="333333"/>
          <w:sz w:val="22"/>
        </w:rPr>
        <w:t xml:space="preserve"> a IA pode alucinar (produzir uma resposta plausível mas incorreta) — em operações, uma alucinação vira incidente real. Por isso guardrails nunca são opcionais; são a diferença entre "copiloto" e "operador autônomo irrestrito".</w:t>
      </w:r>
    </w:p>
    <w:p>
      <w:pPr>
        <w:pStyle w:val="Heading3"/>
        <w:spacing w:before="200" w:after="80"/>
      </w:pPr>
      <w:r>
        <w:rPr>
          <w:rFonts w:ascii="Arial" w:hAnsi="Arial"/>
          <w:b/>
          <w:color w:val="1F4D78"/>
          <w:sz w:val="24"/>
        </w:rPr>
        <w:t>Observabilidade e Troubleshooting Assistidos por IA</w:t>
      </w:r>
    </w:p>
    <w:p>
      <w:pPr>
        <w:spacing w:after="160"/>
      </w:pPr>
      <w:r>
        <w:rPr>
          <w:rFonts w:ascii="Arial" w:hAnsi="Arial"/>
          <w:b w:val="0"/>
          <w:color w:val="333333"/>
          <w:sz w:val="22"/>
        </w:rPr>
        <w:t>O framework ReAct (Reasoning + Acting — não confundir com o React de front-end) estrutura o agente de SRE em ciclos de pensar → agir → observar, reproduzindo como um engenheiro experiente investiga: sintomas → métricas → logs → causa raiz, em vez de "adivinhar" a solução de uma vez.</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880"/>
            <w:shd w:val="clear" w:fill="D6E4F0"/>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color w:val="333333"/>
                <w:sz w:val="22"/>
              </w:rPr>
              <w:t>Fonte de evidência</w:t>
            </w:r>
          </w:p>
        </w:tc>
        <w:tc>
          <w:tcPr>
            <w:tcW w:type="dxa" w:w="2880"/>
            <w:shd w:val="clear" w:fill="D6E4F0"/>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color w:val="333333"/>
                <w:sz w:val="22"/>
              </w:rPr>
              <w:t>Ferramenta</w:t>
            </w:r>
          </w:p>
        </w:tc>
        <w:tc>
          <w:tcPr>
            <w:tcW w:type="dxa" w:w="2880"/>
            <w:shd w:val="clear" w:fill="D6E4F0"/>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color w:val="333333"/>
                <w:sz w:val="22"/>
              </w:rPr>
              <w:t>O que revela</w:t>
            </w:r>
          </w:p>
        </w:tc>
      </w:tr>
      <w:tr>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Métricas agregadas</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Prometheus (consulta via PromQL)</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Error rate, latência, consumo de CPU/memória</w:t>
            </w:r>
          </w:p>
        </w:tc>
      </w:tr>
      <w:tr>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Tracing distribuído</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Jaeger</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Onde exatamente (qual serviço/query) o tempo está sendo gasto</w:t>
            </w:r>
          </w:p>
        </w:tc>
      </w:tr>
      <w:tr>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Eventos do cluster</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Courier New" w:hAnsi="Courier New"/>
                <w:color w:val="333333"/>
                <w:sz w:val="20"/>
              </w:rPr>
              <w:t>kubectl describe pod</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CrashLoopBackOff, OOMKilled, falhas de imagem, health checks mal configurados</w:t>
            </w:r>
          </w:p>
        </w:tc>
      </w:tr>
    </w:tbl>
    <w:p>
      <w:pPr>
        <w:spacing w:after="80"/>
      </w:pPr>
    </w:p>
    <w:p>
      <w:pPr>
        <w:spacing w:before="120" w:after="120"/>
        <w:ind w:left="360" w:right="360"/>
        <w:shd w:val="clear" w:fill="F5F5F5"/>
        <w:pBdr>
          <w:left w:val="single" w:color="2E75B6" w:sz="4" w:space="10"/>
        </w:pBdr>
      </w:pPr>
      <w:r>
        <w:rPr>
          <w:rFonts w:ascii="Arial" w:hAnsi="Arial"/>
          <w:b w:val="0"/>
          <w:color w:val="333333"/>
          <w:sz w:val="22"/>
        </w:rPr>
        <w:t xml:space="preserve">🔍 </w:t>
      </w:r>
      <w:r>
        <w:rPr>
          <w:rFonts w:ascii="Arial" w:hAnsi="Arial"/>
          <w:b/>
          <w:color w:val="333333"/>
          <w:sz w:val="22"/>
        </w:rPr>
        <w:t>Exemplo detalhado:</w:t>
      </w:r>
      <w:r>
        <w:rPr>
          <w:rFonts w:ascii="Arial" w:hAnsi="Arial"/>
          <w:b w:val="0"/>
          <w:color w:val="333333"/>
          <w:sz w:val="22"/>
        </w:rPr>
        <w:t xml:space="preserve"> um pod pode entrar em CrashLoopBackOff mesmo sem erro de código — se o readiness probe dispara antes da aplicação terminar de conectar a um banco, o Kubernetes reinicia um processo saudável repetidamente. O agente de SRE, ao correlacionar eventos + métricas, identifica que o problema está na configuração do probe, não na aplicação.</w:t>
      </w:r>
    </w:p>
    <w:p>
      <w:pPr>
        <w:pStyle w:val="Heading3"/>
        <w:spacing w:before="200" w:after="80"/>
      </w:pPr>
      <w:r>
        <w:rPr>
          <w:rFonts w:ascii="Arial" w:hAnsi="Arial"/>
          <w:b/>
          <w:color w:val="1F4D78"/>
          <w:sz w:val="24"/>
        </w:rPr>
        <w:t>AIOps — Observabilidade Preditiva</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shd w:val="clear" w:fill="D6E4F0"/>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color w:val="333333"/>
                <w:sz w:val="22"/>
              </w:rPr>
              <w:t>Conceito</w:t>
            </w:r>
          </w:p>
        </w:tc>
        <w:tc>
          <w:tcPr>
            <w:tcW w:type="dxa" w:w="4320"/>
            <w:shd w:val="clear" w:fill="D6E4F0"/>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color w:val="333333"/>
                <w:sz w:val="22"/>
              </w:rPr>
              <w:t>Definição</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NL2Q (Natural Language to Query)</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Tradução de pergunta em português para PromQL/LogQL — reduz a barreira de quem não domina a linguagem de consulta</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Alerta estático vs. preditivo</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Estático dispara por limite fixo (gera fadiga de alertas em picos sazonais legítimos, ex.: Black Friday); preditivo usa séries temporais + sazonalidade para prever antes da falha</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Isolation Forest / Prophet</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Algoritmos de detecção de anomalia e previsão usados para diferenciar "diferente do padrão" de "realmente um problema"</w:t>
            </w:r>
          </w:p>
        </w:tc>
      </w:tr>
    </w:tbl>
    <w:p>
      <w:pPr>
        <w:spacing w:after="80"/>
      </w:pPr>
    </w:p>
    <w:p>
      <w:pPr>
        <w:spacing w:before="120" w:after="120"/>
        <w:ind w:left="360" w:right="360"/>
        <w:shd w:val="clear" w:fill="F5F5F5"/>
        <w:pBdr>
          <w:left w:val="single" w:color="2E75B6" w:sz="4" w:space="10"/>
        </w:pBdr>
      </w:pPr>
      <w:r>
        <w:rPr>
          <w:rFonts w:ascii="Arial" w:hAnsi="Arial"/>
          <w:b w:val="0"/>
          <w:color w:val="333333"/>
          <w:sz w:val="22"/>
        </w:rPr>
        <w:t xml:space="preserve">🎯 </w:t>
      </w:r>
      <w:r>
        <w:rPr>
          <w:rFonts w:ascii="Arial" w:hAnsi="Arial"/>
          <w:b/>
          <w:color w:val="333333"/>
          <w:sz w:val="22"/>
        </w:rPr>
        <w:t>Mentalidade correta:</w:t>
      </w:r>
      <w:r>
        <w:rPr>
          <w:rFonts w:ascii="Arial" w:hAnsi="Arial"/>
          <w:b w:val="0"/>
          <w:color w:val="333333"/>
          <w:sz w:val="22"/>
        </w:rPr>
        <w:t xml:space="preserve"> o objetivo da observabilidade preditiva é fazer o alerta acontecer </w:t>
      </w:r>
      <w:r>
        <w:rPr>
          <w:rFonts w:ascii="Arial" w:hAnsi="Arial"/>
          <w:i/>
          <w:color w:val="333333"/>
          <w:sz w:val="22"/>
        </w:rPr>
        <w:t>antes</w:t>
      </w:r>
      <w:r>
        <w:rPr>
          <w:rFonts w:ascii="Arial" w:hAnsi="Arial"/>
          <w:b w:val="0"/>
          <w:color w:val="333333"/>
          <w:sz w:val="22"/>
        </w:rPr>
        <w:t xml:space="preserve"> da queda, não apenas mais rápido depois dela. Isso conecta diretamente à redução de MTTR: identificar cedo dá tempo de agir antes do impacto ao usuário.</w:t>
      </w:r>
    </w:p>
    <w:p>
      <w:pPr>
        <w:pStyle w:val="Heading3"/>
        <w:spacing w:before="200" w:after="80"/>
      </w:pPr>
      <w:r>
        <w:rPr>
          <w:rFonts w:ascii="Arial" w:hAnsi="Arial"/>
          <w:b/>
          <w:color w:val="1F4D78"/>
          <w:sz w:val="24"/>
        </w:rPr>
        <w:t>DevSecOps — Priorização Inteligente de Vulnerabilidades</w:t>
      </w:r>
    </w:p>
    <w:p>
      <w:pPr>
        <w:spacing w:after="160"/>
      </w:pPr>
      <w:r>
        <w:rPr>
          <w:rFonts w:ascii="Arial" w:hAnsi="Arial"/>
          <w:b w:val="0"/>
          <w:color w:val="333333"/>
          <w:sz w:val="22"/>
        </w:rPr>
        <w:t>Scanners como Trivy e Snyk identificam vulnerabilidades com excelência — o problema é volume: um relatório com dezenas de CVEs classificadas como High/Critical gera fadiga de alertas. O agente de segurança (perfil "segurança ofensiva") não substitui o scanner; ele interpreta o contexto: a vulnerabilidade está numa dependência realmente usada? Está associada a uma campanha ativa de exploração (como o backdoor CVE-2024-3094 no XZ Utils, ligado ao ataque à cadeia de suprimentos de software)?</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shd w:val="clear" w:fill="D6E4F0"/>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color w:val="333333"/>
                <w:sz w:val="22"/>
              </w:rPr>
              <w:t>Compliance as Code</w:t>
            </w:r>
          </w:p>
        </w:tc>
        <w:tc>
          <w:tcPr>
            <w:tcW w:type="dxa" w:w="4320"/>
            <w:shd w:val="clear" w:fill="D6E4F0"/>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color w:val="333333"/>
                <w:sz w:val="22"/>
              </w:rPr>
              <w:t>Descrição</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Objetivo</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Transformar checklists de auditoria (ISO 27001, SOC 2) em verificações automatizadas no pipeline, reduzindo semanas de coleta manual de evidências</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Ferramenta</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Danger.js — regras JavaScript que rodam na abertura do Pull Request (antes do merge, quando corrigir ainda é barato)</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Exemplos de regra</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Vínculo obrigatório com item do Jira, mínimo de 2 aprovações em arquivos sensíveis, alerta se cobertura de testes cair</w:t>
            </w:r>
          </w:p>
        </w:tc>
      </w:tr>
    </w:tbl>
    <w:p>
      <w:pPr>
        <w:spacing w:after="80"/>
      </w:pPr>
    </w:p>
    <w:p>
      <w:pPr>
        <w:spacing w:before="120" w:after="120"/>
        <w:ind w:left="360" w:right="360"/>
        <w:shd w:val="clear" w:fill="F5F5F5"/>
        <w:pBdr>
          <w:left w:val="single" w:color="2E75B6" w:sz="4" w:space="10"/>
        </w:pBdr>
      </w:pPr>
      <w:r>
        <w:rPr>
          <w:rFonts w:ascii="Arial" w:hAnsi="Arial"/>
          <w:b w:val="0"/>
          <w:color w:val="333333"/>
          <w:sz w:val="22"/>
        </w:rPr>
        <w:t xml:space="preserve">🔑 </w:t>
      </w:r>
      <w:r>
        <w:rPr>
          <w:rFonts w:ascii="Arial" w:hAnsi="Arial"/>
          <w:b/>
          <w:color w:val="333333"/>
          <w:sz w:val="22"/>
        </w:rPr>
        <w:t>Regra fundamental:</w:t>
      </w:r>
      <w:r>
        <w:rPr>
          <w:rFonts w:ascii="Arial" w:hAnsi="Arial"/>
          <w:b w:val="0"/>
          <w:color w:val="333333"/>
          <w:sz w:val="22"/>
        </w:rPr>
        <w:t xml:space="preserve"> o scanner continua responsável por identificar. O agente de IA é responsável por priorizar. Essa divisão de responsabilidade é o que torna o processo escalável — sem ela, toda vulnerabilidade recebe o mesmo peso e a equipe não sabe por onde começar.</w:t>
      </w:r>
    </w:p>
    <w:p>
      <w:pPr>
        <w:pStyle w:val="Heading3"/>
        <w:spacing w:before="200" w:after="80"/>
      </w:pPr>
      <w:r>
        <w:rPr>
          <w:rFonts w:ascii="Arial" w:hAnsi="Arial"/>
          <w:b/>
          <w:color w:val="1F4D78"/>
          <w:sz w:val="24"/>
        </w:rPr>
        <w:t>CI/CD Copilot e FinOps</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shd w:val="clear" w:fill="D6E4F0"/>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color w:val="333333"/>
                <w:sz w:val="22"/>
              </w:rPr>
              <w:t>Técnica de otimização de pipeline</w:t>
            </w:r>
          </w:p>
        </w:tc>
        <w:tc>
          <w:tcPr>
            <w:tcW w:type="dxa" w:w="4320"/>
            <w:shd w:val="clear" w:fill="D6E4F0"/>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color w:val="333333"/>
                <w:sz w:val="22"/>
              </w:rPr>
              <w:t>Efeito</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Cache de dependências (chave = hash do lock file)</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Evita reinstalação completa a cada execução — ganho de 2 a 5 minutos por run em projetos médios</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Multi-Stage Build</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Separa ambiente de compilação do ambiente de execução — imagem final não carrega compiladores/ferramentas de build</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Canary Deployment</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Libera nova versão para fração pequena do tráfego antes de 100%, monitorando error rate/latência para decidir avançar ou reverter</w:t>
            </w:r>
          </w:p>
        </w:tc>
      </w:tr>
    </w:tbl>
    <w:p>
      <w:pPr>
        <w:spacing w:after="80"/>
      </w:pP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shd w:val="clear" w:fill="D6E4F0"/>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color w:val="333333"/>
                <w:sz w:val="22"/>
              </w:rPr>
              <w:t>Desperdício de FinOps</w:t>
            </w:r>
          </w:p>
        </w:tc>
        <w:tc>
          <w:tcPr>
            <w:tcW w:type="dxa" w:w="4320"/>
            <w:shd w:val="clear" w:fill="D6E4F0"/>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color w:val="333333"/>
                <w:sz w:val="22"/>
              </w:rPr>
              <w:t>Como o agente identifica</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Recursos zumbis (volumes EBS órfãos, Elastic IPs não associados)</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Cruza inventário (JSON/estado do Terraform) contra recursos ativos</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Superdimensionamento</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 xml:space="preserve">Analisa métricas históricas de CPU/memória e recomenda </w:t>
            </w:r>
            <w:r>
              <w:rPr>
                <w:rFonts w:ascii="Arial" w:hAnsi="Arial"/>
                <w:i/>
                <w:color w:val="333333"/>
                <w:sz w:val="22"/>
              </w:rPr>
              <w:t>right sizing</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Instâncias Spot mal aproveitadas</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Sugere workloads tolerantes a interrupção (batch, dev, teste) para aproveitar desconto</w:t>
            </w:r>
          </w:p>
        </w:tc>
      </w:tr>
    </w:tbl>
    <w:p>
      <w:pPr>
        <w:spacing w:after="80"/>
      </w:pPr>
    </w:p>
    <w:p>
      <w:pPr>
        <w:spacing w:before="120" w:after="120"/>
        <w:ind w:left="360" w:right="360"/>
        <w:shd w:val="clear" w:fill="F5F5F5"/>
        <w:pBdr>
          <w:left w:val="single" w:color="2E75B6" w:sz="4" w:space="10"/>
        </w:pBdr>
      </w:pPr>
      <w:r>
        <w:rPr>
          <w:rFonts w:ascii="Arial" w:hAnsi="Arial"/>
          <w:b w:val="0"/>
          <w:color w:val="333333"/>
          <w:sz w:val="22"/>
        </w:rPr>
        <w:t xml:space="preserve">🔌 </w:t>
      </w:r>
      <w:r>
        <w:rPr>
          <w:rFonts w:ascii="Arial" w:hAnsi="Arial"/>
          <w:b/>
          <w:color w:val="333333"/>
          <w:sz w:val="22"/>
        </w:rPr>
        <w:t>Ferramentas de mercado:</w:t>
      </w:r>
      <w:r>
        <w:rPr>
          <w:rFonts w:ascii="Arial" w:hAnsi="Arial"/>
          <w:b w:val="0"/>
          <w:color w:val="333333"/>
          <w:sz w:val="22"/>
        </w:rPr>
        <w:t xml:space="preserve"> InfraCost (custo previsto de mudanças em IaC antes do deploy) e Kubecost (custo por nó/workload dentro do cluster) são citadas como padrão de visibilidade financeira complementar ao agente de FinOps.</w:t>
      </w:r>
    </w:p>
    <w:p>
      <w:pPr>
        <w:pStyle w:val="Heading3"/>
        <w:spacing w:before="200" w:after="80"/>
      </w:pPr>
      <w:r>
        <w:rPr>
          <w:rFonts w:ascii="Arial" w:hAnsi="Arial"/>
          <w:b/>
          <w:color w:val="1F4D78"/>
          <w:sz w:val="24"/>
        </w:rPr>
        <w:t>Conhecimento Vivo e Orquestração Multiagente</w:t>
      </w:r>
    </w:p>
    <w:p>
      <w:pPr>
        <w:spacing w:after="160"/>
      </w:pPr>
      <w:r>
        <w:rPr>
          <w:rFonts w:ascii="Arial" w:hAnsi="Arial"/>
          <w:b w:val="0"/>
          <w:color w:val="333333"/>
          <w:sz w:val="22"/>
        </w:rPr>
        <w:t>RAG aplicado a runbooks/postmortems transforma documentação estática (raramente consultada durante um incidente real) em fonte ativa de consulta. O agente registra a linha do tempo do incidente automaticamente (a partir de canais de comunicação e métricas), reduzindo o maior gargalo do postmortem tradicional: reconstruir de memória o que aconteceu horas depois.</w:t>
      </w:r>
    </w:p>
    <w:p>
      <w:pPr>
        <w:spacing w:after="160"/>
      </w:pPr>
      <w:r>
        <w:rPr>
          <w:rFonts w:ascii="Arial" w:hAnsi="Arial"/>
          <w:b w:val="0"/>
          <w:color w:val="333333"/>
          <w:sz w:val="22"/>
        </w:rPr>
        <w:t xml:space="preserve">No projeto integrador, a arquitetura evolui de "um agente, uma tarefa" para hierarquia com </w:t>
      </w:r>
      <w:r>
        <w:rPr>
          <w:rFonts w:ascii="Arial" w:hAnsi="Arial"/>
          <w:b/>
          <w:color w:val="333333"/>
          <w:sz w:val="22"/>
        </w:rPr>
        <w:t>agente manager</w:t>
      </w:r>
      <w:r>
        <w:rPr>
          <w:rFonts w:ascii="Arial" w:hAnsi="Arial"/>
          <w:b w:val="0"/>
          <w:color w:val="333333"/>
          <w:sz w:val="22"/>
        </w:rPr>
        <w:t xml:space="preserve"> — que não executa análises técnicas diretamente, mas distribui trabalho entre especialistas (segurança, SRE, FinOps) e consolida os resultados em relatório único, correlacionando eventos que pareceriam independentes se analisados isoladamente (ex.: vulnerabilidade → instabilidade → aumento de custo, tudo com a mesma causa raiz).</w:t>
      </w:r>
    </w:p>
    <w:p>
      <w:pPr>
        <w:spacing w:before="120" w:after="120"/>
        <w:ind w:left="360" w:right="360"/>
        <w:shd w:val="clear" w:fill="F5F5F5"/>
        <w:pBdr>
          <w:left w:val="single" w:color="2E75B6" w:sz="4" w:space="10"/>
        </w:pBdr>
      </w:pPr>
      <w:r>
        <w:rPr>
          <w:rFonts w:ascii="Arial" w:hAnsi="Arial"/>
          <w:b w:val="0"/>
          <w:color w:val="333333"/>
          <w:sz w:val="22"/>
        </w:rPr>
        <w:t xml:space="preserve">🏗️ </w:t>
      </w:r>
      <w:r>
        <w:rPr>
          <w:rFonts w:ascii="Arial" w:hAnsi="Arial"/>
          <w:b/>
          <w:color w:val="333333"/>
          <w:sz w:val="22"/>
        </w:rPr>
        <w:t>Arquitetura recorrente do módulo:</w:t>
      </w:r>
      <w:r>
        <w:rPr>
          <w:rFonts w:ascii="Arial" w:hAnsi="Arial"/>
          <w:b w:val="0"/>
          <w:color w:val="333333"/>
          <w:sz w:val="22"/>
        </w:rPr>
        <w:t xml:space="preserve"> Alerta → Investigação (ReAct) → Consulta a runbooks (RAG) → Proposta de correção → Dry Run → Aprovação humana (guardrail) → Execução → Canary Rollback se piorar → Postmortem automático.</w:t>
      </w:r>
    </w:p>
    <w:p>
      <w:pPr>
        <w:pStyle w:val="Heading2"/>
        <w:spacing w:before="360" w:after="160"/>
      </w:pPr>
      <w:r>
        <w:rPr>
          <w:rFonts w:ascii="Arial" w:hAnsi="Arial"/>
          <w:b/>
          <w:color w:val="2E74B5"/>
          <w:sz w:val="28"/>
        </w:rPr>
        <w:t>3. Detalhes de Implementação</w:t>
      </w:r>
    </w:p>
    <w:p>
      <w:pPr>
        <w:pStyle w:val="Heading3"/>
        <w:spacing w:before="200" w:after="80"/>
      </w:pPr>
      <w:r>
        <w:rPr>
          <w:rFonts w:ascii="Arial" w:hAnsi="Arial"/>
          <w:b/>
          <w:color w:val="1F4D78"/>
          <w:sz w:val="24"/>
        </w:rPr>
        <w:t>3.1 Smart Model Router / Arquiteto + Auditor (IaC Copilot)</w:t>
      </w:r>
    </w:p>
    <w:p>
      <w:pPr>
        <w:spacing w:after="160"/>
      </w:pPr>
      <w:r>
        <w:rPr>
          <w:rFonts w:ascii="Arial" w:hAnsi="Arial"/>
          <w:b w:val="0"/>
          <w:color w:val="333333"/>
          <w:sz w:val="22"/>
        </w:rPr>
        <w:t xml:space="preserve">Dois agentes CrewAI colaboram: o </w:t>
      </w:r>
      <w:r>
        <w:rPr>
          <w:rFonts w:ascii="Arial" w:hAnsi="Arial"/>
          <w:b/>
          <w:color w:val="333333"/>
          <w:sz w:val="22"/>
        </w:rPr>
        <w:t>arquiteto</w:t>
      </w:r>
      <w:r>
        <w:rPr>
          <w:rFonts w:ascii="Arial" w:hAnsi="Arial"/>
          <w:b w:val="0"/>
          <w:color w:val="333333"/>
          <w:sz w:val="22"/>
        </w:rPr>
        <w:t xml:space="preserve"> (especialista em AWS/Terraform, foco em governança) gera o código a partir de um prompt detalhado e grava o arquivo com uma Writer Tool; o </w:t>
      </w:r>
      <w:r>
        <w:rPr>
          <w:rFonts w:ascii="Arial" w:hAnsi="Arial"/>
          <w:b/>
          <w:color w:val="333333"/>
          <w:sz w:val="22"/>
        </w:rPr>
        <w:t>auditor</w:t>
      </w:r>
      <w:r>
        <w:rPr>
          <w:rFonts w:ascii="Arial" w:hAnsi="Arial"/>
          <w:b w:val="0"/>
          <w:color w:val="333333"/>
          <w:sz w:val="22"/>
        </w:rPr>
        <w:t xml:space="preserve"> (engenheiro DevSecOps) roda </w:t>
      </w:r>
      <w:r>
        <w:rPr>
          <w:rFonts w:ascii="Arial" w:hAnsi="Arial"/>
          <w:b/>
          <w:color w:val="333333"/>
          <w:sz w:val="22"/>
        </w:rPr>
        <w:t>Checkov</w:t>
      </w:r>
      <w:r>
        <w:rPr>
          <w:rFonts w:ascii="Arial" w:hAnsi="Arial"/>
          <w:b w:val="0"/>
          <w:color w:val="333333"/>
          <w:sz w:val="22"/>
        </w:rPr>
        <w:t xml:space="preserve"> (vulnerabilidades técnicas — criptografia em repouso, bloqueio de acesso público, versionamento) e </w:t>
      </w:r>
      <w:r>
        <w:rPr>
          <w:rFonts w:ascii="Arial" w:hAnsi="Arial"/>
          <w:b/>
          <w:color w:val="333333"/>
          <w:sz w:val="22"/>
        </w:rPr>
        <w:t>Open Policy Agent</w:t>
      </w:r>
      <w:r>
        <w:rPr>
          <w:rFonts w:ascii="Arial" w:hAnsi="Arial"/>
          <w:b w:val="0"/>
          <w:color w:val="333333"/>
          <w:sz w:val="22"/>
        </w:rPr>
        <w:t xml:space="preserve"> (regras de negócio — soberania de dados/região, limites de custo por família de instância). Se o OPA rejeita por região errada, o relatório volta ao arquiteto, que corrige a origem do problema (o prompt/regra), não só a execução pontual — fechando um ciclo de self-healing.</w:t>
      </w:r>
    </w:p>
    <w:p>
      <w:pPr>
        <w:pStyle w:val="Heading3"/>
        <w:spacing w:before="200" w:after="80"/>
      </w:pPr>
      <w:r>
        <w:rPr>
          <w:rFonts w:ascii="Arial" w:hAnsi="Arial"/>
          <w:b/>
          <w:color w:val="1F4D78"/>
          <w:sz w:val="24"/>
        </w:rPr>
        <w:t>3.2 Agentes para Kubernetes — Manifesto + SRE</w:t>
      </w:r>
    </w:p>
    <w:p>
      <w:pPr>
        <w:spacing w:after="160"/>
      </w:pPr>
      <w:r>
        <w:rPr>
          <w:rFonts w:ascii="Arial" w:hAnsi="Arial"/>
          <w:b w:val="0"/>
          <w:color w:val="333333"/>
          <w:sz w:val="22"/>
        </w:rPr>
        <w:t xml:space="preserve">O arquiteto passa a gerar manifestos K8s (Deployment + Service) em vez de Terraform, com Readiness Probes obrigatórios e imagem pública validada (evita a IA "inventar" imagens inexistentes). O agente SRE aplica o manifesto no cluster e usa um </w:t>
      </w:r>
      <w:r>
        <w:rPr>
          <w:rFonts w:ascii="Arial" w:hAnsi="Arial"/>
          <w:b/>
          <w:color w:val="333333"/>
          <w:sz w:val="22"/>
        </w:rPr>
        <w:t>Canary Analyzer</w:t>
      </w:r>
      <w:r>
        <w:rPr>
          <w:rFonts w:ascii="Arial" w:hAnsi="Arial"/>
          <w:b w:val="0"/>
          <w:color w:val="333333"/>
          <w:sz w:val="22"/>
        </w:rPr>
        <w:t xml:space="preserve"> que consulta error rate e latência para aprovar ou reprovar o rollout — reproduzindo o padrão de deployment gradual usado em produção.</w:t>
      </w:r>
    </w:p>
    <w:p>
      <w:pPr>
        <w:pStyle w:val="Heading3"/>
        <w:spacing w:before="200" w:after="80"/>
      </w:pPr>
      <w:r>
        <w:rPr>
          <w:rFonts w:ascii="Arial" w:hAnsi="Arial"/>
          <w:b/>
          <w:color w:val="1F4D78"/>
          <w:sz w:val="24"/>
        </w:rPr>
        <w:t>3.3 Troubleshooting com ReAct — Checkout API</w:t>
      </w:r>
    </w:p>
    <w:p>
      <w:pPr>
        <w:spacing w:after="160"/>
      </w:pPr>
      <w:r>
        <w:rPr>
          <w:rFonts w:ascii="Arial" w:hAnsi="Arial"/>
          <w:b w:val="0"/>
          <w:color w:val="333333"/>
          <w:sz w:val="22"/>
        </w:rPr>
        <w:t xml:space="preserve">Cenário controlado: aplicação </w:t>
      </w:r>
      <w:r>
        <w:rPr>
          <w:rFonts w:ascii="Courier New" w:hAnsi="Courier New"/>
          <w:color w:val="333333"/>
          <w:sz w:val="20"/>
        </w:rPr>
        <w:t>Checkout Broken</w:t>
      </w:r>
      <w:r>
        <w:rPr>
          <w:rFonts w:ascii="Arial" w:hAnsi="Arial"/>
          <w:b w:val="0"/>
          <w:color w:val="333333"/>
          <w:sz w:val="22"/>
        </w:rPr>
        <w:t xml:space="preserve"> com deployment propositalmente mal configurado (memória insuficiente, health check cedo demais). O agente de SRE consulta Prometheus (latência/erro), Jaeger (gargalo em PostgreSQL) e eventos do pod, identifica que o problema é anterior à inicialização (não é o CrashLoopBackOff "clássico") e produz um manifesto corrigido com ajustes de </w:t>
      </w:r>
      <w:r>
        <w:rPr>
          <w:rFonts w:ascii="Courier New" w:hAnsi="Courier New"/>
          <w:color w:val="333333"/>
          <w:sz w:val="20"/>
        </w:rPr>
        <w:t>initialDelaySeconds</w:t>
      </w:r>
      <w:r>
        <w:rPr>
          <w:rFonts w:ascii="Arial" w:hAnsi="Arial"/>
          <w:b w:val="0"/>
          <w:color w:val="333333"/>
          <w:sz w:val="22"/>
        </w:rPr>
        <w:t xml:space="preserve"> e limites de memória.</w:t>
      </w:r>
    </w:p>
    <w:p>
      <w:pPr>
        <w:pStyle w:val="Heading3"/>
        <w:spacing w:before="200" w:after="80"/>
      </w:pPr>
      <w:r>
        <w:rPr>
          <w:rFonts w:ascii="Arial" w:hAnsi="Arial"/>
          <w:b/>
          <w:color w:val="1F4D78"/>
          <w:sz w:val="24"/>
        </w:rPr>
        <w:t>3.4 AIOps — NL2Q + Previsão de Disco</w:t>
      </w:r>
    </w:p>
    <w:p>
      <w:pPr>
        <w:spacing w:after="160"/>
      </w:pPr>
      <w:r>
        <w:rPr>
          <w:rFonts w:ascii="Arial" w:hAnsi="Arial"/>
          <w:b w:val="0"/>
          <w:color w:val="333333"/>
          <w:sz w:val="22"/>
        </w:rPr>
        <w:t>Fluxo com três responsabilidades: (1) traduzir "existe lentidão associada ao banco e suspeita de crescimento de disco" em consulta PromQL; (2) aplicar análise preditiva sobre a série histórica (85% de uso, crescimento de ~2 GB/hora → estimativa de esgotamento em ~4 horas); (3) gerar automaticamente um JSON de dashboard importável no Grafana, contendo painel de disco e taxa de erro.</w:t>
      </w:r>
    </w:p>
    <w:p>
      <w:pPr>
        <w:pStyle w:val="Heading3"/>
        <w:spacing w:before="200" w:after="80"/>
      </w:pPr>
      <w:r>
        <w:rPr>
          <w:rFonts w:ascii="Arial" w:hAnsi="Arial"/>
          <w:b/>
          <w:color w:val="1F4D78"/>
          <w:sz w:val="24"/>
        </w:rPr>
        <w:t>3.5 ChatOps com Streamlit — Canal InfraOps</w:t>
      </w:r>
    </w:p>
    <w:p>
      <w:pPr>
        <w:spacing w:after="160"/>
      </w:pPr>
      <w:r>
        <w:rPr>
          <w:rFonts w:ascii="Arial" w:hAnsi="Arial"/>
          <w:b w:val="0"/>
          <w:color w:val="333333"/>
          <w:sz w:val="22"/>
        </w:rPr>
        <w:t>Simulador local (evita a complexidade de integrar Slack/Teams real) com uma ferramenta que varre a mensagem por palavras-chave associadas a operações destrutivas. Se detectada, o fluxo interrompe e exige uma credencial de aprovação (</w:t>
      </w:r>
      <w:r>
        <w:rPr>
          <w:rFonts w:ascii="Arial" w:hAnsi="Arial"/>
          <w:b/>
          <w:color w:val="333333"/>
          <w:sz w:val="22"/>
        </w:rPr>
        <w:t>Human in the Loop</w:t>
      </w:r>
      <w:r>
        <w:rPr>
          <w:rFonts w:ascii="Arial" w:hAnsi="Arial"/>
          <w:b w:val="0"/>
          <w:color w:val="333333"/>
          <w:sz w:val="22"/>
        </w:rPr>
        <w:t>) antes de prosseguir — mesmo modelo usado depois em Auto-remediação. Os logs do CrewAI tornam o raciocínio do agente auditável, ponto reforçado repetidamente no módulo.</w:t>
      </w:r>
    </w:p>
    <w:p>
      <w:pPr>
        <w:pStyle w:val="Heading3"/>
        <w:spacing w:before="200" w:after="80"/>
      </w:pPr>
      <w:r>
        <w:rPr>
          <w:rFonts w:ascii="Arial" w:hAnsi="Arial"/>
          <w:b/>
          <w:color w:val="1F4D78"/>
          <w:sz w:val="24"/>
        </w:rPr>
        <w:t>3.6 Priorização de CVEs — Relatório do Trivy</w:t>
      </w:r>
    </w:p>
    <w:p>
      <w:pPr>
        <w:spacing w:after="160"/>
      </w:pPr>
      <w:r>
        <w:rPr>
          <w:rFonts w:ascii="Arial" w:hAnsi="Arial"/>
          <w:b w:val="0"/>
          <w:color w:val="333333"/>
          <w:sz w:val="22"/>
        </w:rPr>
        <w:t>Agente carrega um JSON simulando saída real do Trivy (~50 vulnerabilidades numa imagem Python 3.11 Slim), com instrução explícita para checar a presença da CVE-2024-3094. Produz relatório executivo priorizando essa CVE (execução arbitrária de código) acima de um problema de severidade "alta" na biblioteca MiniZip, com plano de ação objetivo (atualizar versão, substituir pacote, validar impacto secundário).</w:t>
      </w:r>
    </w:p>
    <w:p>
      <w:pPr>
        <w:pStyle w:val="Heading3"/>
        <w:spacing w:before="200" w:after="80"/>
      </w:pPr>
      <w:r>
        <w:rPr>
          <w:rFonts w:ascii="Arial" w:hAnsi="Arial"/>
          <w:b/>
          <w:color w:val="1F4D78"/>
          <w:sz w:val="24"/>
        </w:rPr>
        <w:t>3.7 CI/CD — Pipeline Node.js sem Cache</w:t>
      </w:r>
    </w:p>
    <w:p>
      <w:pPr>
        <w:spacing w:after="160"/>
      </w:pPr>
      <w:r>
        <w:rPr>
          <w:rFonts w:ascii="Arial" w:hAnsi="Arial"/>
          <w:b w:val="0"/>
          <w:color w:val="333333"/>
          <w:sz w:val="22"/>
        </w:rPr>
        <w:t xml:space="preserve">Workflow do GitHub Actions reinstala dependências do zero a cada execução (~10 minutos totais). O agente identifica a ausência de cache como gargalo principal, propõe reescrita usando </w:t>
      </w:r>
      <w:r>
        <w:rPr>
          <w:rFonts w:ascii="Courier New" w:hAnsi="Courier New"/>
          <w:color w:val="333333"/>
          <w:sz w:val="20"/>
        </w:rPr>
        <w:t>actions/cache</w:t>
      </w:r>
      <w:r>
        <w:rPr>
          <w:rFonts w:ascii="Arial" w:hAnsi="Arial"/>
          <w:b w:val="0"/>
          <w:color w:val="333333"/>
          <w:sz w:val="22"/>
        </w:rPr>
        <w:t xml:space="preserve"> com chave baseada no lock file, estimando ganho de 2 a 5 minutos/execução — otimização que se multiplica em organizações com centenas de execuções diárias.</w:t>
      </w:r>
    </w:p>
    <w:p>
      <w:pPr>
        <w:pStyle w:val="Heading3"/>
        <w:spacing w:before="200" w:after="80"/>
      </w:pPr>
      <w:r>
        <w:rPr>
          <w:rFonts w:ascii="Arial" w:hAnsi="Arial"/>
          <w:b/>
          <w:color w:val="1F4D78"/>
          <w:sz w:val="24"/>
        </w:rPr>
        <w:t>3.8 FinOps — Auditor de Inventário Cloud</w:t>
      </w:r>
    </w:p>
    <w:p>
      <w:pPr>
        <w:spacing w:after="160"/>
      </w:pPr>
      <w:r>
        <w:rPr>
          <w:rFonts w:ascii="Arial" w:hAnsi="Arial"/>
          <w:b w:val="0"/>
          <w:color w:val="333333"/>
          <w:sz w:val="22"/>
        </w:rPr>
        <w:t>Agente especialista em FinOps analisa inventário JSON (possivelmente extraído do state do Terraform) e identifica volumes EBS órfãos, Elastic IPs não associados e instâncias superdimensionadas (ex.: máquina robusta hospedando um blog com 2-3% de utilização média de CPU) — produzindo relatório com economia estimada por item, priorizável por retorno financeiro.</w:t>
      </w:r>
    </w:p>
    <w:p>
      <w:pPr>
        <w:pStyle w:val="Heading3"/>
        <w:spacing w:before="200" w:after="80"/>
      </w:pPr>
      <w:r>
        <w:rPr>
          <w:rFonts w:ascii="Arial" w:hAnsi="Arial"/>
          <w:b/>
          <w:color w:val="1F4D78"/>
          <w:sz w:val="24"/>
        </w:rPr>
        <w:t>3.9 RAG de Runbooks — Saturação de Conexões de Banco</w:t>
      </w:r>
    </w:p>
    <w:p>
      <w:pPr>
        <w:spacing w:after="160"/>
      </w:pPr>
      <w:r>
        <w:rPr>
          <w:rFonts w:ascii="Arial" w:hAnsi="Arial"/>
          <w:b w:val="0"/>
          <w:color w:val="333333"/>
          <w:sz w:val="22"/>
        </w:rPr>
        <w:t>Agente com perfil de SRE experiente consulta o runbook específico do serviço afetado (roteamento por tipo de incidente: banco, Kubernetes, rede), identifica conexões ociosas como causa provável de esgotamento do pool, recomenda liberar recursos e, em paralelo, já constrói o rascunho de postmortem (resumo, causa raiz, ações corretivas, ações preventivas) a partir dos próprios eventos monitorados durante a investigação.</w:t>
      </w:r>
    </w:p>
    <w:p>
      <w:pPr>
        <w:pStyle w:val="Heading3"/>
        <w:spacing w:before="200" w:after="80"/>
      </w:pPr>
      <w:r>
        <w:rPr>
          <w:rFonts w:ascii="Arial" w:hAnsi="Arial"/>
          <w:b/>
          <w:color w:val="1F4D78"/>
          <w:sz w:val="24"/>
        </w:rPr>
        <w:t>3.10 Auto-Remediação com Guardrails — Deployment de Checkout</w:t>
      </w:r>
    </w:p>
    <w:p>
      <w:pPr>
        <w:spacing w:after="160"/>
      </w:pPr>
      <w:r>
        <w:rPr>
          <w:rFonts w:ascii="Arial" w:hAnsi="Arial"/>
          <w:b w:val="0"/>
          <w:color w:val="333333"/>
          <w:sz w:val="22"/>
        </w:rPr>
        <w:t xml:space="preserve">Agente identifica inconsistência de configuração, mas em vez de aplicar direto, executa </w:t>
      </w:r>
      <w:r>
        <w:rPr>
          <w:rFonts w:ascii="Arial" w:hAnsi="Arial"/>
          <w:b/>
          <w:color w:val="333333"/>
          <w:sz w:val="22"/>
        </w:rPr>
        <w:t>dry run</w:t>
      </w:r>
      <w:r>
        <w:rPr>
          <w:rFonts w:ascii="Arial" w:hAnsi="Arial"/>
          <w:b w:val="0"/>
          <w:color w:val="333333"/>
          <w:sz w:val="22"/>
        </w:rPr>
        <w:t xml:space="preserve"> (mostra exatamente o que mudaria), interrompe o fluxo e aguarda aprovação humana explícita, apresentando problema + correção + resultado esperado. Só após confirmação a alteração real ocorre — o agente atua como copiloto, nunca como operador autônomo irrestrito nesse cenário.</w:t>
      </w:r>
    </w:p>
    <w:p>
      <w:pPr>
        <w:pStyle w:val="Heading3"/>
        <w:spacing w:before="200" w:after="80"/>
      </w:pPr>
      <w:r>
        <w:rPr>
          <w:rFonts w:ascii="Arial" w:hAnsi="Arial"/>
          <w:b/>
          <w:color w:val="1F4D78"/>
          <w:sz w:val="24"/>
        </w:rPr>
        <w:t>3.11 Projeto Integrador — Bot Full-Stack</w:t>
      </w:r>
    </w:p>
    <w:p>
      <w:pPr>
        <w:spacing w:after="160"/>
      </w:pPr>
      <w:r>
        <w:rPr>
          <w:rFonts w:ascii="Arial" w:hAnsi="Arial"/>
          <w:b w:val="0"/>
          <w:color w:val="333333"/>
          <w:sz w:val="22"/>
        </w:rPr>
        <w:t>Cenário com três problemas simultâneos (instabilidade no checkout, vulnerabilidade de segurança, aumento de custo). O agente manager distribui investigação para os três especialistas em paralelo, correlaciona os achados (a vulnerabilidade pode ter causado a instabilidade, que gerou escalonamento de infraestrutura, que aumentou o custo) e produz relatório único traduzido para linguagem de negócio, incluindo estimativa de ROI da automação.</w:t>
      </w:r>
    </w:p>
    <w:p>
      <w:pPr>
        <w:pStyle w:val="Heading3"/>
        <w:spacing w:before="200" w:after="80"/>
      </w:pPr>
      <w:r>
        <w:rPr>
          <w:rFonts w:ascii="Arial" w:hAnsi="Arial"/>
          <w:b/>
          <w:color w:val="1F4D78"/>
          <w:sz w:val="24"/>
        </w:rPr>
        <w:t>3.12 AI-Ops Enterprise — Do Terminal ao Escalável</w:t>
      </w:r>
    </w:p>
    <w:p>
      <w:pPr>
        <w:spacing w:after="160"/>
      </w:pPr>
      <w:r>
        <w:rPr>
          <w:rFonts w:ascii="Arial" w:hAnsi="Arial"/>
          <w:b w:val="0"/>
          <w:color w:val="333333"/>
          <w:sz w:val="22"/>
        </w:rPr>
        <w:t xml:space="preserve">Trilha final empacota os agentes em imagem Docker (Python Slim, multi-stage, </w:t>
      </w:r>
      <w:r>
        <w:rPr>
          <w:rFonts w:ascii="Courier New" w:hAnsi="Courier New"/>
          <w:color w:val="333333"/>
          <w:sz w:val="20"/>
        </w:rPr>
        <w:t>.dockerignore</w:t>
      </w:r>
      <w:r>
        <w:rPr>
          <w:rFonts w:ascii="Arial" w:hAnsi="Arial"/>
          <w:b w:val="0"/>
          <w:color w:val="333333"/>
          <w:sz w:val="22"/>
        </w:rPr>
        <w:t xml:space="preserve">), sobe um cluster local com </w:t>
      </w:r>
      <w:r>
        <w:rPr>
          <w:rFonts w:ascii="Arial" w:hAnsi="Arial"/>
          <w:b/>
          <w:color w:val="333333"/>
          <w:sz w:val="22"/>
        </w:rPr>
        <w:t>Minikube</w:t>
      </w:r>
      <w:r>
        <w:rPr>
          <w:rFonts w:ascii="Arial" w:hAnsi="Arial"/>
          <w:b w:val="0"/>
          <w:color w:val="333333"/>
          <w:sz w:val="22"/>
        </w:rPr>
        <w:t xml:space="preserve">, usa </w:t>
      </w:r>
      <w:r>
        <w:rPr>
          <w:rFonts w:ascii="Arial" w:hAnsi="Arial"/>
          <w:b/>
          <w:color w:val="333333"/>
          <w:sz w:val="22"/>
        </w:rPr>
        <w:t>Secrets</w:t>
      </w:r>
      <w:r>
        <w:rPr>
          <w:rFonts w:ascii="Arial" w:hAnsi="Arial"/>
          <w:b w:val="0"/>
          <w:color w:val="333333"/>
          <w:sz w:val="22"/>
        </w:rPr>
        <w:t xml:space="preserve"> do Kubernetes para credenciais (nunca em texto plano na imagem), simula serviços AWS (S3, SQS, IAM) com </w:t>
      </w:r>
      <w:r>
        <w:rPr>
          <w:rFonts w:ascii="Arial" w:hAnsi="Arial"/>
          <w:b/>
          <w:color w:val="333333"/>
          <w:sz w:val="22"/>
        </w:rPr>
        <w:t>LocalStack</w:t>
      </w:r>
      <w:r>
        <w:rPr>
          <w:rFonts w:ascii="Arial" w:hAnsi="Arial"/>
          <w:b w:val="0"/>
          <w:color w:val="333333"/>
          <w:sz w:val="22"/>
        </w:rPr>
        <w:t xml:space="preserve"> dentro do cluster, expõe um dashboard </w:t>
      </w:r>
      <w:r>
        <w:rPr>
          <w:rFonts w:ascii="Arial" w:hAnsi="Arial"/>
          <w:b/>
          <w:color w:val="333333"/>
          <w:sz w:val="22"/>
        </w:rPr>
        <w:t>Streamlit</w:t>
      </w:r>
      <w:r>
        <w:rPr>
          <w:rFonts w:ascii="Arial" w:hAnsi="Arial"/>
          <w:b w:val="0"/>
          <w:color w:val="333333"/>
          <w:sz w:val="22"/>
        </w:rPr>
        <w:t xml:space="preserve"> via </w:t>
      </w:r>
      <w:r>
        <w:rPr>
          <w:rFonts w:ascii="Courier New" w:hAnsi="Courier New"/>
          <w:color w:val="333333"/>
          <w:sz w:val="20"/>
        </w:rPr>
        <w:t>LoadBalancer</w:t>
      </w:r>
      <w:r>
        <w:rPr>
          <w:rFonts w:ascii="Arial" w:hAnsi="Arial"/>
          <w:b w:val="0"/>
          <w:color w:val="333333"/>
          <w:sz w:val="22"/>
        </w:rPr>
        <w:t xml:space="preserve"> consumindo esses serviços simulados, e testa execução de modelo local com </w:t>
      </w:r>
      <w:r>
        <w:rPr>
          <w:rFonts w:ascii="Arial" w:hAnsi="Arial"/>
          <w:b/>
          <w:color w:val="333333"/>
          <w:sz w:val="22"/>
        </w:rPr>
        <w:t>Ollama</w:t>
      </w:r>
      <w:r>
        <w:rPr>
          <w:rFonts w:ascii="Arial" w:hAnsi="Arial"/>
          <w:b w:val="0"/>
          <w:color w:val="333333"/>
          <w:sz w:val="22"/>
        </w:rPr>
        <w:t xml:space="preserve"> (Llama 3.1) — limitado pelos recursos do cluster local, mas validando a arquitetura para eliminar dependência de tokens/APIs externas quando privacidade ou custo exigem.</w:t>
      </w:r>
    </w:p>
    <w:p>
      <w:pPr>
        <w:pStyle w:val="Heading2"/>
        <w:spacing w:before="360" w:after="160"/>
      </w:pPr>
      <w:r>
        <w:rPr>
          <w:rFonts w:ascii="Arial" w:hAnsi="Arial"/>
          <w:b/>
          <w:color w:val="2E74B5"/>
          <w:sz w:val="28"/>
        </w:rPr>
        <w:t>4. Analogias Java/Spring Boot e Go</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880"/>
            <w:shd w:val="clear" w:fill="D6E4F0"/>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color w:val="333333"/>
                <w:sz w:val="22"/>
              </w:rPr>
              <w:t>Conceito DevOps + IA</w:t>
            </w:r>
          </w:p>
        </w:tc>
        <w:tc>
          <w:tcPr>
            <w:tcW w:type="dxa" w:w="2880"/>
            <w:shd w:val="clear" w:fill="D6E4F0"/>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color w:val="333333"/>
                <w:sz w:val="22"/>
              </w:rPr>
              <w:t>Equivalente Java/Spring Boot</w:t>
            </w:r>
          </w:p>
        </w:tc>
        <w:tc>
          <w:tcPr>
            <w:tcW w:type="dxa" w:w="2880"/>
            <w:shd w:val="clear" w:fill="D6E4F0"/>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color w:val="333333"/>
                <w:sz w:val="22"/>
              </w:rPr>
              <w:t>Equivalente Go</w:t>
            </w:r>
          </w:p>
        </w:tc>
      </w:tr>
      <w:tr>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Agente CrewAI com papel definido</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Courier New" w:hAnsi="Courier New"/>
                <w:color w:val="333333"/>
                <w:sz w:val="20"/>
              </w:rPr>
              <w:t>@Service</w:t>
            </w:r>
            <w:r>
              <w:rPr>
                <w:rFonts w:ascii="Arial" w:hAnsi="Arial"/>
                <w:b w:val="0"/>
                <w:color w:val="333333"/>
                <w:sz w:val="22"/>
              </w:rPr>
              <w:t xml:space="preserve"> com responsabilidade única + Javadoc explicando seu propósito</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Courier New" w:hAnsi="Courier New"/>
                <w:color w:val="333333"/>
                <w:sz w:val="20"/>
              </w:rPr>
              <w:t>struct</w:t>
            </w:r>
            <w:r>
              <w:rPr>
                <w:rFonts w:ascii="Arial" w:hAnsi="Arial"/>
                <w:b w:val="0"/>
                <w:color w:val="333333"/>
                <w:sz w:val="22"/>
              </w:rPr>
              <w:t xml:space="preserve"> de agente com método </w:t>
            </w:r>
            <w:r>
              <w:rPr>
                <w:rFonts w:ascii="Courier New" w:hAnsi="Courier New"/>
                <w:color w:val="333333"/>
                <w:sz w:val="20"/>
              </w:rPr>
              <w:t>Run(ctx) (Result, error)</w:t>
            </w:r>
            <w:r>
              <w:rPr>
                <w:rFonts w:ascii="Arial" w:hAnsi="Arial"/>
                <w:b w:val="0"/>
                <w:color w:val="333333"/>
                <w:sz w:val="22"/>
              </w:rPr>
              <w:t xml:space="preserve"> e comentário de pacote explicando seu papel</w:t>
            </w:r>
          </w:p>
        </w:tc>
      </w:tr>
      <w:tr>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RAG injetando padrões corporativos</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Courier New" w:hAnsi="Courier New"/>
                <w:color w:val="333333"/>
                <w:sz w:val="20"/>
              </w:rPr>
              <w:t>@ConfigurationProperties</w:t>
            </w:r>
            <w:r>
              <w:rPr>
                <w:rFonts w:ascii="Arial" w:hAnsi="Arial"/>
                <w:b w:val="0"/>
                <w:color w:val="333333"/>
                <w:sz w:val="22"/>
              </w:rPr>
              <w:t xml:space="preserve"> carregando regras de negócio de um YAML externo</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Courier New" w:hAnsi="Courier New"/>
                <w:color w:val="333333"/>
                <w:sz w:val="20"/>
              </w:rPr>
              <w:t>struct Config</w:t>
            </w:r>
            <w:r>
              <w:rPr>
                <w:rFonts w:ascii="Arial" w:hAnsi="Arial"/>
                <w:b w:val="0"/>
                <w:color w:val="333333"/>
                <w:sz w:val="22"/>
              </w:rPr>
              <w:t xml:space="preserve"> carregada de YAML/env no boot (</w:t>
            </w:r>
            <w:r>
              <w:rPr>
                <w:rFonts w:ascii="Courier New" w:hAnsi="Courier New"/>
                <w:color w:val="333333"/>
                <w:sz w:val="20"/>
              </w:rPr>
              <w:t>viper</w:t>
            </w:r>
            <w:r>
              <w:rPr>
                <w:rFonts w:ascii="Arial" w:hAnsi="Arial"/>
                <w:b w:val="0"/>
                <w:color w:val="333333"/>
                <w:sz w:val="22"/>
              </w:rPr>
              <w:t xml:space="preserve"> ou </w:t>
            </w:r>
            <w:r>
              <w:rPr>
                <w:rFonts w:ascii="Courier New" w:hAnsi="Courier New"/>
                <w:color w:val="333333"/>
                <w:sz w:val="20"/>
              </w:rPr>
              <w:t>encoding/yaml</w:t>
            </w:r>
            <w:r>
              <w:rPr>
                <w:rFonts w:ascii="Arial" w:hAnsi="Arial"/>
                <w:b w:val="0"/>
                <w:color w:val="333333"/>
                <w:sz w:val="22"/>
              </w:rPr>
              <w:t xml:space="preserve"> + </w:t>
            </w:r>
            <w:r>
              <w:rPr>
                <w:rFonts w:ascii="Courier New" w:hAnsi="Courier New"/>
                <w:color w:val="333333"/>
                <w:sz w:val="20"/>
              </w:rPr>
              <w:t>os.Getenv</w:t>
            </w:r>
            <w:r>
              <w:rPr>
                <w:rFonts w:ascii="Arial" w:hAnsi="Arial"/>
                <w:b w:val="0"/>
                <w:color w:val="333333"/>
                <w:sz w:val="22"/>
              </w:rPr>
              <w:t>), injetada explicitamente via composição</w:t>
            </w:r>
          </w:p>
        </w:tc>
      </w:tr>
      <w:tr>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Checkov + OPA (dois agentes de auditoria)</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 xml:space="preserve">Dois </w:t>
            </w:r>
            <w:r>
              <w:rPr>
                <w:rFonts w:ascii="Courier New" w:hAnsi="Courier New"/>
                <w:color w:val="333333"/>
                <w:sz w:val="20"/>
              </w:rPr>
              <w:t>@Validator</w:t>
            </w:r>
            <w:r>
              <w:rPr>
                <w:rFonts w:ascii="Arial" w:hAnsi="Arial"/>
                <w:b w:val="0"/>
                <w:color w:val="333333"/>
                <w:sz w:val="22"/>
              </w:rPr>
              <w:t xml:space="preserve"> em cadeia: um valida sintaxe/segurança técnica, outro valida regra de negócio</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 xml:space="preserve">Duas funções </w:t>
            </w:r>
            <w:r>
              <w:rPr>
                <w:rFonts w:ascii="Courier New" w:hAnsi="Courier New"/>
                <w:color w:val="333333"/>
                <w:sz w:val="20"/>
              </w:rPr>
              <w:t>func Validate(x Resource) error</w:t>
            </w:r>
            <w:r>
              <w:rPr>
                <w:rFonts w:ascii="Arial" w:hAnsi="Arial"/>
                <w:b w:val="0"/>
                <w:color w:val="333333"/>
                <w:sz w:val="22"/>
              </w:rPr>
              <w:t xml:space="preserve"> encadeadas — uma técnica, uma de política — combinadas com </w:t>
            </w:r>
            <w:r>
              <w:rPr>
                <w:rFonts w:ascii="Courier New" w:hAnsi="Courier New"/>
                <w:color w:val="333333"/>
                <w:sz w:val="20"/>
              </w:rPr>
              <w:t>errors.Join</w:t>
            </w:r>
          </w:p>
        </w:tc>
      </w:tr>
      <w:tr>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Human in the Loop</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Courier New" w:hAnsi="Courier New"/>
                <w:color w:val="333333"/>
                <w:sz w:val="20"/>
              </w:rPr>
              <w:t>@PreAuthorize</w:t>
            </w:r>
            <w:r>
              <w:rPr>
                <w:rFonts w:ascii="Arial" w:hAnsi="Arial"/>
                <w:b w:val="0"/>
                <w:color w:val="333333"/>
                <w:sz w:val="22"/>
              </w:rPr>
              <w:t xml:space="preserve"> combinado com um passo de confirmação explícita antes de </w:t>
            </w:r>
            <w:r>
              <w:rPr>
                <w:rFonts w:ascii="Courier New" w:hAnsi="Courier New"/>
                <w:color w:val="333333"/>
                <w:sz w:val="20"/>
              </w:rPr>
              <w:t>@Transactional</w:t>
            </w:r>
            <w:r>
              <w:rPr>
                <w:rFonts w:ascii="Arial" w:hAnsi="Arial"/>
                <w:b w:val="0"/>
                <w:color w:val="333333"/>
                <w:sz w:val="22"/>
              </w:rPr>
              <w:t xml:space="preserve"> crítico</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Middleware HTTP que verifica permissão + um passo explícito de confirmação antes de qualquer handler que execute mudança destrutiva</w:t>
            </w:r>
          </w:p>
        </w:tc>
      </w:tr>
      <w:tr>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Circuit Breaker operacional</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 xml:space="preserve">Resilience4j </w:t>
            </w:r>
            <w:r>
              <w:rPr>
                <w:rFonts w:ascii="Courier New" w:hAnsi="Courier New"/>
                <w:color w:val="333333"/>
                <w:sz w:val="20"/>
              </w:rPr>
              <w:t>@CircuitBreaker</w:t>
            </w:r>
            <w:r>
              <w:rPr>
                <w:rFonts w:ascii="Arial" w:hAnsi="Arial"/>
                <w:b w:val="0"/>
                <w:color w:val="333333"/>
                <w:sz w:val="22"/>
              </w:rPr>
              <w:t xml:space="preserve"> — mesmo princípio, aplicado a decisões de agente em vez de chamadas HTTP</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Courier New" w:hAnsi="Courier New"/>
                <w:color w:val="333333"/>
                <w:sz w:val="20"/>
              </w:rPr>
              <w:t>sony/gobreaker</w:t>
            </w:r>
            <w:r>
              <w:rPr>
                <w:rFonts w:ascii="Arial" w:hAnsi="Arial"/>
                <w:b w:val="0"/>
                <w:color w:val="333333"/>
                <w:sz w:val="22"/>
              </w:rPr>
              <w:t xml:space="preserve"> (ou implementação própria com contador + </w:t>
            </w:r>
            <w:r>
              <w:rPr>
                <w:rFonts w:ascii="Courier New" w:hAnsi="Courier New"/>
                <w:color w:val="333333"/>
                <w:sz w:val="20"/>
              </w:rPr>
              <w:t>sync.Mutex</w:t>
            </w:r>
            <w:r>
              <w:rPr>
                <w:rFonts w:ascii="Arial" w:hAnsi="Arial"/>
                <w:b w:val="0"/>
                <w:color w:val="333333"/>
                <w:sz w:val="22"/>
              </w:rPr>
              <w:t>) protegendo a chamada que aciona a ação do agente</w:t>
            </w:r>
          </w:p>
        </w:tc>
      </w:tr>
      <w:tr>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Dry Run</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Courier New" w:hAnsi="Courier New"/>
                <w:color w:val="333333"/>
                <w:sz w:val="20"/>
              </w:rPr>
              <w:t>terraform plan</w:t>
            </w:r>
            <w:r>
              <w:rPr>
                <w:rFonts w:ascii="Arial" w:hAnsi="Arial"/>
                <w:b w:val="0"/>
                <w:color w:val="333333"/>
                <w:sz w:val="22"/>
              </w:rPr>
              <w:t xml:space="preserve"> ↔ </w:t>
            </w:r>
            <w:r>
              <w:rPr>
                <w:rFonts w:ascii="Courier New" w:hAnsi="Courier New"/>
                <w:color w:val="333333"/>
                <w:sz w:val="20"/>
              </w:rPr>
              <w:t>flyway validate</w:t>
            </w:r>
            <w:r>
              <w:rPr>
                <w:rFonts w:ascii="Arial" w:hAnsi="Arial"/>
                <w:b w:val="0"/>
                <w:color w:val="333333"/>
                <w:sz w:val="22"/>
              </w:rPr>
              <w:t xml:space="preserve"> antes de </w:t>
            </w:r>
            <w:r>
              <w:rPr>
                <w:rFonts w:ascii="Courier New" w:hAnsi="Courier New"/>
                <w:color w:val="333333"/>
                <w:sz w:val="20"/>
              </w:rPr>
              <w:t>flyway migrate</w:t>
            </w:r>
            <w:r>
              <w:rPr>
                <w:rFonts w:ascii="Arial" w:hAnsi="Arial"/>
                <w:b w:val="0"/>
                <w:color w:val="333333"/>
                <w:sz w:val="22"/>
              </w:rPr>
              <w:t xml:space="preserve"> — visualizar impacto antes de aplicar</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 xml:space="preserve">Mesmo princípio: função </w:t>
            </w:r>
            <w:r>
              <w:rPr>
                <w:rFonts w:ascii="Courier New" w:hAnsi="Courier New"/>
                <w:color w:val="333333"/>
                <w:sz w:val="20"/>
              </w:rPr>
              <w:t>Plan(ctx) (Diff, error)</w:t>
            </w:r>
            <w:r>
              <w:rPr>
                <w:rFonts w:ascii="Arial" w:hAnsi="Arial"/>
                <w:b w:val="0"/>
                <w:color w:val="333333"/>
                <w:sz w:val="22"/>
              </w:rPr>
              <w:t xml:space="preserve"> separada de </w:t>
            </w:r>
            <w:r>
              <w:rPr>
                <w:rFonts w:ascii="Courier New" w:hAnsi="Courier New"/>
                <w:color w:val="333333"/>
                <w:sz w:val="20"/>
              </w:rPr>
              <w:t>Apply(ctx, Diff) error</w:t>
            </w:r>
            <w:r>
              <w:rPr>
                <w:rFonts w:ascii="Arial" w:hAnsi="Arial"/>
                <w:b w:val="0"/>
                <w:color w:val="333333"/>
                <w:sz w:val="22"/>
              </w:rPr>
              <w:t xml:space="preserve"> — nunca uma função só que já aplica</w:t>
            </w:r>
          </w:p>
        </w:tc>
      </w:tr>
      <w:tr>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Agente manager orquestrando especialistas</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 xml:space="preserve">Um </w:t>
            </w:r>
            <w:r>
              <w:rPr>
                <w:rFonts w:ascii="Courier New" w:hAnsi="Courier New"/>
                <w:color w:val="333333"/>
                <w:sz w:val="20"/>
              </w:rPr>
              <w:t>@Service</w:t>
            </w:r>
            <w:r>
              <w:rPr>
                <w:rFonts w:ascii="Arial" w:hAnsi="Arial"/>
                <w:b w:val="0"/>
                <w:color w:val="333333"/>
                <w:sz w:val="22"/>
              </w:rPr>
              <w:t xml:space="preserve"> orquestrador chamando múltiplos </w:t>
            </w:r>
            <w:r>
              <w:rPr>
                <w:rFonts w:ascii="Courier New" w:hAnsi="Courier New"/>
                <w:color w:val="333333"/>
                <w:sz w:val="20"/>
              </w:rPr>
              <w:t>@Component</w:t>
            </w:r>
            <w:r>
              <w:rPr>
                <w:rFonts w:ascii="Arial" w:hAnsi="Arial"/>
                <w:b w:val="0"/>
                <w:color w:val="333333"/>
                <w:sz w:val="22"/>
              </w:rPr>
              <w:t xml:space="preserve"> especializados e agregando os resultados (padrão Facade)</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 xml:space="preserve">Uma função coordenadora chamando múltiplas </w:t>
            </w:r>
            <w:r>
              <w:rPr>
                <w:rFonts w:ascii="Courier New" w:hAnsi="Courier New"/>
                <w:color w:val="333333"/>
                <w:sz w:val="20"/>
              </w:rPr>
              <w:t>struct</w:t>
            </w:r>
            <w:r>
              <w:rPr>
                <w:rFonts w:ascii="Arial" w:hAnsi="Arial"/>
                <w:b w:val="0"/>
                <w:color w:val="333333"/>
                <w:sz w:val="22"/>
              </w:rPr>
              <w:t xml:space="preserve">s de agente via goroutines + </w:t>
            </w:r>
            <w:r>
              <w:rPr>
                <w:rFonts w:ascii="Courier New" w:hAnsi="Courier New"/>
                <w:color w:val="333333"/>
                <w:sz w:val="20"/>
              </w:rPr>
              <w:t>sync.WaitGroup</w:t>
            </w:r>
            <w:r>
              <w:rPr>
                <w:rFonts w:ascii="Arial" w:hAnsi="Arial"/>
                <w:b w:val="0"/>
                <w:color w:val="333333"/>
                <w:sz w:val="22"/>
              </w:rPr>
              <w:t>, agregando resultados por canal</w:t>
            </w:r>
          </w:p>
        </w:tc>
      </w:tr>
      <w:tr>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Danger.js no Pull Request</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Quality Gate do SonarQube integrado ao pipeline — bloqueia merge antes que o problema chegue a produção</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Courier New" w:hAnsi="Courier New"/>
                <w:color w:val="333333"/>
                <w:sz w:val="20"/>
              </w:rPr>
              <w:t>golangci-lint</w:t>
            </w:r>
            <w:r>
              <w:rPr>
                <w:rFonts w:ascii="Arial" w:hAnsi="Arial"/>
                <w:b w:val="0"/>
                <w:color w:val="333333"/>
                <w:sz w:val="22"/>
              </w:rPr>
              <w:t xml:space="preserve"> + regra customizada de CI (GitHub Actions) bloqueando merge antes do deploy</w:t>
            </w:r>
          </w:p>
        </w:tc>
      </w:tr>
    </w:tbl>
    <w:p>
      <w:pPr>
        <w:spacing w:after="80"/>
      </w:pPr>
    </w:p>
    <w:p>
      <w:pPr>
        <w:spacing w:before="120" w:after="120"/>
        <w:ind w:left="360" w:right="360"/>
        <w:shd w:val="clear" w:fill="F5F5F5"/>
        <w:pBdr>
          <w:left w:val="single" w:color="2E75B6" w:sz="4" w:space="10"/>
        </w:pBdr>
      </w:pPr>
      <w:r>
        <w:rPr>
          <w:rFonts w:ascii="Arial" w:hAnsi="Arial"/>
          <w:b w:val="0"/>
          <w:color w:val="333333"/>
          <w:sz w:val="22"/>
        </w:rPr>
        <w:t xml:space="preserve">💡 </w:t>
      </w:r>
      <w:r>
        <w:rPr>
          <w:rFonts w:ascii="Arial" w:hAnsi="Arial"/>
          <w:b/>
          <w:color w:val="333333"/>
          <w:sz w:val="22"/>
        </w:rPr>
        <w:t>Analogia arquitetural completa:</w:t>
      </w:r>
      <w:r>
        <w:rPr>
          <w:rFonts w:ascii="Arial" w:hAnsi="Arial"/>
          <w:b w:val="0"/>
          <w:color w:val="333333"/>
          <w:sz w:val="22"/>
        </w:rPr>
        <w:t xml:space="preserve"> o par arquiteto/auditor do módulo de IaC equivale, em Java, a um </w:t>
      </w:r>
      <w:r>
        <w:rPr>
          <w:rFonts w:ascii="Courier New" w:hAnsi="Courier New"/>
          <w:color w:val="333333"/>
          <w:sz w:val="20"/>
        </w:rPr>
        <w:t>@Service</w:t>
      </w:r>
      <w:r>
        <w:rPr>
          <w:rFonts w:ascii="Arial" w:hAnsi="Arial"/>
          <w:b w:val="0"/>
          <w:color w:val="333333"/>
          <w:sz w:val="22"/>
        </w:rPr>
        <w:t xml:space="preserve"> de escrita seguido por um </w:t>
      </w:r>
      <w:r>
        <w:rPr>
          <w:rFonts w:ascii="Courier New" w:hAnsi="Courier New"/>
          <w:color w:val="333333"/>
          <w:sz w:val="20"/>
        </w:rPr>
        <w:t>@Aspect</w:t>
      </w:r>
      <w:r>
        <w:rPr>
          <w:rFonts w:ascii="Arial" w:hAnsi="Arial"/>
          <w:b w:val="0"/>
          <w:color w:val="333333"/>
          <w:sz w:val="22"/>
        </w:rPr>
        <w:t xml:space="preserve"> de auditoria via AOP; em Go, a uma função </w:t>
      </w:r>
      <w:r>
        <w:rPr>
          <w:rFonts w:ascii="Courier New" w:hAnsi="Courier New"/>
          <w:color w:val="333333"/>
          <w:sz w:val="20"/>
        </w:rPr>
        <w:t>Generate()</w:t>
      </w:r>
      <w:r>
        <w:rPr>
          <w:rFonts w:ascii="Arial" w:hAnsi="Arial"/>
          <w:b w:val="0"/>
          <w:color w:val="333333"/>
          <w:sz w:val="22"/>
        </w:rPr>
        <w:t xml:space="preserve"> seguida por uma função </w:t>
      </w:r>
      <w:r>
        <w:rPr>
          <w:rFonts w:ascii="Courier New" w:hAnsi="Courier New"/>
          <w:color w:val="333333"/>
          <w:sz w:val="20"/>
        </w:rPr>
        <w:t>Audit()</w:t>
      </w:r>
      <w:r>
        <w:rPr>
          <w:rFonts w:ascii="Arial" w:hAnsi="Arial"/>
          <w:b w:val="0"/>
          <w:color w:val="333333"/>
          <w:sz w:val="22"/>
        </w:rPr>
        <w:t xml:space="preserve"> explicitamente chamada em sequência (Go não tem AOP nativo — a separação é feita por composição de funções, não por interceptação implícita). Em ambos os mundos, a lógica de negócio (gerar infraestrutura) fica separada da lógica de conformidade (validar contra política), permitindo evoluir uma sem tocar na outra.</w:t>
      </w:r>
    </w:p>
    <w:p>
      <w:pPr>
        <w:pStyle w:val="Heading2"/>
        <w:spacing w:before="360" w:after="160"/>
      </w:pPr>
      <w:r>
        <w:rPr>
          <w:rFonts w:ascii="Arial" w:hAnsi="Arial"/>
          <w:b/>
          <w:color w:val="2E74B5"/>
          <w:sz w:val="28"/>
        </w:rPr>
        <w:t>5. Escalabilidade e Produção</w:t>
      </w:r>
    </w:p>
    <w:p>
      <w:pPr>
        <w:pStyle w:val="Heading3"/>
        <w:spacing w:before="200" w:after="80"/>
      </w:pPr>
      <w:r>
        <w:rPr>
          <w:rFonts w:ascii="Arial" w:hAnsi="Arial"/>
          <w:b/>
          <w:color w:val="1F4D78"/>
          <w:sz w:val="24"/>
        </w:rPr>
        <w:t>Limitações do Approach Didático</w:t>
      </w:r>
    </w:p>
    <w:p>
      <w:pPr>
        <w:spacing w:after="160"/>
      </w:pPr>
      <w:r>
        <w:rPr>
          <w:rFonts w:ascii="Arial" w:hAnsi="Arial"/>
          <w:b w:val="0"/>
          <w:color w:val="333333"/>
          <w:sz w:val="22"/>
        </w:rPr>
        <w:t>Os laboratórios usam simulações propositais (Prometheus/Jaeger simulados, credencial de aprovação hardcoded no ChatOps, cluster local de um único nó) para manter o foco pedagógico nos agentes, não na infraestrutura de suporte. Em produção:</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shd w:val="clear" w:fill="D6E4F0"/>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color w:val="333333"/>
                <w:sz w:val="22"/>
              </w:rPr>
              <w:t>Simplificação didática</w:t>
            </w:r>
          </w:p>
        </w:tc>
        <w:tc>
          <w:tcPr>
            <w:tcW w:type="dxa" w:w="4320"/>
            <w:shd w:val="clear" w:fill="D6E4F0"/>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color w:val="333333"/>
                <w:sz w:val="22"/>
              </w:rPr>
              <w:t>Prática recomendada em produção</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Credencial de aprovação no código</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Cofre de segredos dedicado (Vault, AWS Secrets Manager)</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Base64 como "proteção" de Secret no K8s</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Criptografia real em repouso + rotação de credenciais</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Cluster local (Minikube)</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EKS/GKE/AKS com múltiplos nós e autoscaling real</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Um único modelo/temperatura fixa para tudo</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Modelo maior para raciocínio/planejamento, modelo menor e mais barato para execução repetitiva</w:t>
            </w:r>
          </w:p>
        </w:tc>
      </w:tr>
    </w:tbl>
    <w:p>
      <w:pPr>
        <w:spacing w:after="80"/>
      </w:pPr>
    </w:p>
    <w:p>
      <w:pPr>
        <w:pStyle w:val="Heading3"/>
        <w:spacing w:before="200" w:after="80"/>
      </w:pPr>
      <w:r>
        <w:rPr>
          <w:rFonts w:ascii="Arial" w:hAnsi="Arial"/>
          <w:b/>
          <w:color w:val="1F4D78"/>
          <w:sz w:val="24"/>
        </w:rPr>
        <w:t>Segurança em Produção</w:t>
      </w:r>
    </w:p>
    <w:p>
      <w:pPr>
        <w:spacing w:before="120" w:after="120"/>
        <w:ind w:left="360" w:right="360"/>
        <w:shd w:val="clear" w:fill="F5F5F5"/>
        <w:pBdr>
          <w:left w:val="single" w:color="2E75B6" w:sz="4" w:space="10"/>
        </w:pBdr>
      </w:pPr>
      <w:r>
        <w:rPr>
          <w:rFonts w:ascii="Arial" w:hAnsi="Arial"/>
          <w:b w:val="0"/>
          <w:color w:val="333333"/>
          <w:sz w:val="22"/>
        </w:rPr>
        <w:t xml:space="preserve">⚡ </w:t>
      </w:r>
      <w:r>
        <w:rPr>
          <w:rFonts w:ascii="Arial" w:hAnsi="Arial"/>
          <w:b/>
          <w:color w:val="333333"/>
          <w:sz w:val="22"/>
        </w:rPr>
        <w:t>Dica de produção:</w:t>
      </w:r>
      <w:r>
        <w:rPr>
          <w:rFonts w:ascii="Arial" w:hAnsi="Arial"/>
          <w:b w:val="0"/>
          <w:color w:val="333333"/>
          <w:sz w:val="22"/>
        </w:rPr>
        <w:t xml:space="preserve"> nenhum agente com acesso a ferramentas de infraestrutura deve operar sem rate limiting e sem trilha de auditoria (logs do CrewAI/equivalente). O incidente do GitLab (2017) citado no módulo — perda de dados por uma pessoa recém-chegada com acesso amplo demais — é o argumento central para tratar automação com o mesmo rigor de controle de acesso que se aplicaria a uma pessoa nova na equipe.</w:t>
      </w:r>
    </w:p>
    <w:p>
      <w:pPr>
        <w:pStyle w:val="Heading3"/>
        <w:spacing w:before="200" w:after="80"/>
      </w:pPr>
      <w:r>
        <w:rPr>
          <w:rFonts w:ascii="Arial" w:hAnsi="Arial"/>
          <w:b/>
          <w:color w:val="1F4D78"/>
          <w:sz w:val="24"/>
        </w:rPr>
        <w:t>Recomendações para Escalar</w:t>
      </w:r>
    </w:p>
    <w:p>
      <w:pPr>
        <w:pStyle w:val="ListBullet"/>
        <w:spacing w:after="80"/>
      </w:pPr>
      <w:r>
        <w:rPr>
          <w:rFonts w:ascii="Arial" w:hAnsi="Arial"/>
          <w:b w:val="0"/>
          <w:color w:val="333333"/>
          <w:sz w:val="22"/>
        </w:rPr>
        <w:t>Modelos locais (Ollama) fazem sentido quando privacidade, custo de token em alto volume ou conectividade instável são restrições reais — não como padrão default.</w:t>
      </w:r>
    </w:p>
    <w:p>
      <w:pPr>
        <w:pStyle w:val="ListBullet"/>
        <w:spacing w:after="80"/>
      </w:pPr>
      <w:r>
        <w:rPr>
          <w:rFonts w:ascii="Arial" w:hAnsi="Arial"/>
          <w:b w:val="0"/>
          <w:color w:val="333333"/>
          <w:sz w:val="22"/>
        </w:rPr>
        <w:t>Observabilidade preditiva (Isolation Forest/Prophet) exige histórico suficiente; em produtos novos, comece com alertas estáticos bem calibrados e evolua para preditivo conforme o volume de dados cresce.</w:t>
      </w:r>
    </w:p>
    <w:p>
      <w:pPr>
        <w:pStyle w:val="ListBullet"/>
        <w:spacing w:after="80"/>
      </w:pPr>
      <w:r>
        <w:rPr>
          <w:rFonts w:ascii="Arial" w:hAnsi="Arial"/>
          <w:b w:val="0"/>
          <w:color w:val="333333"/>
          <w:sz w:val="22"/>
        </w:rPr>
        <w:t>Orquestração multiagente (padrão manager) só compensa a complexidade adicional quando o domínio realmente se beneficia de investigação paralela e correlação entre especialidades — para um único domínio, um agente bem escopado é suficiente.</w:t>
      </w:r>
    </w:p>
    <w:p>
      <w:pPr>
        <w:pStyle w:val="Heading2"/>
        <w:spacing w:before="360" w:after="160"/>
      </w:pPr>
      <w:r>
        <w:rPr>
          <w:rFonts w:ascii="Arial" w:hAnsi="Arial"/>
          <w:b/>
          <w:color w:val="2E74B5"/>
          <w:sz w:val="28"/>
        </w:rPr>
        <w:t>6. Conexões entre Módulos</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shd w:val="clear" w:fill="D6E4F0"/>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color w:val="333333"/>
                <w:sz w:val="22"/>
              </w:rPr>
              <w:t>Módulo do curso</w:t>
            </w:r>
          </w:p>
        </w:tc>
        <w:tc>
          <w:tcPr>
            <w:tcW w:type="dxa" w:w="4320"/>
            <w:shd w:val="clear" w:fill="D6E4F0"/>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color w:val="333333"/>
                <w:sz w:val="22"/>
              </w:rPr>
              <w:t>Como se conecta com Ferramentas de IA para DevOps</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Fundamentos de IA e LLMs</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Base de tokens, prompt engineering e limitações (alucinação) reaparecem constantemente como fundamento de todo guardrail do módulo</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APIs de IA Generativa e Prompt Engineering</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Roteamento multi-modelo, RAG e agentes com ferramentas são a mesma arquitetura aplicada aqui a operações em vez de produto</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Model Context Protocol (MCP)</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MCPs de ferramentas (ex.: consulta a runbooks, ferramentas de scanner) seguem o mesmo padrão de exposição de tools ao agente</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Criação de Agentes Autônomos</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Agent Loop, guardrails, Human in the Loop, memória e Tool Selection são os mesmos conceitos aplicados aqui ao domínio de infraestrutura/operações</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Ferramentas de IA para Gestão de Projetos</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AIOps de projeto (Lead Time, Cycle Time) espelha diretamente o AIOps de infraestrutura deste módulo — mesma lógica de observabilidade aplicada a fluxo de trabalho em vez de sistemas</w:t>
            </w:r>
          </w:p>
        </w:tc>
      </w:tr>
    </w:tbl>
    <w:p>
      <w:pPr>
        <w:spacing w:after="80"/>
      </w:pPr>
    </w:p>
    <w:p>
      <w:pPr>
        <w:pStyle w:val="Heading3"/>
        <w:spacing w:before="200" w:after="80"/>
      </w:pPr>
      <w:r>
        <w:rPr>
          <w:rFonts w:ascii="Arial" w:hAnsi="Arial"/>
          <w:b/>
          <w:color w:val="1F4D78"/>
          <w:sz w:val="24"/>
        </w:rPr>
        <w:t>Glossário do Módulo</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shd w:val="clear" w:fill="D6E4F0"/>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color w:val="333333"/>
                <w:sz w:val="22"/>
              </w:rPr>
              <w:t>Termo</w:t>
            </w:r>
          </w:p>
        </w:tc>
        <w:tc>
          <w:tcPr>
            <w:tcW w:type="dxa" w:w="4320"/>
            <w:shd w:val="clear" w:fill="D6E4F0"/>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color w:val="333333"/>
                <w:sz w:val="22"/>
              </w:rPr>
              <w:t>Definição</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ReAct</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Framework de raciocínio em ciclo Pensar → Agir → Observar, usado no agente de troubleshooting</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MTTR</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Mean Time To Repair/Recovery — tempo médio para restaurar um serviço após incidente</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NL2Q</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Natural Language to Query — tradução de linguagem natural para PromQL/LogQL</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Fadiga de Alertas</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Excesso de notificações de baixa relevância que leva a equipe a ignorar alertas, inclusive os importantes</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Checkov</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Ferramenta de análise estática de Infraestrutura como Código, focada em vulnerabilidades técnicas conhecidas</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Open Policy Agent (OPA)</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Motor de políticas que valida regras de negócio/governança específicas da organização</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Drift Detection</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Identificação de divergência entre o estado real da infraestrutura e o que está descrito no código</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Compliance as Code</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Transformação de checklists de conformidade em verificações automatizadas no pipeline</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CVE-2024-3094</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Vulnerabilidade (backdoor) associada ao ataque à cadeia de suprimentos do XZ Utils, usada como exemplo de priorização real</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Isolation Forest</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Algoritmo de detecção de anomalias usado em observabilidade preditiva</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Right Sizing</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Prática de FinOps de ajustar o tamanho de um recurso à demanda real observada</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Recursos Zumbis</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Componentes de infraestrutura ativos e gerando custo sem entregar valor operacional</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Human in the Loop</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Princípio de exigir validação humana explícita antes de ações críticas</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Dry Run</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Execução simulada que mostra o efeito de uma mudança sem aplicá-la de fato</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Canary Deployment / Canary Rollback</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Liberação gradual de uma versão nova; reversão automática se as métricas piorarem</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Circuit Breaker Operacional</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Mecanismo que interrompe automação após falhas consecutivas, evitando dano em cascata</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Agente Manager</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Agente coordenador que distribui tarefas entre especialistas e consolida resultados</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Game Day</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Simulação controlada de incidente(s) para testar processos, ferramentas e equipe</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LocalStack</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Ferramenta que simula localmente serviços de nuvem (S3, SQS, IAM) compatíveis com AWS</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Ollama</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Plataforma para executar modelos de linguagem localmente, sem dependência de API externa</w:t>
            </w:r>
          </w:p>
        </w:tc>
      </w:tr>
      <w:tr>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AI-Ops Enterprise</w:t>
            </w:r>
          </w:p>
        </w:tc>
        <w:tc>
          <w:tcPr>
            <w:tcW w:type="dxa" w:w="432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Trilha do módulo que leva os agentes de scripts locais a um cluster Kubernetes completo</w:t>
            </w:r>
          </w:p>
        </w:tc>
      </w:tr>
    </w:tbl>
    <w:p>
      <w:pPr>
        <w:spacing w:after="80"/>
      </w:pPr>
    </w:p>
    <w:p>
      <w:pPr>
        <w:spacing w:after="160"/>
      </w:pPr>
      <w:r>
        <w:rPr>
          <w:rFonts w:ascii="Arial" w:hAnsi="Arial"/>
          <w:b w:val="0"/>
          <w:color w:val="333333"/>
          <w:sz w:val="22"/>
        </w:rPr>
        <w:t>Resumo unificado: livro + laboratórios práticos</w:t>
      </w:r>
    </w:p>
    <w:p>
      <w:pPr>
        <w:spacing w:after="160"/>
      </w:pPr>
      <w:r>
        <w:rPr>
          <w:rFonts w:ascii="Arial" w:hAnsi="Arial"/>
          <w:b w:val="0"/>
          <w:color w:val="333333"/>
          <w:sz w:val="22"/>
        </w:rPr>
        <w:t>Camila Martins • UNIPDS • Rafael Mattos Moreira •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