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E74B5"/>
          <w:sz w:val="40"/>
        </w:rPr>
        <w:t>Ferramentas de IA para Gestão de Projetos — Explicação Detalhada</w:t>
      </w:r>
    </w:p>
    <w:p>
      <w:pPr>
        <w:spacing w:after="40"/>
      </w:pPr>
      <w:r>
        <w:rPr>
          <w:rFonts w:ascii="Arial" w:hAnsi="Arial"/>
          <w:b/>
          <w:color w:val="2E74B5"/>
          <w:sz w:val="24"/>
        </w:rPr>
        <w:t>Pós-Graduação em Engenharia de Software com IA Aplicada — UNIPDS</w:t>
      </w:r>
    </w:p>
    <w:p>
      <w:pPr>
        <w:spacing w:after="40"/>
      </w:pPr>
      <w:r>
        <w:rPr>
          <w:rFonts w:ascii="Arial" w:hAnsi="Arial"/>
          <w:i/>
          <w:color w:val="555555"/>
          <w:sz w:val="20"/>
        </w:rPr>
        <w:t>Ahirton Lopes · Rafael Mattos Moreira · 2026</w:t>
      </w:r>
    </w:p>
    <w:p>
      <w:pPr>
        <w:spacing w:after="120"/>
      </w:pPr>
    </w:p>
    <w:p>
      <w:pPr>
        <w:pStyle w:val="Heading2"/>
        <w:spacing w:before="360" w:after="160"/>
      </w:pPr>
      <w:r>
        <w:rPr>
          <w:rFonts w:ascii="Arial" w:hAnsi="Arial"/>
          <w:b/>
          <w:color w:val="2E74B5"/>
          <w:sz w:val="28"/>
        </w:rPr>
        <w:t>Módulo 1: Planejamento e Escopo com IA (Requirements Copilot)</w:t>
      </w:r>
    </w:p>
    <w:p>
      <w:pPr>
        <w:pStyle w:val="Heading3"/>
        <w:spacing w:before="200" w:after="80"/>
      </w:pPr>
      <w:r>
        <w:rPr>
          <w:rFonts w:ascii="Arial" w:hAnsi="Arial"/>
          <w:b/>
          <w:color w:val="1F4D78"/>
          <w:sz w:val="24"/>
        </w:rPr>
        <w:t>Capítulo 1: O Gargalo Real da Engenharia de Requisitos</w:t>
      </w:r>
    </w:p>
    <w:p>
      <w:pPr>
        <w:spacing w:after="160"/>
      </w:pPr>
      <w:r>
        <w:rPr>
          <w:rFonts w:ascii="Arial" w:hAnsi="Arial"/>
          <w:b w:val="0"/>
          <w:color w:val="333333"/>
          <w:sz w:val="22"/>
        </w:rPr>
        <w:t xml:space="preserve">A aula abre situando um problema que antecede qualquer tecnologia: transformar uma conversa de discovery em requisito suficientemente claro para orientar desenvolvimento continua sendo o verdadeiro gargalo, mesmo depois de décadas de evolução metodológica (Agile, SAFe, PMBOK). O estudo de caso é apresentado — </w:t>
      </w:r>
      <w:r>
        <w:rPr>
          <w:rFonts w:ascii="Arial" w:hAnsi="Arial"/>
          <w:b/>
          <w:color w:val="333333"/>
          <w:sz w:val="22"/>
        </w:rPr>
        <w:t>Conecta Cargas</w:t>
      </w:r>
      <w:r>
        <w:rPr>
          <w:rFonts w:ascii="Arial" w:hAnsi="Arial"/>
          <w:b w:val="0"/>
          <w:color w:val="333333"/>
          <w:sz w:val="22"/>
        </w:rPr>
        <w:t xml:space="preserve">, transportadora com ~140 veículos, migrando de um sistema tradicional de gestão de frota para uma plataforma inteligente, conduzida por </w:t>
      </w:r>
      <w:r>
        <w:rPr>
          <w:rFonts w:ascii="Arial" w:hAnsi="Arial"/>
          <w:b/>
          <w:color w:val="333333"/>
          <w:sz w:val="22"/>
        </w:rPr>
        <w:t>Carlos</w:t>
      </w:r>
      <w:r>
        <w:rPr>
          <w:rFonts w:ascii="Arial" w:hAnsi="Arial"/>
          <w:b w:val="0"/>
          <w:color w:val="333333"/>
          <w:sz w:val="22"/>
        </w:rPr>
        <w:t>, diretor de operações.</w:t>
      </w:r>
    </w:p>
    <w:p>
      <w:pPr>
        <w:spacing w:after="160"/>
      </w:pPr>
      <w:r>
        <w:rPr>
          <w:rFonts w:ascii="Arial" w:hAnsi="Arial"/>
          <w:b w:val="0"/>
          <w:color w:val="333333"/>
          <w:sz w:val="22"/>
        </w:rPr>
        <w:t>O problema clássico é ilustrado de forma direta: uma reunião de discovery termina com aparente consenso, mas dias depois cada participante descreve uma solução diferente para o mesmo problema — cada pessoa interpreta a conversa a partir da própria experiência e responsabilidade. Em sistemas com IA embarcada, esse risco se agrava: um requisito mal definido não gera apenas uma funcionalidade errada, pode fazer o próprio sistema tomar decisões nunca autorizadas pelo negócio.</w:t>
      </w:r>
    </w:p>
    <w:p>
      <w:pPr>
        <w:spacing w:after="160"/>
      </w:pPr>
      <w:r>
        <w:rPr>
          <w:rFonts w:ascii="Arial" w:hAnsi="Arial"/>
          <w:b w:val="0"/>
          <w:color w:val="333333"/>
          <w:sz w:val="22"/>
        </w:rPr>
        <w:t xml:space="preserve">O </w:t>
      </w:r>
      <w:r>
        <w:rPr>
          <w:rFonts w:ascii="Arial" w:hAnsi="Arial"/>
          <w:b/>
          <w:color w:val="333333"/>
          <w:sz w:val="22"/>
        </w:rPr>
        <w:t>Requirements Copilot</w:t>
      </w:r>
      <w:r>
        <w:rPr>
          <w:rFonts w:ascii="Arial" w:hAnsi="Arial"/>
          <w:b w:val="0"/>
          <w:color w:val="333333"/>
          <w:sz w:val="22"/>
        </w:rPr>
        <w:t xml:space="preserve"> nasce dessa dor. Não é uma nova ferramenta nem substitui o analista de negócios — utiliza LLMs configuradas por um System Prompt para executar a parte mecânica da engenharia de requisitos, liberando o especialista para as decisões que realmente exigem julgamento. Três características fundamentais orientam o design: capacidade de trabalhar em escala (processar transcrições completas, não documentos pré-organizados), rastreabilidade (cada requisito com responsável e critério de aceite claro) e curadoria (o modelo continua sujeito a erro e inferência excessiva — a correção precisa alimentar melhoria contínua do próprio prompt).</w:t>
      </w:r>
    </w:p>
    <w:p>
      <w:pPr>
        <w:pStyle w:val="Heading3"/>
        <w:spacing w:before="200" w:after="80"/>
      </w:pPr>
      <w:r>
        <w:rPr>
          <w:rFonts w:ascii="Arial" w:hAnsi="Arial"/>
          <w:b/>
          <w:color w:val="1F4D78"/>
          <w:sz w:val="24"/>
        </w:rPr>
        <w:t>Capítulo 2: O System Prompt como Contrato de Comportamento</w:t>
      </w:r>
    </w:p>
    <w:p>
      <w:pPr>
        <w:spacing w:after="160"/>
      </w:pPr>
      <w:r>
        <w:rPr>
          <w:rFonts w:ascii="Arial" w:hAnsi="Arial"/>
          <w:b w:val="0"/>
          <w:color w:val="333333"/>
          <w:sz w:val="22"/>
        </w:rPr>
        <w:t>O capítulo detalha a arquitetura do prompt, comparando seu papel ao de um MCP Server — assim como um servidor MCP restringe quais ferramentas um agente pode usar, o System Prompt restringe como o modelo interpreta linguagem natural e produz requisitos. O objetivo não é ampliar criatividade, é reduzir variabilidade.</w:t>
      </w:r>
    </w:p>
    <w:p>
      <w:pPr>
        <w:spacing w:after="160"/>
      </w:pPr>
      <w:r>
        <w:rPr>
          <w:rFonts w:ascii="Arial" w:hAnsi="Arial"/>
          <w:b w:val="0"/>
          <w:color w:val="333333"/>
          <w:sz w:val="22"/>
        </w:rPr>
        <w:t xml:space="preserve">O modelo é definido explicitamente como </w:t>
      </w:r>
      <w:r>
        <w:rPr>
          <w:rFonts w:ascii="Arial" w:hAnsi="Arial"/>
          <w:b/>
          <w:color w:val="333333"/>
          <w:sz w:val="22"/>
        </w:rPr>
        <w:t>copiloto</w:t>
      </w:r>
      <w:r>
        <w:rPr>
          <w:rFonts w:ascii="Arial" w:hAnsi="Arial"/>
          <w:b w:val="0"/>
          <w:color w:val="333333"/>
          <w:sz w:val="22"/>
        </w:rPr>
        <w:t>, não assistente — distinção que muda a postura do sistema: o analista continua responsável pelo resultado final, o modelo entrega um rascunho estruturado sujeito a revisão. Regras técnicas específicas moldam a saída: papéis de User Story sempre associados a um ator específico do negócio (gestor de frota, operador de despacho — nunca "usuário" genérico, que mascara necessidades completamente diferentes entre perfis); critérios INVEST aplicados automaticamente como filtro de qualidade; critérios de aceite em Gherkin proibindo termos subjetivos como "corretamente" ou "rapidamente" (impossíveis de transformar em teste automatizado).</w:t>
      </w:r>
    </w:p>
    <w:p>
      <w:pPr>
        <w:spacing w:after="160"/>
      </w:pPr>
      <w:r>
        <w:rPr>
          <w:rFonts w:ascii="Arial" w:hAnsi="Arial"/>
          <w:b w:val="0"/>
          <w:color w:val="333333"/>
          <w:sz w:val="22"/>
        </w:rPr>
        <w:t xml:space="preserve">O </w:t>
      </w:r>
      <w:r>
        <w:rPr>
          <w:rFonts w:ascii="Arial" w:hAnsi="Arial"/>
          <w:b/>
          <w:color w:val="333333"/>
          <w:sz w:val="22"/>
        </w:rPr>
        <w:t>protocolo de ambiguidade</w:t>
      </w:r>
      <w:r>
        <w:rPr>
          <w:rFonts w:ascii="Arial" w:hAnsi="Arial"/>
          <w:b w:val="0"/>
          <w:color w:val="333333"/>
          <w:sz w:val="22"/>
        </w:rPr>
        <w:t xml:space="preserve"> é o coração técnico do capítulo. Modelos de linguagem têm viés de completude — tendem a preencher lacunas com padrões estatísticos aprendidos no treinamento. Em conversa comum isso é útil; em requisitos de sistema é perigoso: se o cliente diz apenas "responder em tempo real", o modelo pode inventar "200 milissegundos" e apresentar isso como se fosse um requisito aprovado pelo cliente — quando na verdade é uma alucinação com aparência de precisão técnica.</w:t>
      </w:r>
    </w:p>
    <w:p>
      <w:pPr>
        <w:spacing w:after="160"/>
      </w:pPr>
      <w:r>
        <w:rPr>
          <w:rFonts w:ascii="Arial" w:hAnsi="Arial"/>
          <w:b w:val="0"/>
          <w:color w:val="333333"/>
          <w:sz w:val="22"/>
        </w:rPr>
        <w:t xml:space="preserve">Com o protocolo ativo, o modelo produz um </w:t>
      </w:r>
      <w:r>
        <w:rPr>
          <w:rFonts w:ascii="Arial" w:hAnsi="Arial"/>
          <w:b/>
          <w:color w:val="333333"/>
          <w:sz w:val="22"/>
        </w:rPr>
        <w:t>mapa de domínios de negócio</w:t>
      </w:r>
      <w:r>
        <w:rPr>
          <w:rFonts w:ascii="Arial" w:hAnsi="Arial"/>
          <w:b w:val="0"/>
          <w:color w:val="333333"/>
          <w:sz w:val="22"/>
        </w:rPr>
        <w:t xml:space="preserve"> com nível de confiança por área — não uma medida da qualidade do modelo, mas da qualidade da própria conversa de discovery, servindo como roteiro objetivo para as próximas entrevistas. As User Stories preservam a linguagem original do stakeholder (papéis exatamente como mencionados na reunião), e ambiguidades viram perguntas registradas explicitamente em vez de completadas silenciosamente. Cenários Gherkin também capturam </w:t>
      </w:r>
      <w:r>
        <w:rPr>
          <w:rFonts w:ascii="Arial" w:hAnsi="Arial"/>
          <w:b/>
          <w:color w:val="333333"/>
          <w:sz w:val="22"/>
        </w:rPr>
        <w:t>edge cases</w:t>
      </w:r>
      <w:r>
        <w:rPr>
          <w:rFonts w:ascii="Arial" w:hAnsi="Arial"/>
          <w:b w:val="0"/>
          <w:color w:val="333333"/>
          <w:sz w:val="22"/>
        </w:rPr>
        <w:t xml:space="preserve"> mencionados casualmente na conversa (como escalonamento de alerta quando um operador não responde) transformando-os em critérios de aceite formais.</w:t>
      </w:r>
    </w:p>
    <w:p>
      <w:pPr>
        <w:pStyle w:val="Heading3"/>
        <w:spacing w:before="200" w:after="80"/>
      </w:pPr>
      <w:r>
        <w:rPr>
          <w:rFonts w:ascii="Arial" w:hAnsi="Arial"/>
          <w:b/>
          <w:color w:val="1F4D78"/>
          <w:sz w:val="24"/>
        </w:rPr>
        <w:t>Capítulo 3: Curadoria Técnica — Padrões de Erro Reconhecíveis</w:t>
      </w:r>
    </w:p>
    <w:p>
      <w:pPr>
        <w:spacing w:after="160"/>
      </w:pPr>
      <w:r>
        <w:rPr>
          <w:rFonts w:ascii="Arial" w:hAnsi="Arial"/>
          <w:b w:val="0"/>
          <w:color w:val="333333"/>
          <w:sz w:val="22"/>
        </w:rPr>
        <w:t>O capítulo final do módulo trata da etapa mais crítica: revisão antes de qualquer artefato entrar no backlog. A qualidade visual do output (bem formatado, aparentemente completo) não garante fidelidade ao que foi realmente solicitado — essa é uma das "armadilhas mais comuns" citadas no material.</w:t>
      </w:r>
    </w:p>
    <w:p>
      <w:pPr>
        <w:spacing w:after="160"/>
      </w:pPr>
      <w:r>
        <w:rPr>
          <w:rFonts w:ascii="Arial" w:hAnsi="Arial"/>
          <w:b w:val="0"/>
          <w:color w:val="333333"/>
          <w:sz w:val="22"/>
        </w:rPr>
        <w:t xml:space="preserve">Quatro padrões recorrentes de erro são detalhados: </w:t>
      </w:r>
      <w:r>
        <w:rPr>
          <w:rFonts w:ascii="Arial" w:hAnsi="Arial"/>
          <w:b/>
          <w:color w:val="333333"/>
          <w:sz w:val="22"/>
        </w:rPr>
        <w:t>especificações inventadas</w:t>
      </w:r>
      <w:r>
        <w:rPr>
          <w:rFonts w:ascii="Arial" w:hAnsi="Arial"/>
          <w:b w:val="0"/>
          <w:color w:val="333333"/>
          <w:sz w:val="22"/>
        </w:rPr>
        <w:t xml:space="preserve"> (transformar algo genérico em número específico sem evidência — "rapidamente" virando "200ms"); </w:t>
      </w:r>
      <w:r>
        <w:rPr>
          <w:rFonts w:ascii="Arial" w:hAnsi="Arial"/>
          <w:b/>
          <w:color w:val="333333"/>
          <w:sz w:val="22"/>
        </w:rPr>
        <w:t>dependências não mapeadas</w:t>
      </w:r>
      <w:r>
        <w:rPr>
          <w:rFonts w:ascii="Arial" w:hAnsi="Arial"/>
          <w:b w:val="0"/>
          <w:color w:val="333333"/>
          <w:sz w:val="22"/>
        </w:rPr>
        <w:t xml:space="preserve"> (o modelo propõe integrações plausíveis, mas que podem não existir tecnicamente); </w:t>
      </w:r>
      <w:r>
        <w:rPr>
          <w:rFonts w:ascii="Arial" w:hAnsi="Arial"/>
          <w:b/>
          <w:color w:val="333333"/>
          <w:sz w:val="22"/>
        </w:rPr>
        <w:t>viabilidade técnica silenciosa</w:t>
      </w:r>
      <w:r>
        <w:rPr>
          <w:rFonts w:ascii="Arial" w:hAnsi="Arial"/>
          <w:b w:val="0"/>
          <w:color w:val="333333"/>
          <w:sz w:val="22"/>
        </w:rPr>
        <w:t xml:space="preserve"> (sugerir solução sofisticada — ex.: machine learning para detecção de anomalias — sem conhecer se há dados históricos, infraestrutura ou orçamento suficientes); e </w:t>
      </w:r>
      <w:r>
        <w:rPr>
          <w:rFonts w:ascii="Arial" w:hAnsi="Arial"/>
          <w:b/>
          <w:color w:val="333333"/>
          <w:sz w:val="22"/>
        </w:rPr>
        <w:t>gold plating</w:t>
      </w:r>
      <w:r>
        <w:rPr>
          <w:rFonts w:ascii="Arial" w:hAnsi="Arial"/>
          <w:b w:val="0"/>
          <w:color w:val="333333"/>
          <w:sz w:val="22"/>
        </w:rPr>
        <w:t xml:space="preserve"> (ampliar o escopo original com funcionalidades "que parecem úteis" mas nunca foram pedidas).</w:t>
      </w:r>
    </w:p>
    <w:p>
      <w:pPr>
        <w:spacing w:after="160"/>
      </w:pPr>
      <w:r>
        <w:rPr>
          <w:rFonts w:ascii="Arial" w:hAnsi="Arial"/>
          <w:b w:val="0"/>
          <w:color w:val="333333"/>
          <w:sz w:val="22"/>
        </w:rPr>
        <w:t xml:space="preserve">A recomendação prática para mitigar isso: rastrear cada elemento do critério de aceite até um trecho específico da transcrição original — se não há correspondência localizável, trata-se como hipótese a validar, não fato consolidado. O capítulo também propõe manter um </w:t>
      </w:r>
      <w:r>
        <w:rPr>
          <w:rFonts w:ascii="Arial" w:hAnsi="Arial"/>
          <w:b/>
          <w:color w:val="333333"/>
          <w:sz w:val="22"/>
        </w:rPr>
        <w:t>log de curadoria</w:t>
      </w:r>
      <w:r>
        <w:rPr>
          <w:rFonts w:ascii="Arial" w:hAnsi="Arial"/>
          <w:b w:val="0"/>
          <w:color w:val="333333"/>
          <w:sz w:val="22"/>
        </w:rPr>
        <w:t xml:space="preserve"> registrando cada correção aplicada e seu motivo — não apenas para resolver o problema imediato, mas para alimentar evolução contínua do próprio System Prompt (se muitas correções apontam para especificações inventadas, o protocolo de ambiguidade precisa ficar mais restritivo).</w:t>
      </w:r>
    </w:p>
    <w:p>
      <w:pPr>
        <w:spacing w:after="160"/>
      </w:pPr>
      <w:r>
        <w:rPr>
          <w:rFonts w:ascii="Arial" w:hAnsi="Arial"/>
          <w:b w:val="0"/>
          <w:color w:val="333333"/>
          <w:sz w:val="22"/>
        </w:rPr>
        <w:t>Por fim, o capítulo reconhece limites que nenhum modelo supera sozinho: contratos, SLAs com fornecedores, restrições de hardware, decisões arquiteturais tomadas fora da reunião — todo esse contexto permanece concentrado na experiência dos profissionais envolvidos, mantendo a curadoria humana como etapa indispensável, não uma formalidade.</w:t>
      </w:r>
    </w:p>
    <w:p>
      <w:pPr>
        <w:pStyle w:val="Heading2"/>
        <w:spacing w:before="360" w:after="160"/>
      </w:pPr>
      <w:r>
        <w:rPr>
          <w:rFonts w:ascii="Arial" w:hAnsi="Arial"/>
          <w:b/>
          <w:color w:val="2E74B5"/>
          <w:sz w:val="28"/>
        </w:rPr>
        <w:t>Módulo 2: Priorização Inteligente de Backlog</w:t>
      </w:r>
    </w:p>
    <w:p>
      <w:pPr>
        <w:pStyle w:val="Heading3"/>
        <w:spacing w:before="200" w:after="80"/>
      </w:pPr>
      <w:r>
        <w:rPr>
          <w:rFonts w:ascii="Arial" w:hAnsi="Arial"/>
          <w:b/>
          <w:color w:val="1F4D78"/>
          <w:sz w:val="24"/>
        </w:rPr>
        <w:t>Capítulo 1: HIPPO e a Necessidade de Critério Objetivo</w:t>
      </w:r>
    </w:p>
    <w:p>
      <w:pPr>
        <w:spacing w:after="160"/>
      </w:pPr>
      <w:r>
        <w:rPr>
          <w:rFonts w:ascii="Arial" w:hAnsi="Arial"/>
          <w:b w:val="0"/>
          <w:color w:val="333333"/>
          <w:sz w:val="22"/>
        </w:rPr>
        <w:t xml:space="preserve">O capítulo abre com um comportamento organizacional muito comum: diferentes stakeholders defendendo que suas próprias demandas são prioritárias, com a decisão final costumando refletir influência hierárquica em vez de dados — fenômeno batizado de </w:t>
      </w:r>
      <w:r>
        <w:rPr>
          <w:rFonts w:ascii="Arial" w:hAnsi="Arial"/>
          <w:b/>
          <w:color w:val="333333"/>
          <w:sz w:val="22"/>
        </w:rPr>
        <w:t>HIPPO</w:t>
      </w:r>
      <w:r>
        <w:rPr>
          <w:rFonts w:ascii="Arial" w:hAnsi="Arial"/>
          <w:b w:val="0"/>
          <w:color w:val="333333"/>
          <w:sz w:val="22"/>
        </w:rPr>
        <w:t xml:space="preserve"> (Highest Paid Person's Opinion). O ponto importante é que isso raramente decorre de má intenção — os gestores frequentemente têm profundo conhecimento de negócio, mas falta um framework compartilhado para transformar percepção em critério objetivo.</w:t>
      </w:r>
    </w:p>
    <w:p>
      <w:pPr>
        <w:spacing w:after="160"/>
      </w:pPr>
      <w:r>
        <w:rPr>
          <w:rFonts w:ascii="Arial" w:hAnsi="Arial"/>
          <w:b w:val="0"/>
          <w:color w:val="333333"/>
          <w:sz w:val="22"/>
        </w:rPr>
        <w:t xml:space="preserve">Dois frameworks complementares são apresentados. O </w:t>
      </w:r>
      <w:r>
        <w:rPr>
          <w:rFonts w:ascii="Arial" w:hAnsi="Arial"/>
          <w:b/>
          <w:color w:val="333333"/>
          <w:sz w:val="22"/>
        </w:rPr>
        <w:t>RICE Score</w:t>
      </w:r>
      <w:r>
        <w:rPr>
          <w:rFonts w:ascii="Arial" w:hAnsi="Arial"/>
          <w:b w:val="0"/>
          <w:color w:val="333333"/>
          <w:sz w:val="22"/>
        </w:rPr>
        <w:t xml:space="preserve"> (Reach, Impact, Confidence, Effort) estima retorno potencial versus esforço: Reach mede pessoas/processos efetivamente impactados (não a base total de usuários — uma feature de nicho não deve competir com uma feature de alcance amplo usando a mesma régua), Impact usa escala padronizada para reduzir subjetividade entre equipes, Confidence reflete a qualidade da evidência disponível, e Effort considera esforço total, não apenas estimativa individual de um desenvolvedor.</w:t>
      </w:r>
    </w:p>
    <w:p>
      <w:pPr>
        <w:spacing w:after="160"/>
      </w:pPr>
      <w:r>
        <w:rPr>
          <w:rFonts w:ascii="Arial" w:hAnsi="Arial"/>
          <w:b w:val="0"/>
          <w:color w:val="333333"/>
          <w:sz w:val="22"/>
        </w:rPr>
        <w:t xml:space="preserve">O </w:t>
      </w:r>
      <w:r>
        <w:rPr>
          <w:rFonts w:ascii="Arial" w:hAnsi="Arial"/>
          <w:b/>
          <w:color w:val="333333"/>
          <w:sz w:val="22"/>
        </w:rPr>
        <w:t>WSJF</w:t>
      </w:r>
      <w:r>
        <w:rPr>
          <w:rFonts w:ascii="Arial" w:hAnsi="Arial"/>
          <w:b w:val="0"/>
          <w:color w:val="333333"/>
          <w:sz w:val="22"/>
        </w:rPr>
        <w:t xml:space="preserve"> (Weighted Shortest Job First) responde a uma pergunta diferente: não "o que gera mais valor", mas "o que não pode esperar", via o conceito de </w:t>
      </w:r>
      <w:r>
        <w:rPr>
          <w:rFonts w:ascii="Arial" w:hAnsi="Arial"/>
          <w:b/>
          <w:color w:val="333333"/>
          <w:sz w:val="22"/>
        </w:rPr>
        <w:t>Cost of Delay</w:t>
      </w:r>
      <w:r>
        <w:rPr>
          <w:rFonts w:ascii="Arial" w:hAnsi="Arial"/>
          <w:b w:val="0"/>
          <w:color w:val="333333"/>
          <w:sz w:val="22"/>
        </w:rPr>
        <w:t xml:space="preserve"> — composto por valor de negócio, criticidade temporal (prazo regulatório, janela de mercado) e redução de risco/criação de oportunidade. O exemplo do módulo (feature de monitoramento de carga refrigerada) demonstra a diferença prática: baixo Reach faz o RICE não priorizá-la, mas o prazo regulatório associado ao transporte de produtos sob fiscalização sanitária eleva seu Cost of Delay, mudando completamente sua posição no WSJF.</w:t>
      </w:r>
    </w:p>
    <w:p>
      <w:pPr>
        <w:spacing w:after="160"/>
      </w:pPr>
      <w:r>
        <w:rPr>
          <w:rFonts w:ascii="Arial" w:hAnsi="Arial"/>
          <w:b w:val="0"/>
          <w:color w:val="333333"/>
          <w:sz w:val="22"/>
        </w:rPr>
        <w:t xml:space="preserve">O </w:t>
      </w:r>
      <w:r>
        <w:rPr>
          <w:rFonts w:ascii="Arial" w:hAnsi="Arial"/>
          <w:b/>
          <w:color w:val="333333"/>
          <w:sz w:val="22"/>
        </w:rPr>
        <w:t>MoSCoW</w:t>
      </w:r>
      <w:r>
        <w:rPr>
          <w:rFonts w:ascii="Arial" w:hAnsi="Arial"/>
          <w:b w:val="0"/>
          <w:color w:val="333333"/>
          <w:sz w:val="22"/>
        </w:rPr>
        <w:t xml:space="preserve"> (Must/Should/Could/Won't Have) entra como filtro anterior aos cálculos quantitativos — eliminando o que sequer disputa prioridade naquele ciclo, para que RICE e WSJF sejam aplicados apenas aos itens realmente candidatos.</w:t>
      </w:r>
    </w:p>
    <w:p>
      <w:pPr>
        <w:pStyle w:val="Heading3"/>
        <w:spacing w:before="200" w:after="80"/>
      </w:pPr>
      <w:r>
        <w:rPr>
          <w:rFonts w:ascii="Arial" w:hAnsi="Arial"/>
          <w:b/>
          <w:color w:val="1F4D78"/>
          <w:sz w:val="24"/>
        </w:rPr>
        <w:t>Capítulo 2: Backlog Scorer em Ação — RouteWise</w:t>
      </w:r>
    </w:p>
    <w:p>
      <w:pPr>
        <w:spacing w:after="160"/>
      </w:pPr>
      <w:r>
        <w:rPr>
          <w:rFonts w:ascii="Arial" w:hAnsi="Arial"/>
          <w:b w:val="0"/>
          <w:color w:val="333333"/>
          <w:sz w:val="22"/>
        </w:rPr>
        <w:t>A demonstração prática enriquece o backlog com contexto que normalmente não aparece numa User Story isolada: o OKR estratégico do diretor (reduzir sinistros de excesso de velocidade de 7 para 5 até setembro/2026), a restrição operacional dos sensores IoT (~60 dias de lead time), e uma demanda informal (relatório visual de frota) inserida deliberadamente para demonstrar como o processo diferencia estratégia de baixo impacto.</w:t>
      </w:r>
    </w:p>
    <w:p>
      <w:pPr>
        <w:spacing w:after="160"/>
      </w:pPr>
      <w:r>
        <w:rPr>
          <w:rFonts w:ascii="Arial" w:hAnsi="Arial"/>
          <w:b w:val="0"/>
          <w:color w:val="333333"/>
          <w:sz w:val="22"/>
        </w:rPr>
        <w:t xml:space="preserve">Após filtragem MoSCoW (o relatório visual é classificado Won't Have para o ciclo), o </w:t>
      </w:r>
      <w:r>
        <w:rPr>
          <w:rFonts w:ascii="Arial" w:hAnsi="Arial"/>
          <w:b/>
          <w:color w:val="333333"/>
          <w:sz w:val="22"/>
        </w:rPr>
        <w:t>Backlog Scorer</w:t>
      </w:r>
      <w:r>
        <w:rPr>
          <w:rFonts w:ascii="Arial" w:hAnsi="Arial"/>
          <w:b w:val="0"/>
          <w:color w:val="333333"/>
          <w:sz w:val="22"/>
        </w:rPr>
        <w:t xml:space="preserve"> aplica RICE e WSJF simultaneamente com temperatura baixa (favorecendo consistência sobre criatividade — importante quando diferentes pessoas precisam validar o mesmo resultado). Os alertas de velocidade ocupam o topo do ranking por atender toda a frota, impactar diretamente o OKR e não depender de hardware novo. O score de comportamento do motorista tem confiança elevada por reaproveitar infraestrutura de telemetria já existente; já manutenção preditiva e monitoramento de carga refrigerada dependem de sensores ainda não adquiridos, reduzindo sua confiança.</w:t>
      </w:r>
    </w:p>
    <w:p>
      <w:pPr>
        <w:spacing w:after="160"/>
      </w:pPr>
      <w:r>
        <w:rPr>
          <w:rFonts w:ascii="Arial" w:hAnsi="Arial"/>
          <w:b w:val="0"/>
          <w:color w:val="333333"/>
          <w:sz w:val="22"/>
        </w:rPr>
        <w:t xml:space="preserve">Mais importantes que o ranking em si são as </w:t>
      </w:r>
      <w:r>
        <w:rPr>
          <w:rFonts w:ascii="Arial" w:hAnsi="Arial"/>
          <w:b/>
          <w:color w:val="333333"/>
          <w:sz w:val="22"/>
        </w:rPr>
        <w:t>flags</w:t>
      </w:r>
      <w:r>
        <w:rPr>
          <w:rFonts w:ascii="Arial" w:hAnsi="Arial"/>
          <w:b w:val="0"/>
          <w:color w:val="333333"/>
          <w:sz w:val="22"/>
        </w:rPr>
        <w:t xml:space="preserve"> produzidas: dependência de hardware para três funcionalidades (recomendação: iniciar aquisição imediatamente, adiar alocação em sprint), meta de 80% de acurácia sem dados históricos suficientes para validá-la no MVP (recomendação: iniciar coleta de dados assim que o hardware chegar, calibrar depois), e o dashboard solicitado informalmente sem evidência de contribuição ao objetivo estratégico (recomendação: nova sessão de discovery antes de consumir capacidade de desenvolvimento). Ignorar essas flags gera exatamente o tipo de desperdício que o processo tenta evitar: iniciar desenvolvimento, descobrir o bloqueio no meio do caminho, e perder contexto ao retomar semanas depois.</w:t>
      </w:r>
    </w:p>
    <w:p>
      <w:pPr>
        <w:pStyle w:val="Heading3"/>
        <w:spacing w:before="200" w:after="80"/>
      </w:pPr>
      <w:r>
        <w:rPr>
          <w:rFonts w:ascii="Arial" w:hAnsi="Arial"/>
          <w:b/>
          <w:color w:val="1F4D78"/>
          <w:sz w:val="24"/>
        </w:rPr>
        <w:t>Capítulo 3: Calibração — Dados Reais em vez de Intuição</w:t>
      </w:r>
    </w:p>
    <w:p>
      <w:pPr>
        <w:spacing w:after="160"/>
      </w:pPr>
      <w:r>
        <w:rPr>
          <w:rFonts w:ascii="Arial" w:hAnsi="Arial"/>
          <w:b w:val="0"/>
          <w:color w:val="333333"/>
          <w:sz w:val="22"/>
        </w:rPr>
        <w:t>O capítulo final trata da qualidade dos dados que alimentam RICE e WSJF — frameworks tão confiáveis quanto os números usados para calculá-los. Três fontes de calibração são detalhadas: dados de uso (analytics, com recomendação explícita de pré-processar e enviar apenas métricas relevantes, não tabelas brutas gigantes, para não desperdiçar contexto do modelo), pesquisas com usuários (com o cuidado de distinguir intenção declarada de comportamento efetivo de adoção — combinando resultado da pesquisa com taxas históricas de adoção de funcionalidades semelhantes) e indicadores financeiros (custo de suporte de um defeito comparado ao custo de corrigi-lo, tornando a priorização uma decisão de ROI explícito).</w:t>
      </w:r>
    </w:p>
    <w:p>
      <w:pPr>
        <w:spacing w:after="160"/>
      </w:pPr>
      <w:r>
        <w:rPr>
          <w:rFonts w:ascii="Arial" w:hAnsi="Arial"/>
          <w:b w:val="0"/>
          <w:color w:val="333333"/>
          <w:sz w:val="22"/>
        </w:rPr>
        <w:t>Quando as três fontes entram em conflito (uma funcionalidade pouco usada nos registros, mas muito citada como importante em entrevistas), o modelo deve registrar essa divergência via nível de Confidence reduzido e uma flag de inconsistência — tratando o conflito como sinal de investigação, não como erro a esconder.</w:t>
      </w:r>
    </w:p>
    <w:p>
      <w:pPr>
        <w:spacing w:after="160"/>
      </w:pPr>
      <w:r>
        <w:rPr>
          <w:rFonts w:ascii="Arial" w:hAnsi="Arial"/>
          <w:b w:val="0"/>
          <w:color w:val="333333"/>
          <w:sz w:val="22"/>
        </w:rPr>
        <w:t xml:space="preserve">Para produtos novos em </w:t>
      </w:r>
      <w:r>
        <w:rPr>
          <w:rFonts w:ascii="Arial" w:hAnsi="Arial"/>
          <w:b/>
          <w:color w:val="333333"/>
          <w:sz w:val="22"/>
        </w:rPr>
        <w:t>cold start</w:t>
      </w:r>
      <w:r>
        <w:rPr>
          <w:rFonts w:ascii="Arial" w:hAnsi="Arial"/>
          <w:b w:val="0"/>
          <w:color w:val="333333"/>
          <w:sz w:val="22"/>
        </w:rPr>
        <w:t xml:space="preserve"> (sem histórico interno suficiente, situação real da RouteWise), a estratégia é usar </w:t>
      </w:r>
      <w:r>
        <w:rPr>
          <w:rFonts w:ascii="Arial" w:hAnsi="Arial"/>
          <w:b/>
          <w:color w:val="333333"/>
          <w:sz w:val="22"/>
        </w:rPr>
        <w:t>benchmarks de domínio</w:t>
      </w:r>
      <w:r>
        <w:rPr>
          <w:rFonts w:ascii="Arial" w:hAnsi="Arial"/>
          <w:b w:val="0"/>
          <w:color w:val="333333"/>
          <w:sz w:val="22"/>
        </w:rPr>
        <w:t xml:space="preserve"> — quanto mais específico o contexto fornecido (não apenas "setor de transporte", mas "transportadora de cargas gerais, 140 veículos, regiões Sul e Sudeste"), melhores as analogias selecionadas pelo modelo. A demonstração comparativa é reveladora: a mesma funcionalidade recebe pontuação diferente e Confidence </w:t>
      </w:r>
      <w:r>
        <w:rPr>
          <w:rFonts w:ascii="Arial" w:hAnsi="Arial"/>
          <w:i/>
          <w:color w:val="333333"/>
          <w:sz w:val="22"/>
        </w:rPr>
        <w:t>menor</w:t>
      </w:r>
      <w:r>
        <w:rPr>
          <w:rFonts w:ascii="Arial" w:hAnsi="Arial"/>
          <w:b w:val="0"/>
          <w:color w:val="333333"/>
          <w:sz w:val="22"/>
        </w:rPr>
        <w:t xml:space="preserve"> quando calibrada com dados de empresa comparável em vez de apenas o número total de veículos — o modelo reconhece explicitamente que a nova estimativa foi construída por analogia, preservando transparência sobre a natureza da projeção.</w:t>
      </w:r>
    </w:p>
    <w:p>
      <w:pPr>
        <w:pStyle w:val="Heading2"/>
        <w:spacing w:before="360" w:after="160"/>
      </w:pPr>
      <w:r>
        <w:rPr>
          <w:rFonts w:ascii="Arial" w:hAnsi="Arial"/>
          <w:b/>
          <w:color w:val="2E74B5"/>
          <w:sz w:val="28"/>
        </w:rPr>
        <w:t>Módulo 3: Cronograma, Capacidade e Alocação Assistidos</w:t>
      </w:r>
    </w:p>
    <w:p>
      <w:pPr>
        <w:pStyle w:val="Heading3"/>
        <w:spacing w:before="200" w:after="80"/>
      </w:pPr>
      <w:r>
        <w:rPr>
          <w:rFonts w:ascii="Arial" w:hAnsi="Arial"/>
          <w:b/>
          <w:color w:val="1F4D78"/>
          <w:sz w:val="24"/>
        </w:rPr>
        <w:t>Capítulo 1: Por que Cronogramas Nascem Corretos e Morrem Rápido</w:t>
      </w:r>
    </w:p>
    <w:p>
      <w:pPr>
        <w:spacing w:after="160"/>
      </w:pPr>
      <w:r>
        <w:rPr>
          <w:rFonts w:ascii="Arial" w:hAnsi="Arial"/>
          <w:b w:val="0"/>
          <w:color w:val="333333"/>
          <w:sz w:val="22"/>
        </w:rPr>
        <w:t>O módulo abre reconhecendo uma verdade desconfortável: a maioria dos cronogramas nasce correta e se torna obsoleta porque o ambiente do projeto muda constantemente — desenvolvedor fica indisponível, fornecedor atrasa, cliente redefine prioridade. O erro não está em errar o cronograma inicial; está em tratar um ambiente dinâmico como se fosse estático.</w:t>
      </w:r>
    </w:p>
    <w:p>
      <w:pPr>
        <w:spacing w:after="160"/>
      </w:pPr>
      <w:r>
        <w:rPr>
          <w:rFonts w:ascii="Arial" w:hAnsi="Arial"/>
          <w:b w:val="0"/>
          <w:color w:val="333333"/>
          <w:sz w:val="22"/>
        </w:rPr>
        <w:t xml:space="preserve">O problema de </w:t>
      </w:r>
      <w:r>
        <w:rPr>
          <w:rFonts w:ascii="Arial" w:hAnsi="Arial"/>
          <w:b/>
          <w:color w:val="333333"/>
          <w:sz w:val="22"/>
        </w:rPr>
        <w:t>overcommitment</w:t>
      </w:r>
      <w:r>
        <w:rPr>
          <w:rFonts w:ascii="Arial" w:hAnsi="Arial"/>
          <w:b w:val="0"/>
          <w:color w:val="333333"/>
          <w:sz w:val="22"/>
        </w:rPr>
        <w:t xml:space="preserve"> é detalhado: planejar 100% da capacidade nominal da equipe, sem margem para defeitos herdados, incidentes, reuniões extraordinárias e demais interrupções inevitáveis. Quando isso acontece, qualquer evento inesperado compromete a sprint inteira, gerando uma cadeia de consequências que vai além do atraso — pressão para recuperar tempo perdido leva a atalhos, revisões mais rasas, testes reduzidos, e o débito técnico se acumula quase imperceptivelmente.</w:t>
      </w:r>
    </w:p>
    <w:p>
      <w:pPr>
        <w:spacing w:after="160"/>
      </w:pPr>
      <w:r>
        <w:rPr>
          <w:rFonts w:ascii="Arial" w:hAnsi="Arial"/>
          <w:b w:val="0"/>
          <w:color w:val="333333"/>
          <w:sz w:val="22"/>
        </w:rPr>
        <w:t xml:space="preserve">Dois conceitos sustentam a proposta de cronograma adaptativo: </w:t>
      </w:r>
      <w:r>
        <w:rPr>
          <w:rFonts w:ascii="Arial" w:hAnsi="Arial"/>
          <w:b/>
          <w:color w:val="333333"/>
          <w:sz w:val="22"/>
        </w:rPr>
        <w:t>mapeamento preditivo de dependências</w:t>
      </w:r>
      <w:r>
        <w:rPr>
          <w:rFonts w:ascii="Arial" w:hAnsi="Arial"/>
          <w:b w:val="0"/>
          <w:color w:val="333333"/>
          <w:sz w:val="22"/>
        </w:rPr>
        <w:t xml:space="preserve"> (técnicas, de recursos, externas — sendo as de recursos particularmente pouco visíveis: duas funcionalidades tecnicamente independentes podem competir pelo mesmo especialista) e </w:t>
      </w:r>
      <w:r>
        <w:rPr>
          <w:rFonts w:ascii="Arial" w:hAnsi="Arial"/>
          <w:b/>
          <w:color w:val="333333"/>
          <w:sz w:val="22"/>
        </w:rPr>
        <w:t>análise What-If</w:t>
      </w:r>
      <w:r>
        <w:rPr>
          <w:rFonts w:ascii="Arial" w:hAnsi="Arial"/>
          <w:b w:val="0"/>
          <w:color w:val="333333"/>
          <w:sz w:val="22"/>
        </w:rPr>
        <w:t xml:space="preserve">, que recalcula automaticamente o cronograma diante de uma nova restrição, explicitando os </w:t>
      </w:r>
      <w:r>
        <w:rPr>
          <w:rFonts w:ascii="Arial" w:hAnsi="Arial"/>
          <w:i/>
          <w:color w:val="333333"/>
          <w:sz w:val="22"/>
        </w:rPr>
        <w:t>trade-offs</w:t>
      </w:r>
      <w:r>
        <w:rPr>
          <w:rFonts w:ascii="Arial" w:hAnsi="Arial"/>
          <w:b w:val="0"/>
          <w:color w:val="333333"/>
          <w:sz w:val="22"/>
        </w:rPr>
        <w:t xml:space="preserve"> — antecipar uma entrega quase sempre significa adiar outra, sobrecarregar alguém ou introduzir risco, e deixar essas consequências implícitas leva stakeholders a tratar mudanças de prioridade como se não tivessem custo.</w:t>
      </w:r>
    </w:p>
    <w:p>
      <w:pPr>
        <w:pStyle w:val="Heading3"/>
        <w:spacing w:before="200" w:after="80"/>
      </w:pPr>
      <w:r>
        <w:rPr>
          <w:rFonts w:ascii="Arial" w:hAnsi="Arial"/>
          <w:b/>
          <w:color w:val="1F4D78"/>
          <w:sz w:val="24"/>
        </w:rPr>
        <w:t>Capítulo 2: Scheduling Prompt — As Seis Sprints da RouteWise</w:t>
      </w:r>
    </w:p>
    <w:p>
      <w:pPr>
        <w:spacing w:after="160"/>
      </w:pPr>
      <w:r>
        <w:rPr>
          <w:rFonts w:ascii="Arial" w:hAnsi="Arial"/>
          <w:b w:val="0"/>
          <w:color w:val="333333"/>
          <w:sz w:val="22"/>
        </w:rPr>
        <w:t>A construção do cronograma real usa temperatura reduzida (~0,3, já que planejamento exige raciocínio consistente, não criatividade) e um contexto rico: composição do time por especialização (backend, frontend, integrações, telemetria, testes, documentação — nem toda história pode ser executada por qualquer pessoa), capacidade real declarada explicitamente como 65% da nominal (35 pontos nominais viram ~22 pontos operacionais), feriados descontados automaticamente sprint a sprint, dependências técnicas já mapeadas e restrições estratégicas (MVP em 12 semanas, demonstração executiva obrigatória ao final da terceira sprint).</w:t>
      </w:r>
    </w:p>
    <w:p>
      <w:pPr>
        <w:spacing w:after="160"/>
      </w:pPr>
      <w:r>
        <w:rPr>
          <w:rFonts w:ascii="Arial" w:hAnsi="Arial"/>
          <w:b w:val="0"/>
          <w:color w:val="333333"/>
          <w:sz w:val="22"/>
        </w:rPr>
        <w:t>O resultado demonstra comportamento sofisticado: a Sprint 1 concentra alertas de velocidade (sem bloqueio de hardware) e cria proativamente uma tarefa "Enabler" de aquisição de sensores — inferência do modelo, não instrução explícita, mostrando reconhecimento de que a compra do hardware é dependência crítica para entregas futuras. A Sprint 2 decompõe o score de comportamento do motorista numa versão simplificada usando dados já disponíveis, antecipando valor sem esperar o hardware completo. Sprints 3 e 4 usam o tempo de espera do hardware para trabalho preparatório (contratos de API, simuladores de sensores, refatorações de banco) — eliminando dependências técnicas futuras em vez de manter a equipe ociosa. Somente nas Sprints 5-6, com infraestrutura já preparada, a integração real dos sensores acontece.</w:t>
      </w:r>
    </w:p>
    <w:p>
      <w:pPr>
        <w:spacing w:after="160"/>
      </w:pPr>
      <w:r>
        <w:rPr>
          <w:rFonts w:ascii="Arial" w:hAnsi="Arial"/>
          <w:b w:val="0"/>
          <w:color w:val="333333"/>
          <w:sz w:val="22"/>
        </w:rPr>
        <w:t>A manutenção preditiva fica explicitamente fora do MVP — não apenas pelo prazo de hardware, mas porque o algoritmo precisa de ~30 dias de dados históricos para ser treinado com confiabilidade, restrição que capacidade de equipe não resolve. Em vez de simplesmente descartar a funcionalidade, o modelo propõe estratégia de contorno: usar os alertas de velocidade como indicador indireto de desgaste operacional enquanto a manutenção preditiva vira iniciativa formal de uma segunda fase.</w:t>
      </w:r>
    </w:p>
    <w:p>
      <w:pPr>
        <w:pStyle w:val="Heading2"/>
        <w:spacing w:before="360" w:after="160"/>
      </w:pPr>
      <w:r>
        <w:rPr>
          <w:rFonts w:ascii="Arial" w:hAnsi="Arial"/>
          <w:b/>
          <w:color w:val="2E74B5"/>
          <w:sz w:val="28"/>
        </w:rPr>
        <w:t>Módulo 4: Estimativas e Previsões</w:t>
      </w:r>
    </w:p>
    <w:p>
      <w:pPr>
        <w:pStyle w:val="Heading3"/>
        <w:spacing w:before="200" w:after="80"/>
      </w:pPr>
      <w:r>
        <w:rPr>
          <w:rFonts w:ascii="Arial" w:hAnsi="Arial"/>
          <w:b/>
          <w:color w:val="1F4D78"/>
          <w:sz w:val="24"/>
        </w:rPr>
        <w:t>Capítulo 1: Da Planning Fallacy às Estimativas Probabilísticas</w:t>
      </w:r>
    </w:p>
    <w:p>
      <w:pPr>
        <w:spacing w:after="160"/>
      </w:pPr>
      <w:r>
        <w:rPr>
          <w:rFonts w:ascii="Arial" w:hAnsi="Arial"/>
          <w:b w:val="0"/>
          <w:color w:val="333333"/>
          <w:sz w:val="22"/>
        </w:rPr>
        <w:t xml:space="preserve">O capítulo situa teoricamente por que estimativas de software costumam falhar: a </w:t>
      </w:r>
      <w:r>
        <w:rPr>
          <w:rFonts w:ascii="Arial" w:hAnsi="Arial"/>
          <w:b/>
          <w:color w:val="333333"/>
          <w:sz w:val="22"/>
        </w:rPr>
        <w:t>Planning Fallacy</w:t>
      </w:r>
      <w:r>
        <w:rPr>
          <w:rFonts w:ascii="Arial" w:hAnsi="Arial"/>
          <w:b w:val="0"/>
          <w:color w:val="333333"/>
          <w:sz w:val="22"/>
        </w:rPr>
        <w:t xml:space="preserve"> (Kahneman e Tversky) é um viés cognitivo sistemático de subestimar tempo, custo e complexidade — presente mesmo em equipes experientes, porque o viés não é sobre competência técnica, é sobre tendência humana de acreditar que "desta vez será diferente". Em software, isso se agrava porque quase toda tarefa envolve algum grau de novidade (biblioteca desconhecida, integração inédita).</w:t>
      </w:r>
    </w:p>
    <w:p>
      <w:pPr>
        <w:spacing w:after="160"/>
      </w:pPr>
      <w:r>
        <w:rPr>
          <w:rFonts w:ascii="Arial" w:hAnsi="Arial"/>
          <w:b w:val="0"/>
          <w:color w:val="333333"/>
          <w:sz w:val="22"/>
        </w:rPr>
        <w:t xml:space="preserve">Kahneman descreve o antídoto conceitual através de dois modos de pensar: </w:t>
      </w:r>
      <w:r>
        <w:rPr>
          <w:rFonts w:ascii="Arial" w:hAnsi="Arial"/>
          <w:b/>
          <w:color w:val="333333"/>
          <w:sz w:val="22"/>
        </w:rPr>
        <w:t>Inside View</w:t>
      </w:r>
      <w:r>
        <w:rPr>
          <w:rFonts w:ascii="Arial" w:hAnsi="Arial"/>
          <w:b w:val="0"/>
          <w:color w:val="333333"/>
          <w:sz w:val="22"/>
        </w:rPr>
        <w:t xml:space="preserve"> (estimar analisando as características específicas daquele projeto — abordagem intuitiva da maioria das equipes) e </w:t>
      </w:r>
      <w:r>
        <w:rPr>
          <w:rFonts w:ascii="Arial" w:hAnsi="Arial"/>
          <w:b/>
          <w:color w:val="333333"/>
          <w:sz w:val="22"/>
        </w:rPr>
        <w:t>Outside View</w:t>
      </w:r>
      <w:r>
        <w:rPr>
          <w:rFonts w:ascii="Arial" w:hAnsi="Arial"/>
          <w:b w:val="0"/>
          <w:color w:val="333333"/>
          <w:sz w:val="22"/>
        </w:rPr>
        <w:t xml:space="preserve"> (estimar pelo comportamento histórico de projetos comparáveis). A IA contribui incorporando referências históricas às estimativas, sem eliminar a incerteza inerente — o objetivo passa a ser representar matematicamente o nível de confiança sobre diferentes cenários, não encontrar a "data perfeita".</w:t>
      </w:r>
    </w:p>
    <w:p>
      <w:pPr>
        <w:spacing w:after="160"/>
      </w:pPr>
      <w:r>
        <w:rPr>
          <w:rFonts w:ascii="Arial" w:hAnsi="Arial"/>
          <w:b w:val="0"/>
          <w:color w:val="333333"/>
          <w:sz w:val="22"/>
        </w:rPr>
        <w:t xml:space="preserve">A </w:t>
      </w:r>
      <w:r>
        <w:rPr>
          <w:rFonts w:ascii="Arial" w:hAnsi="Arial"/>
          <w:b/>
          <w:color w:val="333333"/>
          <w:sz w:val="22"/>
        </w:rPr>
        <w:t>estimativa de três pontos</w:t>
      </w:r>
      <w:r>
        <w:rPr>
          <w:rFonts w:ascii="Arial" w:hAnsi="Arial"/>
          <w:b w:val="0"/>
          <w:color w:val="333333"/>
          <w:sz w:val="22"/>
        </w:rPr>
        <w:t xml:space="preserve"> formaliza isso: cenário otimista (praticamente tudo dá certo), mais provável (pequenos ajustes e dificuldades comuns, mais próximo da realidade típica) e pessimista (múltiplos fatores desfavoráveis simultâneos — importante: não é o pior caso imaginável, é um cenário difícil, porém plausível). A </w:t>
      </w:r>
      <w:r>
        <w:rPr>
          <w:rFonts w:ascii="Arial" w:hAnsi="Arial"/>
          <w:b/>
          <w:color w:val="333333"/>
          <w:sz w:val="22"/>
        </w:rPr>
        <w:t>distribuição PERT</w:t>
      </w:r>
      <w:r>
        <w:rPr>
          <w:rFonts w:ascii="Arial" w:hAnsi="Arial"/>
          <w:b w:val="0"/>
          <w:color w:val="333333"/>
          <w:sz w:val="22"/>
        </w:rPr>
        <w:t xml:space="preserve"> pondera esses três valores dando peso maior ao "mais provável" — fundamento estatístico simples: eventos extremos são menos frequentes, a maior parte das atividades se concentra perto do centro da distribuição.</w:t>
      </w:r>
    </w:p>
    <w:p>
      <w:pPr>
        <w:pStyle w:val="Heading3"/>
        <w:spacing w:before="200" w:after="80"/>
      </w:pPr>
      <w:r>
        <w:rPr>
          <w:rFonts w:ascii="Arial" w:hAnsi="Arial"/>
          <w:b/>
          <w:color w:val="1F4D78"/>
          <w:sz w:val="24"/>
        </w:rPr>
        <w:t>Capítulo 2: Monte Carlo — Transformando Estimativas em Previsão de Projeto</w:t>
      </w:r>
    </w:p>
    <w:p>
      <w:pPr>
        <w:spacing w:after="160"/>
      </w:pPr>
      <w:r>
        <w:rPr>
          <w:rFonts w:ascii="Arial" w:hAnsi="Arial"/>
          <w:b w:val="0"/>
          <w:color w:val="333333"/>
          <w:sz w:val="22"/>
        </w:rPr>
        <w:t xml:space="preserve">Conhecer a distribuição de cada User Story isoladamente não responde à pergunta que realmente importa: qual a probabilidade de o </w:t>
      </w:r>
      <w:r>
        <w:rPr>
          <w:rFonts w:ascii="Arial" w:hAnsi="Arial"/>
          <w:i/>
          <w:color w:val="333333"/>
          <w:sz w:val="22"/>
        </w:rPr>
        <w:t>projeto inteiro</w:t>
      </w:r>
      <w:r>
        <w:rPr>
          <w:rFonts w:ascii="Arial" w:hAnsi="Arial"/>
          <w:b w:val="0"/>
          <w:color w:val="333333"/>
          <w:sz w:val="22"/>
        </w:rPr>
        <w:t xml:space="preserve"> terminar dentro do prazo? É aqui que entra a </w:t>
      </w:r>
      <w:r>
        <w:rPr>
          <w:rFonts w:ascii="Arial" w:hAnsi="Arial"/>
          <w:b/>
          <w:color w:val="333333"/>
          <w:sz w:val="22"/>
        </w:rPr>
        <w:t>simulação de Monte Carlo</w:t>
      </w:r>
      <w:r>
        <w:rPr>
          <w:rFonts w:ascii="Arial" w:hAnsi="Arial"/>
          <w:b w:val="0"/>
          <w:color w:val="333333"/>
          <w:sz w:val="22"/>
        </w:rPr>
        <w:t xml:space="preserve"> — milhares de simulações independentes, cada uma sorteando valores dentro das distribuições estimadas, produzindo ao final uma distribuição completa de possíveis datas de conclusão.</w:t>
      </w:r>
    </w:p>
    <w:p>
      <w:pPr>
        <w:spacing w:after="160"/>
      </w:pPr>
      <w:r>
        <w:rPr>
          <w:rFonts w:ascii="Arial" w:hAnsi="Arial"/>
          <w:b w:val="0"/>
          <w:color w:val="333333"/>
          <w:sz w:val="22"/>
        </w:rPr>
        <w:t>Um detalhe metodológico importante é destacado: lead time de fornecedor (restrição de calendário) não deve ser misturado com variabilidade de desenvolvimento — são naturezas diferentes de incerteza e precisam ser modeladas separadamente. No exemplo da RouteWise, com ~10.000 simulações, os resultados foram P50 ≈ 12,5 semanas, P85 ≈ 13,1 semanas, P95 ≈ 13,4 semanas — intervalo entre P50 e P95 muito curto, o que poderia sugerir baixa incerteza, mas na verdade decorre de o lead time do hardware ser tratado como restrição praticamente fixa, dominando o resultado e reduzindo a influência das pequenas variações de desenvolvimento de software.</w:t>
      </w:r>
    </w:p>
    <w:p>
      <w:pPr>
        <w:spacing w:after="160"/>
      </w:pPr>
      <w:r>
        <w:rPr>
          <w:rFonts w:ascii="Arial" w:hAnsi="Arial"/>
          <w:b w:val="0"/>
          <w:color w:val="333333"/>
          <w:sz w:val="22"/>
        </w:rPr>
        <w:t xml:space="preserve">Os percentis carregam significados distintos: </w:t>
      </w:r>
      <w:r>
        <w:rPr>
          <w:rFonts w:ascii="Arial" w:hAnsi="Arial"/>
          <w:b/>
          <w:color w:val="333333"/>
          <w:sz w:val="22"/>
        </w:rPr>
        <w:t>P50</w:t>
      </w:r>
      <w:r>
        <w:rPr>
          <w:rFonts w:ascii="Arial" w:hAnsi="Arial"/>
          <w:b w:val="0"/>
          <w:color w:val="333333"/>
          <w:sz w:val="22"/>
        </w:rPr>
        <w:t xml:space="preserve"> implica ~50% de chance de atraso (útil para análise interna, inadequado para compromisso externo); </w:t>
      </w:r>
      <w:r>
        <w:rPr>
          <w:rFonts w:ascii="Arial" w:hAnsi="Arial"/>
          <w:b/>
          <w:color w:val="333333"/>
          <w:sz w:val="22"/>
        </w:rPr>
        <w:t>P85</w:t>
      </w:r>
      <w:r>
        <w:rPr>
          <w:rFonts w:ascii="Arial" w:hAnsi="Arial"/>
          <w:b w:val="0"/>
          <w:color w:val="333333"/>
          <w:sz w:val="22"/>
        </w:rPr>
        <w:t xml:space="preserve"> é o padrão recomendado para comunicação de prazo a clientes; </w:t>
      </w:r>
      <w:r>
        <w:rPr>
          <w:rFonts w:ascii="Arial" w:hAnsi="Arial"/>
          <w:b/>
          <w:color w:val="333333"/>
          <w:sz w:val="22"/>
        </w:rPr>
        <w:t>P95</w:t>
      </w:r>
      <w:r>
        <w:rPr>
          <w:rFonts w:ascii="Arial" w:hAnsi="Arial"/>
          <w:b w:val="0"/>
          <w:color w:val="333333"/>
          <w:sz w:val="22"/>
        </w:rPr>
        <w:t xml:space="preserve"> serve a projetos críticos com penalidades contratuais severas. Comprometer o prazo original de 12 semanas equivaleria, segundo a simulação, a assumir apenas ~35% de confiança — uma discrepância que precisa ser discutida abertamente: revisar escopo para manter o prazo, ou renegociar a data conforme o nível de confiança realmente aceitável.</w:t>
      </w:r>
    </w:p>
    <w:p>
      <w:pPr>
        <w:spacing w:after="160"/>
      </w:pPr>
      <w:r>
        <w:rPr>
          <w:rFonts w:ascii="Arial" w:hAnsi="Arial"/>
          <w:b w:val="0"/>
          <w:color w:val="333333"/>
          <w:sz w:val="22"/>
        </w:rPr>
        <w:t>A comunicação dos resultados varia conforme a audiência (retomando o padrão de Status Report Adaptativo, formalizado no módulo 7): a equipe técnica precisa de variância e funcionalidades de maior incerteza para orientar spikes exploratórios; o gestor de produto precisa saber o nível de confiança do cronograma comprometido; a diretoria recebe recomendação de investimento (acelerar aquisição de hardware); clientes externos recebem a garantia de que riscos foram identificados e monitorados, sem necessariamente ver percentis e distribuições.</w:t>
      </w:r>
    </w:p>
    <w:p>
      <w:pPr>
        <w:spacing w:after="160"/>
      </w:pPr>
      <w:r>
        <w:rPr>
          <w:rFonts w:ascii="Arial" w:hAnsi="Arial"/>
          <w:b w:val="0"/>
          <w:color w:val="333333"/>
          <w:sz w:val="22"/>
        </w:rPr>
        <w:t>O capítulo fecha com erros recorrentes: pressão implícita para reduzir artificialmente o cenário pessimista (mitigada perguntando objetivamente "o que dobraria o esforço", deslocando o foco da capacidade da pessoa para os riscos do problema); uso inadequado de distribuição PERT para atividades com comportamento assimétrico (nesses casos, log-normal reflete melhor a cauda longa de atrasos extremos); interpretação incorreta do P85 como garantia; e a necessidade permanente de calibrar cenários pessimistas comparando estimativa com tempo real observado nas entregas anteriores.</w:t>
      </w:r>
    </w:p>
    <w:p>
      <w:pPr>
        <w:pStyle w:val="Heading2"/>
        <w:spacing w:before="360" w:after="160"/>
      </w:pPr>
      <w:r>
        <w:rPr>
          <w:rFonts w:ascii="Arial" w:hAnsi="Arial"/>
          <w:b/>
          <w:color w:val="2E74B5"/>
          <w:sz w:val="28"/>
        </w:rPr>
        <w:t>Módulo 5: Riscos e Mitigações com AIOps de Projeto</w:t>
      </w:r>
    </w:p>
    <w:p>
      <w:pPr>
        <w:pStyle w:val="Heading3"/>
        <w:spacing w:before="200" w:after="80"/>
      </w:pPr>
      <w:r>
        <w:rPr>
          <w:rFonts w:ascii="Arial" w:hAnsi="Arial"/>
          <w:b/>
          <w:color w:val="1F4D78"/>
          <w:sz w:val="24"/>
        </w:rPr>
        <w:t>Capítulo 1: Do Planejamento Estático à Observabilidade Contínua</w:t>
      </w:r>
    </w:p>
    <w:p>
      <w:pPr>
        <w:spacing w:after="160"/>
      </w:pPr>
      <w:r>
        <w:rPr>
          <w:rFonts w:ascii="Arial" w:hAnsi="Arial"/>
          <w:b w:val="0"/>
          <w:color w:val="333333"/>
          <w:sz w:val="22"/>
        </w:rPr>
        <w:t>O módulo estabelece uma analogia direta com infraestrutura: assim como sistemas raramente ficam indisponíveis de forma instantânea (métricas de CPU, memória e latência costumam degradar gradualmente antes da falha completa), um projeto raramente entra em crise de um dia para o outro — Lead Time cresce, defeitos se acumulam entre sprints, requisitos continuam mudando após entrarem na sprint, impedimentos ficam abertos por dias sem ação. Individualmente, cada sinal parece pouco significativo; em conjunto, revelam degradação real.</w:t>
      </w:r>
    </w:p>
    <w:p>
      <w:pPr>
        <w:spacing w:after="160"/>
      </w:pPr>
      <w:r>
        <w:rPr>
          <w:rFonts w:ascii="Arial" w:hAnsi="Arial"/>
          <w:b w:val="0"/>
          <w:color w:val="333333"/>
          <w:sz w:val="22"/>
        </w:rPr>
        <w:t xml:space="preserve">O termo </w:t>
      </w:r>
      <w:r>
        <w:rPr>
          <w:rFonts w:ascii="Arial" w:hAnsi="Arial"/>
          <w:b/>
          <w:color w:val="333333"/>
          <w:sz w:val="22"/>
        </w:rPr>
        <w:t>AIOps</w:t>
      </w:r>
      <w:r>
        <w:rPr>
          <w:rFonts w:ascii="Arial" w:hAnsi="Arial"/>
          <w:b w:val="0"/>
          <w:color w:val="333333"/>
          <w:sz w:val="22"/>
        </w:rPr>
        <w:t xml:space="preserve"> (Artificial Intelligence for IT Operations), originalmente associado a monitoramento de infraestrutura, é transportado para gestão de projetos: em vez de CPU e latência, observam-se dados já produzidos pelo Jira — estados de User Story, transições de coluna, bugs registrados, histórico de alterações. Um argumento relevante é dado para justificar a confiabilidade dessa fonte: reuniões de status dependem da percepção e disposição das pessoas em comunicar problemas (um desenvolvedor pode minimizar um bloqueio por acreditar que resolverá rápido); os dados do Jira não sofrem esse viés — registram objetivamente o comportamento do fluxo ao longo do tempo.</w:t>
      </w:r>
    </w:p>
    <w:p>
      <w:pPr>
        <w:spacing w:after="160"/>
      </w:pPr>
      <w:r>
        <w:rPr>
          <w:rFonts w:ascii="Arial" w:hAnsi="Arial"/>
          <w:b w:val="0"/>
          <w:color w:val="333333"/>
          <w:sz w:val="22"/>
        </w:rPr>
        <w:t xml:space="preserve">Quatro métricas fundamentais são detalhadas, obtidas diretamente do Jira sem necessidade de plugins: </w:t>
      </w:r>
      <w:r>
        <w:rPr>
          <w:rFonts w:ascii="Arial" w:hAnsi="Arial"/>
          <w:b/>
          <w:color w:val="333333"/>
          <w:sz w:val="22"/>
        </w:rPr>
        <w:t>Lead Time</w:t>
      </w:r>
      <w:r>
        <w:rPr>
          <w:rFonts w:ascii="Arial" w:hAnsi="Arial"/>
          <w:b w:val="0"/>
          <w:color w:val="333333"/>
          <w:sz w:val="22"/>
        </w:rPr>
        <w:t xml:space="preserve"> (entrada no backlog até conclusão — cresce quando o volume de trabalho em andamento supera a capacidade de conclusão, gerando filas); </w:t>
      </w:r>
      <w:r>
        <w:rPr>
          <w:rFonts w:ascii="Arial" w:hAnsi="Arial"/>
          <w:b/>
          <w:color w:val="333333"/>
          <w:sz w:val="22"/>
        </w:rPr>
        <w:t>Cycle Time</w:t>
      </w:r>
      <w:r>
        <w:rPr>
          <w:rFonts w:ascii="Arial" w:hAnsi="Arial"/>
          <w:b w:val="0"/>
          <w:color w:val="333333"/>
          <w:sz w:val="22"/>
        </w:rPr>
        <w:t xml:space="preserve"> (tempo efetivo em desenvolvimento, começando quando alguém assume a história); a comparação entre os dois é o diagnóstico mais valioso do capítulo — Lead Time alto com Cycle Time estável aponta gargalo de fila/espera (frequentemente causado por excesso de </w:t>
      </w:r>
      <w:r>
        <w:rPr>
          <w:rFonts w:ascii="Arial" w:hAnsi="Arial"/>
          <w:b/>
          <w:color w:val="333333"/>
          <w:sz w:val="22"/>
        </w:rPr>
        <w:t>Work in Progress</w:t>
      </w:r>
      <w:r>
        <w:rPr>
          <w:rFonts w:ascii="Arial" w:hAnsi="Arial"/>
          <w:b w:val="0"/>
          <w:color w:val="333333"/>
          <w:sz w:val="22"/>
        </w:rPr>
        <w:t xml:space="preserve">), enquanto os dois crescendo juntos aponta dificuldade real na implementação. </w:t>
      </w:r>
      <w:r>
        <w:rPr>
          <w:rFonts w:ascii="Arial" w:hAnsi="Arial"/>
          <w:b/>
          <w:color w:val="333333"/>
          <w:sz w:val="22"/>
        </w:rPr>
        <w:t>Taxa de bugs por sprint</w:t>
      </w:r>
      <w:r>
        <w:rPr>
          <w:rFonts w:ascii="Arial" w:hAnsi="Arial"/>
          <w:b w:val="0"/>
          <w:color w:val="333333"/>
          <w:sz w:val="22"/>
        </w:rPr>
        <w:t xml:space="preserve"> (criados vs. resolvidos — um saldo levemente positivo por sprint parece pequeno isoladamente, mas se acumula silenciosamente até consumir capacidade que deveria ir para novas funcionalidades) e </w:t>
      </w:r>
      <w:r>
        <w:rPr>
          <w:rFonts w:ascii="Arial" w:hAnsi="Arial"/>
          <w:b/>
          <w:color w:val="333333"/>
          <w:sz w:val="22"/>
        </w:rPr>
        <w:t>frequência de alteração de User Story</w:t>
      </w:r>
      <w:r>
        <w:rPr>
          <w:rFonts w:ascii="Arial" w:hAnsi="Arial"/>
          <w:b w:val="0"/>
          <w:color w:val="333333"/>
          <w:sz w:val="22"/>
        </w:rPr>
        <w:t xml:space="preserve"> (indicador de </w:t>
      </w:r>
      <w:r>
        <w:rPr>
          <w:rFonts w:ascii="Arial" w:hAnsi="Arial"/>
          <w:b/>
          <w:color w:val="333333"/>
          <w:sz w:val="22"/>
        </w:rPr>
        <w:t>scope creep</w:t>
      </w:r>
      <w:r>
        <w:rPr>
          <w:rFonts w:ascii="Arial" w:hAnsi="Arial"/>
          <w:b w:val="0"/>
          <w:color w:val="333333"/>
          <w:sz w:val="22"/>
        </w:rPr>
        <w:t xml:space="preserve"> — não como uma grande mudança formal, mas como sequência de pequenos ajustes aparentemente inofensivos que somam esforço substancial).</w:t>
      </w:r>
    </w:p>
    <w:p>
      <w:pPr>
        <w:spacing w:after="160"/>
      </w:pPr>
      <w:r>
        <w:rPr>
          <w:rFonts w:ascii="Arial" w:hAnsi="Arial"/>
          <w:b w:val="0"/>
          <w:color w:val="333333"/>
          <w:sz w:val="22"/>
        </w:rPr>
        <w:t xml:space="preserve">O capítulo detalha ainda a construção de um </w:t>
      </w:r>
      <w:r>
        <w:rPr>
          <w:rFonts w:ascii="Arial" w:hAnsi="Arial"/>
          <w:b/>
          <w:color w:val="333333"/>
          <w:sz w:val="22"/>
        </w:rPr>
        <w:t>dashboard de saúde da sprint</w:t>
      </w:r>
      <w:r>
        <w:rPr>
          <w:rFonts w:ascii="Arial" w:hAnsi="Arial"/>
          <w:b w:val="0"/>
          <w:color w:val="333333"/>
          <w:sz w:val="22"/>
        </w:rPr>
        <w:t>: priorizar tendência recente da Velocity sobre média histórica acumulada; segmentar Lead Time por tipo de trabalho (bugs, features, dívida técnica — misturar tudo numa média única esconde exatamente o gargalo que se quer localizar); acompanhar taxa de retrabalho (histórias que retornam de Done para In Progress); e medir não só a quantidade de impedimentos, mas há quanto tempo cada um está aberto e quem é o responsável.</w:t>
      </w:r>
    </w:p>
    <w:p>
      <w:pPr>
        <w:pStyle w:val="Heading3"/>
        <w:spacing w:before="200" w:after="80"/>
      </w:pPr>
      <w:r>
        <w:rPr>
          <w:rFonts w:ascii="Arial" w:hAnsi="Arial"/>
          <w:b/>
          <w:color w:val="1F4D78"/>
          <w:sz w:val="24"/>
        </w:rPr>
        <w:t>Capítulo 2: Risk Monitor — Cockpit de Riscos e Planos de Mitigação</w:t>
      </w:r>
    </w:p>
    <w:p>
      <w:pPr>
        <w:spacing w:after="160"/>
      </w:pPr>
      <w:r>
        <w:rPr>
          <w:rFonts w:ascii="Arial" w:hAnsi="Arial"/>
          <w:b w:val="0"/>
          <w:color w:val="333333"/>
          <w:sz w:val="22"/>
        </w:rPr>
        <w:t>A demonstração usa dados consolidados das quatro primeiras sprints da RouteWise, num momento de pressão real: funcionalidades bloqueadas por hardware, defeito de alta severidade afetando parte da frota, demonstração executiva se aproximando. Os dados históricos já revelam a tendência antes mesmo da análise do modelo: Lead Time subindo de ~6 para ~11 dias, enquanto Cycle Time permanece praticamente estável — diagnóstico claro de gargalo de fluxo, não de perda de produtividade.</w:t>
      </w:r>
    </w:p>
    <w:p>
      <w:pPr>
        <w:spacing w:after="160"/>
      </w:pPr>
      <w:r>
        <w:rPr>
          <w:rFonts w:ascii="Arial" w:hAnsi="Arial"/>
          <w:b w:val="0"/>
          <w:color w:val="333333"/>
          <w:sz w:val="22"/>
        </w:rPr>
        <w:t xml:space="preserve">O </w:t>
      </w:r>
      <w:r>
        <w:rPr>
          <w:rFonts w:ascii="Arial" w:hAnsi="Arial"/>
          <w:b/>
          <w:color w:val="333333"/>
          <w:sz w:val="22"/>
        </w:rPr>
        <w:t>Risk Monitor</w:t>
      </w:r>
      <w:r>
        <w:rPr>
          <w:rFonts w:ascii="Arial" w:hAnsi="Arial"/>
          <w:b w:val="0"/>
          <w:color w:val="333333"/>
          <w:sz w:val="22"/>
        </w:rPr>
        <w:t xml:space="preserve"> organiza os achados num cockpit com quatro componentes classificados por severidade: fluxo e eficiência da equipe (gargalo de espera, não de execução), qualidade do produto (saldo de bugs crescente combinado a um defeito crítico ativo), dependências externas (o atraso do hardware produz efeito cascata sobre múltiplas histórias, comprometendo testes reais e integrações planejadas) e escopo/previsibilidade (histórias bloqueadas continuam sendo planejadas na expectativa otimista de que a dependência se resolva durante a sprint — descrita explicitamente como "substituição de decisão objetiva por expectativa otimista", uma armadilha comum).</w:t>
      </w:r>
    </w:p>
    <w:p>
      <w:pPr>
        <w:spacing w:after="160"/>
      </w:pPr>
      <w:r>
        <w:rPr>
          <w:rFonts w:ascii="Arial" w:hAnsi="Arial"/>
          <w:b w:val="0"/>
          <w:color w:val="333333"/>
          <w:sz w:val="22"/>
        </w:rPr>
        <w:t xml:space="preserve">O plano de mitigação recomendado para o aumento de Lead Time segue o princípio </w:t>
      </w:r>
      <w:r>
        <w:rPr>
          <w:rFonts w:ascii="Arial" w:hAnsi="Arial"/>
          <w:b/>
          <w:color w:val="333333"/>
          <w:sz w:val="22"/>
        </w:rPr>
        <w:t>Stop Starting, Start Finishing</w:t>
      </w:r>
      <w:r>
        <w:rPr>
          <w:rFonts w:ascii="Arial" w:hAnsi="Arial"/>
          <w:b w:val="0"/>
          <w:color w:val="333333"/>
          <w:sz w:val="22"/>
        </w:rPr>
        <w:t xml:space="preserve">: interromper temporariamente a entrada de novos itens e concentrar esforço em concluir o que já está em andamento, complementado por limites explícitos de WIP e fortalecimento da </w:t>
      </w:r>
      <w:r>
        <w:rPr>
          <w:rFonts w:ascii="Arial" w:hAnsi="Arial"/>
          <w:b/>
          <w:color w:val="333333"/>
          <w:sz w:val="22"/>
        </w:rPr>
        <w:t>Definition of Ready</w:t>
      </w:r>
      <w:r>
        <w:rPr>
          <w:rFonts w:ascii="Arial" w:hAnsi="Arial"/>
          <w:b w:val="0"/>
          <w:color w:val="333333"/>
          <w:sz w:val="22"/>
        </w:rPr>
        <w:t xml:space="preserve"> para histórias com dependência externa (só entram na sprint quando a dependência já estiver resolvida). Cada recomendação vem com critério objetivo de sucesso — diferenciando um plano de mitigação real de uma simples lista de boas intenções.</w:t>
      </w:r>
    </w:p>
    <w:p>
      <w:pPr>
        <w:spacing w:after="160"/>
      </w:pPr>
      <w:r>
        <w:rPr>
          <w:rFonts w:ascii="Arial" w:hAnsi="Arial"/>
          <w:b w:val="0"/>
          <w:color w:val="333333"/>
          <w:sz w:val="22"/>
        </w:rPr>
        <w:t xml:space="preserve">O capítulo fecha com cuidados operacionais para uso contínuo do monitor: cada tipo de anomalia precisa de responsável e procedimento definidos (senão o cockpit vira gerador de notificações ignoradas — a mesma fadiga de alertas discutida em observabilidade de infraestrutura); limiares devem ser calibrados pelo histórico da própria equipe, não por benchmarks genéricos; o cockpit aponta </w:t>
      </w:r>
      <w:r>
        <w:rPr>
          <w:rFonts w:ascii="Arial" w:hAnsi="Arial"/>
          <w:i/>
          <w:color w:val="333333"/>
          <w:sz w:val="22"/>
        </w:rPr>
        <w:t>que</w:t>
      </w:r>
      <w:r>
        <w:rPr>
          <w:rFonts w:ascii="Arial" w:hAnsi="Arial"/>
          <w:b w:val="0"/>
          <w:color w:val="333333"/>
          <w:sz w:val="22"/>
        </w:rPr>
        <w:t xml:space="preserve"> algo mudou, não necessariamente </w:t>
      </w:r>
      <w:r>
        <w:rPr>
          <w:rFonts w:ascii="Arial" w:hAnsi="Arial"/>
          <w:i/>
          <w:color w:val="333333"/>
          <w:sz w:val="22"/>
        </w:rPr>
        <w:t>por quê</w:t>
      </w:r>
      <w:r>
        <w:rPr>
          <w:rFonts w:ascii="Arial" w:hAnsi="Arial"/>
          <w:b w:val="0"/>
          <w:color w:val="333333"/>
          <w:sz w:val="22"/>
        </w:rPr>
        <w:t xml:space="preserve"> — a investigação da causa raiz continua sendo trabalho humano; e a distinção rigorosa entre Lead Time e Cycle Time deve ser preservada sempre, porque confundir as duas leituras direciona o esforço de correção para o lugar errado.</w:t>
      </w:r>
    </w:p>
    <w:p>
      <w:pPr>
        <w:pStyle w:val="Heading2"/>
        <w:spacing w:before="360" w:after="160"/>
      </w:pPr>
      <w:r>
        <w:rPr>
          <w:rFonts w:ascii="Arial" w:hAnsi="Arial"/>
          <w:b/>
          <w:color w:val="2E74B5"/>
          <w:sz w:val="28"/>
        </w:rPr>
        <w:t>Módulo 6: Reuniões Turbinadas (Notas, Atas, Follow-ups)</w:t>
      </w:r>
    </w:p>
    <w:p>
      <w:pPr>
        <w:pStyle w:val="Heading3"/>
        <w:spacing w:before="200" w:after="80"/>
      </w:pPr>
      <w:r>
        <w:rPr>
          <w:rFonts w:ascii="Arial" w:hAnsi="Arial"/>
          <w:b/>
          <w:color w:val="1F4D78"/>
          <w:sz w:val="24"/>
        </w:rPr>
        <w:t>Capítulo 1: Meeting Digest — Da Transcrição à Síntese Semântica</w:t>
      </w:r>
    </w:p>
    <w:p>
      <w:pPr>
        <w:spacing w:after="160"/>
      </w:pPr>
      <w:r>
        <w:rPr>
          <w:rFonts w:ascii="Arial" w:hAnsi="Arial"/>
          <w:b w:val="0"/>
          <w:color w:val="333333"/>
          <w:sz w:val="22"/>
        </w:rPr>
        <w:t>O módulo parte de uma constatação simples: decisões que determinam o rumo de um projeto acontecem majoritariamente nas reuniões — Sprint Planning, Sprint Review, refinamentos, discovery, retrospectivas. Quando essas conversas não são registradas adequadamente, o projeto perde rastreabilidade das próprias decisões, e o esforço administrativo pós-reunião (produzir ata, distribuir ações, criar cards, comunicar resultado) frequentemente consome mais tempo do que a própria discussão, apesar de representar baixo valor intelectual.</w:t>
      </w:r>
    </w:p>
    <w:p>
      <w:pPr>
        <w:spacing w:after="160"/>
      </w:pPr>
      <w:r>
        <w:rPr>
          <w:rFonts w:ascii="Arial" w:hAnsi="Arial"/>
          <w:b w:val="0"/>
          <w:color w:val="333333"/>
          <w:sz w:val="22"/>
        </w:rPr>
        <w:t xml:space="preserve">O conceito central é a distinção entre transcrição e </w:t>
      </w:r>
      <w:r>
        <w:rPr>
          <w:rFonts w:ascii="Arial" w:hAnsi="Arial"/>
          <w:b/>
          <w:color w:val="333333"/>
          <w:sz w:val="22"/>
        </w:rPr>
        <w:t>síntese semântica</w:t>
      </w:r>
      <w:r>
        <w:rPr>
          <w:rFonts w:ascii="Arial" w:hAnsi="Arial"/>
          <w:b w:val="0"/>
          <w:color w:val="333333"/>
          <w:sz w:val="22"/>
        </w:rPr>
        <w:t xml:space="preserve">: uma transcrição registra literalmente as palavras ditas; a síntese interpreta a </w:t>
      </w:r>
      <w:r>
        <w:rPr>
          <w:rFonts w:ascii="Arial" w:hAnsi="Arial"/>
          <w:i/>
          <w:color w:val="333333"/>
          <w:sz w:val="22"/>
        </w:rPr>
        <w:t>intenção</w:t>
      </w:r>
      <w:r>
        <w:rPr>
          <w:rFonts w:ascii="Arial" w:hAnsi="Arial"/>
          <w:b w:val="0"/>
          <w:color w:val="333333"/>
          <w:sz w:val="22"/>
        </w:rPr>
        <w:t xml:space="preserve"> — reconhecer que "eu vejo isso ainda hoje" é um compromisso assumido, não apenas uma frase. O pipeline tem três etapas: transcrição (áudio para texto), síntese semântica (identificar trechos com relevância real para gestão) e extração (organizar em artefatos estruturados — atas, ações, decisões, payloads compatíveis com Jira/Notion).</w:t>
      </w:r>
    </w:p>
    <w:p>
      <w:pPr>
        <w:spacing w:after="160"/>
      </w:pPr>
      <w:r>
        <w:rPr>
          <w:rFonts w:ascii="Arial" w:hAnsi="Arial"/>
          <w:b w:val="0"/>
          <w:color w:val="333333"/>
          <w:sz w:val="22"/>
        </w:rPr>
        <w:t xml:space="preserve">Quatro categorias de classificação estruturam o resultado: </w:t>
      </w:r>
      <w:r>
        <w:rPr>
          <w:rFonts w:ascii="Arial" w:hAnsi="Arial"/>
          <w:b/>
          <w:color w:val="333333"/>
          <w:sz w:val="22"/>
        </w:rPr>
        <w:t>compromissos de ação</w:t>
      </w:r>
      <w:r>
        <w:rPr>
          <w:rFonts w:ascii="Arial" w:hAnsi="Arial"/>
          <w:b w:val="0"/>
          <w:color w:val="333333"/>
          <w:sz w:val="22"/>
        </w:rPr>
        <w:t xml:space="preserve"> (com contexto, urgência, responsável e prazo quando explicitamente presentes na conversa — nunca inventados); </w:t>
      </w:r>
      <w:r>
        <w:rPr>
          <w:rFonts w:ascii="Arial" w:hAnsi="Arial"/>
          <w:b/>
          <w:color w:val="333333"/>
          <w:sz w:val="22"/>
        </w:rPr>
        <w:t>decisões</w:t>
      </w:r>
      <w:r>
        <w:rPr>
          <w:rFonts w:ascii="Arial" w:hAnsi="Arial"/>
          <w:b w:val="0"/>
          <w:color w:val="333333"/>
          <w:sz w:val="22"/>
        </w:rPr>
        <w:t xml:space="preserve"> (acordos que alteram o comportamento do projeto, sem necessariamente gerar uma tarefa imediata — precisam ser preservadas como histórico, não convertidas automaticamente em card); </w:t>
      </w:r>
      <w:r>
        <w:rPr>
          <w:rFonts w:ascii="Arial" w:hAnsi="Arial"/>
          <w:b/>
          <w:color w:val="333333"/>
          <w:sz w:val="22"/>
        </w:rPr>
        <w:t>riscos e impedimentos</w:t>
      </w:r>
      <w:r>
        <w:rPr>
          <w:rFonts w:ascii="Arial" w:hAnsi="Arial"/>
          <w:b w:val="0"/>
          <w:color w:val="333333"/>
          <w:sz w:val="22"/>
        </w:rPr>
        <w:t xml:space="preserve"> (elevados de comentário informal a item formal de acompanhamento); e </w:t>
      </w:r>
      <w:r>
        <w:rPr>
          <w:rFonts w:ascii="Arial" w:hAnsi="Arial"/>
          <w:b/>
          <w:color w:val="333333"/>
          <w:sz w:val="22"/>
        </w:rPr>
        <w:t>perguntas em aberto</w:t>
      </w:r>
      <w:r>
        <w:rPr>
          <w:rFonts w:ascii="Arial" w:hAnsi="Arial"/>
          <w:b w:val="0"/>
          <w:color w:val="333333"/>
          <w:sz w:val="22"/>
        </w:rPr>
        <w:t xml:space="preserve"> (que tradicionalmente desaparecem em atas manuais, obrigando a equipe a redescobrir o mesmo problema semanas depois).</w:t>
      </w:r>
    </w:p>
    <w:p>
      <w:pPr>
        <w:spacing w:after="160"/>
      </w:pPr>
      <w:r>
        <w:rPr>
          <w:rFonts w:ascii="Arial" w:hAnsi="Arial"/>
          <w:b w:val="0"/>
          <w:color w:val="333333"/>
          <w:sz w:val="22"/>
        </w:rPr>
        <w:t>O exemplo da Sprint Review demonstra a vantagem prática da síntese sobre a transcrição literal: o tema dos acelerômetros aparece três vezes ao longo da reunião — primeiro como problema técnico, depois como necessidade de cotação, por fim como decisão formal de compra — e o Meeting Digest consolida essas três menções numa única linha narrativa coerente, em vez de três registros fragmentados e desconectados.</w:t>
      </w:r>
    </w:p>
    <w:p>
      <w:pPr>
        <w:pStyle w:val="Heading3"/>
        <w:spacing w:before="200" w:after="80"/>
      </w:pPr>
      <w:r>
        <w:rPr>
          <w:rFonts w:ascii="Arial" w:hAnsi="Arial"/>
          <w:b/>
          <w:color w:val="1F4D78"/>
          <w:sz w:val="24"/>
        </w:rPr>
        <w:t>Capítulo 2: Curadoria da Ata e o Protocolo de Auditoria em Cinco Passos</w:t>
      </w:r>
    </w:p>
    <w:p>
      <w:pPr>
        <w:spacing w:after="160"/>
      </w:pPr>
      <w:r>
        <w:rPr>
          <w:rFonts w:ascii="Arial" w:hAnsi="Arial"/>
          <w:b w:val="0"/>
          <w:color w:val="333333"/>
          <w:sz w:val="22"/>
        </w:rPr>
        <w:t>O capítulo demonstra a Sprint Review completa, ilustrando duas mudanças de escopo reais: a reintrodução da funcionalidade S05 (Dashboard) por necessidade estratégica de demonstração executiva, apesar de ter sido descartada anteriormente por baixo RICE Score — reforçando que frameworks de priorização apoiam a decisão, mas não a substituem quando o contexto de negócio muda; e a criação da nova funcionalidade S06 (painel de motoristas), demanda surgida organicamente durante a própria reunião, a partir de solicitação do RH.</w:t>
      </w:r>
    </w:p>
    <w:p>
      <w:pPr>
        <w:spacing w:after="160"/>
      </w:pPr>
      <w:r>
        <w:rPr>
          <w:rFonts w:ascii="Arial" w:hAnsi="Arial"/>
          <w:b w:val="0"/>
          <w:color w:val="333333"/>
          <w:sz w:val="22"/>
        </w:rPr>
        <w:t>A curadoria expõe três lacunas concretas que o modelo não capturou automaticamente: o prazo implícito mencionado verbalmente por Ana Lima ("antes do Sprint Planning seguinte") não foi convertido para o campo estruturado de prazo (informação implícita preservada na síntese textual, mas não na estrutura de dados); uma dúvida sobre o andamento da cotação do fornecedor foi corretamente registrada como pergunta em aberto — sem responsável atribuído, porque ninguém assumiu essa responsabilidade explicitamente na reunião (comportamento correto do modelo: sugerir é aceitável, atribuir responsabilidade não assumida ultrapassa o limite da informação disponível); e um ajuste técnico pontual (mudança de timeout de alerta) mencionado por Marcos não apareceu entre as decisões registradas, evidenciando que mesmo alterações técnicas pequenas fazem parte da governança do projeto e merecem registro.</w:t>
      </w:r>
    </w:p>
    <w:p>
      <w:pPr>
        <w:spacing w:after="160"/>
      </w:pPr>
      <w:r>
        <w:rPr>
          <w:rFonts w:ascii="Arial" w:hAnsi="Arial"/>
          <w:b w:val="0"/>
          <w:color w:val="333333"/>
          <w:sz w:val="22"/>
        </w:rPr>
        <w:t xml:space="preserve">O </w:t>
      </w:r>
      <w:r>
        <w:rPr>
          <w:rFonts w:ascii="Arial" w:hAnsi="Arial"/>
          <w:b/>
          <w:color w:val="333333"/>
          <w:sz w:val="22"/>
        </w:rPr>
        <w:t>protocolo de auditoria de cinco passos</w:t>
      </w:r>
      <w:r>
        <w:rPr>
          <w:rFonts w:ascii="Arial" w:hAnsi="Arial"/>
          <w:b w:val="0"/>
          <w:color w:val="333333"/>
          <w:sz w:val="22"/>
        </w:rPr>
        <w:t xml:space="preserve"> proposto: ler a tabela de ações em voz alta (facilita identificar descrições vagas); revisar campos de responsável e prazo vazios; validar decisões críticas com pelo menos um participante envolvido; atribuir responsável para toda pergunta em aberto; distribuir a ata imediatamente após a reunião (o valor do documento está diretamente ligado ao quão fresco o contexto ainda está na memória dos participantes). O capítulo fecha com armadilhas recorrentes — atribuição incorreta associando a tarefa à última pessoa que falou do assunto (não necessariamente quem assumiu a responsabilidade), decisões implícitas por consenso silencioso não capturadas, erros de transcrição se propagando por toda a documentação gerada, e o uso do mesmo prompt genérico para tipos de reunião com objetivos completamente diferentes (refinamento, retrospectiva, daily, kickoff).</w:t>
      </w:r>
    </w:p>
    <w:p>
      <w:pPr>
        <w:pStyle w:val="Heading2"/>
        <w:spacing w:before="360" w:after="160"/>
      </w:pPr>
      <w:r>
        <w:rPr>
          <w:rFonts w:ascii="Arial" w:hAnsi="Arial"/>
          <w:b/>
          <w:color w:val="2E74B5"/>
          <w:sz w:val="28"/>
        </w:rPr>
        <w:t>Módulo 7: Status Reports e Executive Summaries</w:t>
      </w:r>
    </w:p>
    <w:p>
      <w:pPr>
        <w:pStyle w:val="Heading3"/>
        <w:spacing w:before="200" w:after="80"/>
      </w:pPr>
      <w:r>
        <w:rPr>
          <w:rFonts w:ascii="Arial" w:hAnsi="Arial"/>
          <w:b/>
          <w:color w:val="1F4D78"/>
          <w:sz w:val="24"/>
        </w:rPr>
        <w:t>Capítulo 1: O Mesmo Dado, Três Perguntas Diferentes</w:t>
      </w:r>
    </w:p>
    <w:p>
      <w:pPr>
        <w:spacing w:after="160"/>
      </w:pPr>
      <w:r>
        <w:rPr>
          <w:rFonts w:ascii="Arial" w:hAnsi="Arial"/>
          <w:b w:val="0"/>
          <w:color w:val="333333"/>
          <w:sz w:val="22"/>
        </w:rPr>
        <w:t xml:space="preserve">O módulo situa o problema clássico do relatório semanal: consolidar manualmente informações já existentes em diferentes sistemas consome tempo significativo do gestor, sem gerar conhecimento novo sobre o projeto — apenas reorganiza dados já disponíveis. A proposta central, </w:t>
      </w:r>
      <w:r>
        <w:rPr>
          <w:rFonts w:ascii="Arial" w:hAnsi="Arial"/>
          <w:b/>
          <w:color w:val="333333"/>
          <w:sz w:val="22"/>
        </w:rPr>
        <w:t>Status Report Adaptativo</w:t>
      </w:r>
      <w:r>
        <w:rPr>
          <w:rFonts w:ascii="Arial" w:hAnsi="Arial"/>
          <w:b w:val="0"/>
          <w:color w:val="333333"/>
          <w:sz w:val="22"/>
        </w:rPr>
        <w:t>, parte de um princípio simples: todos acompanham o mesmo projeto, mas cada grupo tem responsabilidades diferentes e, portanto, necessidades de informação completamente distintas — o mesmo conjunto de dados alimenta narrativas diferentes, sem que isso represente contradição.</w:t>
      </w:r>
    </w:p>
    <w:p>
      <w:pPr>
        <w:spacing w:after="160"/>
      </w:pPr>
      <w:r>
        <w:rPr>
          <w:rFonts w:ascii="Arial" w:hAnsi="Arial"/>
          <w:b w:val="0"/>
          <w:color w:val="333333"/>
          <w:sz w:val="22"/>
        </w:rPr>
        <w:t xml:space="preserve">Três perfis de audiência são detalhados: </w:t>
      </w:r>
      <w:r>
        <w:rPr>
          <w:rFonts w:ascii="Arial" w:hAnsi="Arial"/>
          <w:b/>
          <w:color w:val="333333"/>
          <w:sz w:val="22"/>
        </w:rPr>
        <w:t>time técnico</w:t>
      </w:r>
      <w:r>
        <w:rPr>
          <w:rFonts w:ascii="Arial" w:hAnsi="Arial"/>
          <w:b w:val="0"/>
          <w:color w:val="333333"/>
          <w:sz w:val="22"/>
        </w:rPr>
        <w:t xml:space="preserve"> (Velocity, Lead Time, Cycle Time, débito técnico, bloqueios — linguagem técnica, formato de lista estruturada, foco em orientar a próxima sprint); </w:t>
      </w:r>
      <w:r>
        <w:rPr>
          <w:rFonts w:ascii="Arial" w:hAnsi="Arial"/>
          <w:b/>
          <w:color w:val="333333"/>
          <w:sz w:val="22"/>
        </w:rPr>
        <w:t>gestores de projeto/produto</w:t>
      </w:r>
      <w:r>
        <w:rPr>
          <w:rFonts w:ascii="Arial" w:hAnsi="Arial"/>
          <w:b w:val="0"/>
          <w:color w:val="333333"/>
          <w:sz w:val="22"/>
        </w:rPr>
        <w:t xml:space="preserve"> (percentual de conclusão, aderência ao cronograma, riscos por probabilidade/impacto, decisões pendentes — Story Points deixam de ser número isolado e passam a representar capacidade de entrega); </w:t>
      </w:r>
      <w:r>
        <w:rPr>
          <w:rFonts w:ascii="Arial" w:hAnsi="Arial"/>
          <w:b/>
          <w:color w:val="333333"/>
          <w:sz w:val="22"/>
        </w:rPr>
        <w:t>executivos e clientes</w:t>
      </w:r>
      <w:r>
        <w:rPr>
          <w:rFonts w:ascii="Arial" w:hAnsi="Arial"/>
          <w:b w:val="0"/>
          <w:color w:val="333333"/>
          <w:sz w:val="22"/>
        </w:rPr>
        <w:t xml:space="preserve"> (retorno sobre investimento, previsibilidade, marcos relevantes — formato deliberadamente curto, já que quanto maior o nível hierárquico, menor o tempo disponível para leitura).</w:t>
      </w:r>
    </w:p>
    <w:p>
      <w:pPr>
        <w:spacing w:after="160"/>
      </w:pPr>
      <w:r>
        <w:rPr>
          <w:rFonts w:ascii="Arial" w:hAnsi="Arial"/>
          <w:b w:val="0"/>
          <w:color w:val="333333"/>
          <w:sz w:val="22"/>
        </w:rPr>
        <w:t>O erro mais citado no capítulo é ignorar essa diferença de contexto — enviar o mesmo relatório técnico detalhado à diretoria, que não consegue transformar "Lead Time aumentou 15% por excesso de WIP" numa decisão prática de negócio. A correção não muda o dado, muda a interpretação: em vez de "Lead Time cresceu 15%", comunica-se "o ritmo de entrega está ligeiramente abaixo do planejado, a equipe já adotou correção, e o cronograma geral permanece preservado" — mesma informação, forma de apresentação orientada à pergunta que aquela audiência precisa resolver.</w:t>
      </w:r>
    </w:p>
    <w:p>
      <w:pPr>
        <w:pStyle w:val="Heading3"/>
        <w:spacing w:before="200" w:after="80"/>
      </w:pPr>
      <w:r>
        <w:rPr>
          <w:rFonts w:ascii="Arial" w:hAnsi="Arial"/>
          <w:b/>
          <w:color w:val="1F4D78"/>
          <w:sz w:val="24"/>
        </w:rPr>
        <w:t>Capítulo 2: As Três Versões da Sprint 4 e a Ambiguidade do Status</w:t>
      </w:r>
    </w:p>
    <w:p>
      <w:pPr>
        <w:spacing w:after="160"/>
      </w:pPr>
      <w:r>
        <w:rPr>
          <w:rFonts w:ascii="Arial" w:hAnsi="Arial"/>
          <w:b w:val="0"/>
          <w:color w:val="333333"/>
          <w:sz w:val="22"/>
        </w:rPr>
        <w:t>A demonstração usa o fechamento da Sprint 4: cinco histórias planejadas, duas concluídas, duas em andamento, uma removida por bloqueio de hardware; Velocity de 22 pontos (capacidade planejada cumprida integralmente); Lead Time em ~10 dias; saldo de bugs crescente; e uma apresentação executiva em duas semanas. Os três relatórios gerados a partir desses mesmos números demonstram a tese central do capítulo: a versão técnica foca em Lead Time, saldo de bugs e recomendações operacionais (priorizar o defeito crítico, reduzir WIP); a versão gerencial reorganiza a mesma sprint como "entregou valor, mas evidencia degradação de qualidade", com decisões explícitas pendentes de aprovação (orçamento do hardware ou remoção de escopo); a versão executiva remove praticamente toda métrica operacional e foca no que já está disponível ao negócio e nas decisões que exigem participação da diretoria.</w:t>
      </w:r>
    </w:p>
    <w:p>
      <w:pPr>
        <w:spacing w:after="160"/>
      </w:pPr>
      <w:r>
        <w:rPr>
          <w:rFonts w:ascii="Arial" w:hAnsi="Arial"/>
          <w:b w:val="0"/>
          <w:color w:val="333333"/>
          <w:sz w:val="22"/>
        </w:rPr>
        <w:t xml:space="preserve">Um ponto especialmente instrutivo do capítulo é a </w:t>
      </w:r>
      <w:r>
        <w:rPr>
          <w:rFonts w:ascii="Arial" w:hAnsi="Arial"/>
          <w:b/>
          <w:color w:val="333333"/>
          <w:sz w:val="22"/>
        </w:rPr>
        <w:t>divergência de classificação de status</w:t>
      </w:r>
      <w:r>
        <w:rPr>
          <w:rFonts w:ascii="Arial" w:hAnsi="Arial"/>
          <w:b w:val="0"/>
          <w:color w:val="333333"/>
          <w:sz w:val="22"/>
        </w:rPr>
        <w:t xml:space="preserve">: o modelo classifica a sprint como vermelha (Lead Time elevado, bugs crescendo, bloqueio ativo), mas o material reconhece explicitamente que um gestor experiente poderia classificar o mesmo cenário como amarelo — a equipe cumpriu 100% do compromisso de Story Points, e o principal risco é uma dependência externa fora do controle do time. Ambas as leituras são tecnicamente defensáveis; a curadoria não busca "qual está certo", mas compreender o </w:t>
      </w:r>
      <w:r>
        <w:rPr>
          <w:rFonts w:ascii="Arial" w:hAnsi="Arial"/>
          <w:i/>
          <w:color w:val="333333"/>
          <w:sz w:val="22"/>
        </w:rPr>
        <w:t>significado</w:t>
      </w:r>
      <w:r>
        <w:rPr>
          <w:rFonts w:ascii="Arial" w:hAnsi="Arial"/>
          <w:b w:val="0"/>
          <w:color w:val="333333"/>
          <w:sz w:val="22"/>
        </w:rPr>
        <w:t xml:space="preserve"> que cada classificação comunica (vermelho mobiliza urgência, amarelo comunica risco monitorado sob controle) — decisão de julgamento gerencial que a IA não deve tomar sozinha.</w:t>
      </w:r>
    </w:p>
    <w:p>
      <w:pPr>
        <w:spacing w:after="160"/>
      </w:pPr>
      <w:r>
        <w:rPr>
          <w:rFonts w:ascii="Arial" w:hAnsi="Arial"/>
          <w:b w:val="0"/>
          <w:color w:val="333333"/>
          <w:sz w:val="22"/>
        </w:rPr>
        <w:t>A curadoria recomendada inclui validar todos os números (modelos podem arredondar valores de forma sutil), simplificar linguagem técnica que eventualmente vaza para a versão executiva, limitar o relatório gerencial a 2-3 decisões realmente prioritárias (mais que isso dilui a atenção), revisar o tom para evitar que o relatório técnico vire uma sequência de reclamações quando a sprint teve dificuldades, e garantir que todo risco mencionado tenha ação ou responsável associado — um risco sem plano é apenas uma preocupação registrada, não gestão real.</w:t>
      </w:r>
    </w:p>
    <w:p>
      <w:pPr>
        <w:spacing w:after="160"/>
      </w:pPr>
      <w:r>
        <w:rPr>
          <w:rFonts w:ascii="Arial" w:hAnsi="Arial"/>
          <w:b w:val="0"/>
          <w:color w:val="333333"/>
          <w:sz w:val="22"/>
        </w:rPr>
        <w:t xml:space="preserve">O capítulo fecha introduzindo a extensão para </w:t>
      </w:r>
      <w:r>
        <w:rPr>
          <w:rFonts w:ascii="Arial" w:hAnsi="Arial"/>
          <w:b/>
          <w:color w:val="333333"/>
          <w:sz w:val="22"/>
        </w:rPr>
        <w:t>gestão de portfólio</w:t>
      </w:r>
      <w:r>
        <w:rPr>
          <w:rFonts w:ascii="Arial" w:hAnsi="Arial"/>
          <w:b w:val="0"/>
          <w:color w:val="333333"/>
          <w:sz w:val="22"/>
        </w:rPr>
        <w:t xml:space="preserve">: aplicar o mesmo Status Report Prompt a múltiplos projetos e, numa segunda interação, consolidar os relatórios executivos individuais num único </w:t>
      </w:r>
      <w:r>
        <w:rPr>
          <w:rFonts w:ascii="Arial" w:hAnsi="Arial"/>
          <w:b/>
          <w:color w:val="333333"/>
          <w:sz w:val="22"/>
        </w:rPr>
        <w:t>Executive Summary de portfólio</w:t>
      </w:r>
      <w:r>
        <w:rPr>
          <w:rFonts w:ascii="Arial" w:hAnsi="Arial"/>
          <w:b w:val="0"/>
          <w:color w:val="333333"/>
          <w:sz w:val="22"/>
        </w:rPr>
        <w:t xml:space="preserve"> — permitindo que a diretoria acompanhe várias iniciativas simultâneas sem receber dezenas de documentos independentes.</w:t>
      </w:r>
    </w:p>
    <w:p>
      <w:pPr>
        <w:pStyle w:val="Heading2"/>
        <w:spacing w:before="360" w:after="160"/>
      </w:pPr>
      <w:r>
        <w:rPr>
          <w:rFonts w:ascii="Arial" w:hAnsi="Arial"/>
          <w:b/>
          <w:color w:val="2E74B5"/>
          <w:sz w:val="28"/>
        </w:rPr>
        <w:t>Módulo 8: Governança, Compliance e Qualidade</w:t>
      </w:r>
    </w:p>
    <w:p>
      <w:pPr>
        <w:pStyle w:val="Heading3"/>
        <w:spacing w:before="200" w:after="80"/>
      </w:pPr>
      <w:r>
        <w:rPr>
          <w:rFonts w:ascii="Arial" w:hAnsi="Arial"/>
          <w:b/>
          <w:color w:val="1F4D78"/>
          <w:sz w:val="24"/>
        </w:rPr>
        <w:t>Capítulo 1: Governança como Código</w:t>
      </w:r>
    </w:p>
    <w:p>
      <w:pPr>
        <w:spacing w:after="160"/>
      </w:pPr>
      <w:r>
        <w:rPr>
          <w:rFonts w:ascii="Arial" w:hAnsi="Arial"/>
          <w:b w:val="0"/>
          <w:color w:val="333333"/>
          <w:sz w:val="22"/>
        </w:rPr>
        <w:t>O módulo situa a governança tradicional como predominantemente reativa e manual — checklists preenchidos antes de um deploy, aprovações em planilhas, auditorias meses depois verificando se etapas realmente foram cumpridas. O problema central não é a existência das regras, é a dependência de memória humana para aplicá-las de forma consistente.</w:t>
      </w:r>
    </w:p>
    <w:p>
      <w:pPr>
        <w:spacing w:after="160"/>
      </w:pPr>
      <w:r>
        <w:rPr>
          <w:rFonts w:ascii="Arial" w:hAnsi="Arial"/>
          <w:b/>
          <w:color w:val="333333"/>
          <w:sz w:val="22"/>
        </w:rPr>
        <w:t>Governança como Código (Governance as Code)</w:t>
      </w:r>
      <w:r>
        <w:rPr>
          <w:rFonts w:ascii="Arial" w:hAnsi="Arial"/>
          <w:b w:val="0"/>
          <w:color w:val="333333"/>
          <w:sz w:val="22"/>
        </w:rPr>
        <w:t xml:space="preserve"> aplica à conformidade a mesma transformação que Infraestrutura como Código aplicou ao provisionamento: regras descritas de forma estruturada e executadas automaticamente pelo pipeline, sempre que uma alteração relevante acontece — abertura de Pull Request, mudança de status de User Story, início de implantação. Se uma condição obrigatória não for satisfeita, o próprio fluxo de integração impede a continuidade, transformando a conformidade de atividade posterior à implementação em parte constitutiva do próprio processo.</w:t>
      </w:r>
    </w:p>
    <w:p>
      <w:pPr>
        <w:spacing w:after="160"/>
      </w:pPr>
      <w:r>
        <w:rPr>
          <w:rFonts w:ascii="Arial" w:hAnsi="Arial"/>
          <w:b w:val="0"/>
          <w:color w:val="333333"/>
          <w:sz w:val="22"/>
        </w:rPr>
        <w:t xml:space="preserve">A IA participa em dois pontos: geração inteligente das próprias regras (adaptadas ao contexto específico — domínio, requisitos regulatórios, arquitetura, maturidade da equipe — em vez de checklists genéricos que misturam verificações irrelevantes para aquele projeto específico) e </w:t>
      </w:r>
      <w:r>
        <w:rPr>
          <w:rFonts w:ascii="Arial" w:hAnsi="Arial"/>
          <w:b/>
          <w:color w:val="333333"/>
          <w:sz w:val="22"/>
        </w:rPr>
        <w:t>rastreabilidade automatizada</w:t>
      </w:r>
      <w:r>
        <w:rPr>
          <w:rFonts w:ascii="Arial" w:hAnsi="Arial"/>
          <w:b w:val="0"/>
          <w:color w:val="333333"/>
          <w:sz w:val="22"/>
        </w:rPr>
        <w:t xml:space="preserve">, respondendo perguntas de auditoria (por que essa funcionalidade foi implementada? qual requisito a originou? quem aprovou a implantação?) através de uma </w:t>
      </w:r>
      <w:r>
        <w:rPr>
          <w:rFonts w:ascii="Arial" w:hAnsi="Arial"/>
          <w:b/>
          <w:color w:val="333333"/>
          <w:sz w:val="22"/>
        </w:rPr>
        <w:t>trilha auditável</w:t>
      </w:r>
      <w:r>
        <w:rPr>
          <w:rFonts w:ascii="Arial" w:hAnsi="Arial"/>
          <w:b w:val="0"/>
          <w:color w:val="333333"/>
          <w:sz w:val="22"/>
        </w:rPr>
        <w:t xml:space="preserve"> conectando User Story → card do Jira → Pull Request → commit → aprovação → implantação. O capítulo apresenta o </w:t>
      </w:r>
      <w:r>
        <w:rPr>
          <w:rFonts w:ascii="Arial" w:hAnsi="Arial"/>
          <w:b/>
          <w:color w:val="333333"/>
          <w:sz w:val="22"/>
        </w:rPr>
        <w:t>Danger.js</w:t>
      </w:r>
      <w:r>
        <w:rPr>
          <w:rFonts w:ascii="Arial" w:hAnsi="Arial"/>
          <w:b w:val="0"/>
          <w:color w:val="333333"/>
          <w:sz w:val="22"/>
        </w:rPr>
        <w:t xml:space="preserve"> como implementação prática: regras JavaScript rodando na abertura/atualização do Pull Request — antes da integração ao branch principal, quando corrigir ainda é barato, em vez de descobrir a não conformidade só no momento do deploy.</w:t>
      </w:r>
    </w:p>
    <w:p>
      <w:pPr>
        <w:pStyle w:val="Heading3"/>
        <w:spacing w:before="200" w:after="80"/>
      </w:pPr>
      <w:r>
        <w:rPr>
          <w:rFonts w:ascii="Arial" w:hAnsi="Arial"/>
          <w:b/>
          <w:color w:val="1F4D78"/>
          <w:sz w:val="24"/>
        </w:rPr>
        <w:t>Capítulo 2: Compliance Checklist Contextualizado e DangerFile Executável</w:t>
      </w:r>
    </w:p>
    <w:p>
      <w:pPr>
        <w:spacing w:after="160"/>
      </w:pPr>
      <w:r>
        <w:rPr>
          <w:rFonts w:ascii="Arial" w:hAnsi="Arial"/>
          <w:b w:val="0"/>
          <w:color w:val="333333"/>
          <w:sz w:val="22"/>
        </w:rPr>
        <w:t xml:space="preserve">A demonstração usa o primeiro deploy em produção do módulo de alertas de velocidade, com uma restrição real conhecida desde módulos anteriores: o bug S4-10 deixa 43 dos 140 veículos (rastreadores de primeira geração) incompatíveis com o novo monitoramento — apenas 97 veículos recebem os alertas corretamente. O </w:t>
      </w:r>
      <w:r>
        <w:rPr>
          <w:rFonts w:ascii="Arial" w:hAnsi="Arial"/>
          <w:b/>
          <w:color w:val="333333"/>
          <w:sz w:val="22"/>
        </w:rPr>
        <w:t>Compliance Prompt</w:t>
      </w:r>
      <w:r>
        <w:rPr>
          <w:rFonts w:ascii="Arial" w:hAnsi="Arial"/>
          <w:b w:val="0"/>
          <w:color w:val="333333"/>
          <w:sz w:val="22"/>
        </w:rPr>
        <w:t xml:space="preserve"> recebe esse contexto explicitamente, junto com o tipo de evento (release de produção), componentes envolvidos (API GPS, banco de posições, notificações push, painel web) e stakeholders responsáveis pelas aprovações operacional, técnica e jurídica.</w:t>
      </w:r>
    </w:p>
    <w:p>
      <w:pPr>
        <w:spacing w:after="160"/>
      </w:pPr>
      <w:r>
        <w:rPr>
          <w:rFonts w:ascii="Arial" w:hAnsi="Arial"/>
          <w:b w:val="0"/>
          <w:color w:val="333333"/>
          <w:sz w:val="22"/>
        </w:rPr>
        <w:t xml:space="preserve">O checklist gerado se organiza em três categorias. </w:t>
      </w:r>
      <w:r>
        <w:rPr>
          <w:rFonts w:ascii="Arial" w:hAnsi="Arial"/>
          <w:b/>
          <w:color w:val="333333"/>
          <w:sz w:val="22"/>
        </w:rPr>
        <w:t>Bloqueadores de deploy</w:t>
      </w:r>
      <w:r>
        <w:rPr>
          <w:rFonts w:ascii="Arial" w:hAnsi="Arial"/>
          <w:b w:val="0"/>
          <w:color w:val="333333"/>
          <w:sz w:val="22"/>
        </w:rPr>
        <w:t xml:space="preserve">: base legal formal da LGPD para tratamento de dados de localização; registro auditável das aprovações operacional e técnica; e — o exemplo mais instrutivo do capítulo — um bloqueador que o modelo criou especificamente a partir do contexto do bug S4-10, exigindo que o sistema sinalize visualmente quais veículos não recebem os alertas, evitando um </w:t>
      </w:r>
      <w:r>
        <w:rPr>
          <w:rFonts w:ascii="Arial" w:hAnsi="Arial"/>
          <w:b/>
          <w:color w:val="333333"/>
          <w:sz w:val="22"/>
        </w:rPr>
        <w:t>falso negativo operacional</w:t>
      </w:r>
      <w:r>
        <w:rPr>
          <w:rFonts w:ascii="Arial" w:hAnsi="Arial"/>
          <w:b w:val="0"/>
          <w:color w:val="333333"/>
          <w:sz w:val="22"/>
        </w:rPr>
        <w:t xml:space="preserve">: sem essa sinalização, um gestor poderia interpretar a ausência de alerta como "veículo dentro do limite de velocidade", quando na verdade o veículo simplesmente não está sendo monitorado. </w:t>
      </w:r>
      <w:r>
        <w:rPr>
          <w:rFonts w:ascii="Arial" w:hAnsi="Arial"/>
          <w:b/>
          <w:color w:val="333333"/>
          <w:sz w:val="22"/>
        </w:rPr>
        <w:t>Verificações operacionais</w:t>
      </w:r>
      <w:r>
        <w:rPr>
          <w:rFonts w:ascii="Arial" w:hAnsi="Arial"/>
          <w:b w:val="0"/>
          <w:color w:val="333333"/>
          <w:sz w:val="22"/>
        </w:rPr>
        <w:t xml:space="preserve">: plano de comunicação aos gestores sobre a cobertura parcial, monitoramento pós-deploy (taxa de falha de notificações, volume de GPS recebido) e plano de rollback documentado (scripts de reversão, feature flags). </w:t>
      </w:r>
      <w:r>
        <w:rPr>
          <w:rFonts w:ascii="Arial" w:hAnsi="Arial"/>
          <w:b/>
          <w:color w:val="333333"/>
          <w:sz w:val="22"/>
        </w:rPr>
        <w:t>Registros de auditoria</w:t>
      </w:r>
      <w:r>
        <w:rPr>
          <w:rFonts w:ascii="Arial" w:hAnsi="Arial"/>
          <w:b w:val="0"/>
          <w:color w:val="333333"/>
          <w:sz w:val="22"/>
        </w:rPr>
        <w:t>: documentação de tratamento de dados pessoais, registro formal do bug S4-10 nas notas de release, e vínculo entre a futura aquisição de hardware e o épico correspondente no backlog.</w:t>
      </w:r>
    </w:p>
    <w:p>
      <w:pPr>
        <w:spacing w:after="160"/>
      </w:pPr>
      <w:r>
        <w:rPr>
          <w:rFonts w:ascii="Arial" w:hAnsi="Arial"/>
          <w:b w:val="0"/>
          <w:color w:val="333333"/>
          <w:sz w:val="22"/>
        </w:rPr>
        <w:t>A curadoria aparece de forma concreta: implementar a sinalização visual exigiria alteração de interface numa release já em fase final — decisão que o modelo não tem elementos para avaliar (custo de escopo adicional versus urgência do risco). O gerente decide mitigar via comunicação oficial e registro em notas de release para a primeira versão, adiando a sinalização visual para entrega posterior — exemplo direto de que a IA identifica corretamente o risco, mas a estratégia de mitigação com melhor relação custo-benefício continua sendo decisão humana.</w:t>
      </w:r>
    </w:p>
    <w:p>
      <w:pPr>
        <w:spacing w:after="160"/>
      </w:pPr>
      <w:r>
        <w:rPr>
          <w:rFonts w:ascii="Arial" w:hAnsi="Arial"/>
          <w:b w:val="0"/>
          <w:color w:val="333333"/>
          <w:sz w:val="22"/>
        </w:rPr>
        <w:t xml:space="preserve">O </w:t>
      </w:r>
      <w:r>
        <w:rPr>
          <w:rFonts w:ascii="Arial" w:hAnsi="Arial"/>
          <w:b/>
          <w:color w:val="333333"/>
          <w:sz w:val="22"/>
        </w:rPr>
        <w:t>DangerFile.js</w:t>
      </w:r>
      <w:r>
        <w:rPr>
          <w:rFonts w:ascii="Arial" w:hAnsi="Arial"/>
          <w:b w:val="0"/>
          <w:color w:val="333333"/>
          <w:sz w:val="22"/>
        </w:rPr>
        <w:t xml:space="preserve"> gerado complementa o checklist com quatro verificações executáveis: vínculo obrigatório do PR com identificador do Jira, dupla aprovação para alterações em componentes de GPS, alerta de redução de cobertura de testes, e sinalização de PRs excessivamente grandes. O capítulo demonstra classificação automática entre regras bloqueantes (ausência de vínculo com Jira interrompe a integração) e apenas informativas (PR grande gera aviso, não bloqueio) — mostrando que a IA também interpreta o nível de criticidade de cada regra, não apenas as implementa mecanicamente. Refinamento adicional: extrair os caminhos monitorados para um arquivo de configuração externo em vez de hardcoded no script, separando lógica de parâmetro — princípio clássico de engenharia de software aplicado à própria governança.</w:t>
      </w:r>
    </w:p>
    <w:p>
      <w:pPr>
        <w:pStyle w:val="Heading2"/>
        <w:spacing w:before="360" w:after="160"/>
      </w:pPr>
      <w:r>
        <w:rPr>
          <w:rFonts w:ascii="Arial" w:hAnsi="Arial"/>
          <w:b/>
          <w:color w:val="2E74B5"/>
          <w:sz w:val="28"/>
        </w:rPr>
        <w:t>Módulo 9: Automação em Jira/Asana/Trello/Notion/Slack</w:t>
      </w:r>
    </w:p>
    <w:p>
      <w:pPr>
        <w:pStyle w:val="Heading3"/>
        <w:spacing w:before="200" w:after="80"/>
      </w:pPr>
      <w:r>
        <w:rPr>
          <w:rFonts w:ascii="Arial" w:hAnsi="Arial"/>
          <w:b/>
          <w:color w:val="1F4D78"/>
          <w:sz w:val="24"/>
        </w:rPr>
        <w:t>Capítulo 1: De Ferramentas Conectadas a Ferramentas Integradas</w:t>
      </w:r>
    </w:p>
    <w:p>
      <w:pPr>
        <w:spacing w:after="160"/>
      </w:pPr>
      <w:r>
        <w:rPr>
          <w:rFonts w:ascii="Arial" w:hAnsi="Arial"/>
          <w:b w:val="0"/>
          <w:color w:val="333333"/>
          <w:sz w:val="22"/>
        </w:rPr>
        <w:t xml:space="preserve">O módulo ataca a fragmentação natural do dia a dia de um projeto: comunicação no Slack, backlog no Jira, documentação no Notion, código no GitHub — ferramentas eficientes isoladamente, mas que raramente compartilham </w:t>
      </w:r>
      <w:r>
        <w:rPr>
          <w:rFonts w:ascii="Arial" w:hAnsi="Arial"/>
          <w:i/>
          <w:color w:val="333333"/>
          <w:sz w:val="22"/>
        </w:rPr>
        <w:t>contexto</w:t>
      </w:r>
      <w:r>
        <w:rPr>
          <w:rFonts w:ascii="Arial" w:hAnsi="Arial"/>
          <w:b w:val="0"/>
          <w:color w:val="333333"/>
          <w:sz w:val="22"/>
        </w:rPr>
        <w:t xml:space="preserve"> de forma inteligente. O trabalho de "coordenação operacional" (transformar um relato de bug no Slack em card priorizado no Jira, atribuído à equipe certa) não é desenvolvimento nem decisão estratégica — é fricção pura entre sistemas, mas consome tempo real da equipe repetidamente ao longo da semana.</w:t>
      </w:r>
    </w:p>
    <w:p>
      <w:pPr>
        <w:spacing w:after="160"/>
      </w:pPr>
      <w:r>
        <w:rPr>
          <w:rFonts w:ascii="Arial" w:hAnsi="Arial"/>
          <w:b w:val="0"/>
          <w:color w:val="333333"/>
          <w:sz w:val="22"/>
        </w:rPr>
        <w:t xml:space="preserve">A distinção central do capítulo é entre </w:t>
      </w:r>
      <w:r>
        <w:rPr>
          <w:rFonts w:ascii="Arial" w:hAnsi="Arial"/>
          <w:b/>
          <w:color w:val="333333"/>
          <w:sz w:val="22"/>
        </w:rPr>
        <w:t>ferramentas conectadas</w:t>
      </w:r>
      <w:r>
        <w:rPr>
          <w:rFonts w:ascii="Arial" w:hAnsi="Arial"/>
          <w:b w:val="0"/>
          <w:color w:val="333333"/>
          <w:sz w:val="22"/>
        </w:rPr>
        <w:t xml:space="preserve"> (compartilham eventos brutos — um webhook cria automaticamente um card reproduzindo o texto recebido, sem qualquer classificação) e </w:t>
      </w:r>
      <w:r>
        <w:rPr>
          <w:rFonts w:ascii="Arial" w:hAnsi="Arial"/>
          <w:b/>
          <w:color w:val="333333"/>
          <w:sz w:val="22"/>
        </w:rPr>
        <w:t>ferramentas integradas</w:t>
      </w:r>
      <w:r>
        <w:rPr>
          <w:rFonts w:ascii="Arial" w:hAnsi="Arial"/>
          <w:b w:val="0"/>
          <w:color w:val="333333"/>
          <w:sz w:val="22"/>
        </w:rPr>
        <w:t xml:space="preserve"> (compartilham contexto — a mensagem é interpretada antes de qualquer ação: é bug ou dúvida? qual severidade? qual componente e equipe responsável? precisa de card ou de incidente formal?). O conceito é apresentado como </w:t>
      </w:r>
      <w:r>
        <w:rPr>
          <w:rFonts w:ascii="Arial" w:hAnsi="Arial"/>
          <w:b/>
          <w:color w:val="333333"/>
          <w:sz w:val="22"/>
        </w:rPr>
        <w:t>Natural Language to Workflow</w:t>
      </w:r>
      <w:r>
        <w:rPr>
          <w:rFonts w:ascii="Arial" w:hAnsi="Arial"/>
          <w:b w:val="0"/>
          <w:color w:val="333333"/>
          <w:sz w:val="22"/>
        </w:rPr>
        <w:t>: o usuário descreve a situação em linguagem comum, e o modelo produz o payload estruturado necessário para a ferramenta de destino.</w:t>
      </w:r>
    </w:p>
    <w:p>
      <w:pPr>
        <w:spacing w:after="160"/>
      </w:pPr>
      <w:r>
        <w:rPr>
          <w:rFonts w:ascii="Arial" w:hAnsi="Arial"/>
          <w:b w:val="0"/>
          <w:color w:val="333333"/>
          <w:sz w:val="22"/>
        </w:rPr>
        <w:t xml:space="preserve">O </w:t>
      </w:r>
      <w:r>
        <w:rPr>
          <w:rFonts w:ascii="Arial" w:hAnsi="Arial"/>
          <w:b/>
          <w:color w:val="333333"/>
          <w:sz w:val="22"/>
        </w:rPr>
        <w:t>Ecosystem Bot</w:t>
      </w:r>
      <w:r>
        <w:rPr>
          <w:rFonts w:ascii="Arial" w:hAnsi="Arial"/>
          <w:b w:val="0"/>
          <w:color w:val="333333"/>
          <w:sz w:val="22"/>
        </w:rPr>
        <w:t xml:space="preserve"> segue a mesma lógica de agentes especializados já vista em módulos anteriores do curso — não responde perguntas, decide quais artefatos criar, em qual sistema, com qual prioridade, e quem precisa ser envolvido, tudo a partir da interpretação do contexto da mensagem recebida. O capítulo reforça, mais uma vez, que a automação não elimina a participação humana: sempre que existe ambiguidade, contexto insuficiente ou alto impacto no negócio, a validação continua sendo responsabilidade da equipe.</w:t>
      </w:r>
    </w:p>
    <w:p>
      <w:pPr>
        <w:pStyle w:val="Heading3"/>
        <w:spacing w:before="200" w:after="80"/>
      </w:pPr>
      <w:r>
        <w:rPr>
          <w:rFonts w:ascii="Arial" w:hAnsi="Arial"/>
          <w:b/>
          <w:color w:val="1F4D78"/>
          <w:sz w:val="24"/>
        </w:rPr>
        <w:t>Capítulo 2: Parser em Ação — Três Cenários que Exigem Julgamento</w:t>
      </w:r>
    </w:p>
    <w:p>
      <w:pPr>
        <w:spacing w:after="160"/>
      </w:pPr>
      <w:r>
        <w:rPr>
          <w:rFonts w:ascii="Arial" w:hAnsi="Arial"/>
          <w:b w:val="0"/>
          <w:color w:val="333333"/>
          <w:sz w:val="22"/>
        </w:rPr>
        <w:t>A demonstração no Google AI Studio (simulando o parsing que ocorreria internamente numa solução completa) analisa três mensagens reais do fluxo da RouteWise. No primeiro cenário (alertas de velocidade parados em Uberlândia, escrito em primeira pessoa — "preciso investigar"), o parser classifica corretamente como bug de prioridade elevada, sugere pontos técnicos de investigação (rastreadores, MQTT, AWS Lambda, Firebase Cloud Messaging), mas mantém o campo de responsável vazio — reproduzindo o mesmo princípio já visto no Meeting Digest: sugerir é aceitável, atribuir responsabilidade não explicitamente assumida ultrapassa o limite da inferência.</w:t>
      </w:r>
    </w:p>
    <w:p>
      <w:pPr>
        <w:spacing w:after="160"/>
      </w:pPr>
      <w:r>
        <w:rPr>
          <w:rFonts w:ascii="Arial" w:hAnsi="Arial"/>
          <w:b w:val="0"/>
          <w:color w:val="333333"/>
          <w:sz w:val="22"/>
        </w:rPr>
        <w:t>O segundo cenário (solicitação de antecipação de manutenção preditiva, terminando com "alguém pode pegar isso?") expõe uma ambiguidade legítima de classificação — feature nova versus task operacional, ambas defensáveis dependendo de como a organização interpreta o contexto — reforçando que nem toda decisão do parser tem resposta absolutamente correta, exigindo julgamento humano antes da criação definitiva do card.</w:t>
      </w:r>
    </w:p>
    <w:p>
      <w:pPr>
        <w:spacing w:after="160"/>
      </w:pPr>
      <w:r>
        <w:rPr>
          <w:rFonts w:ascii="Arial" w:hAnsi="Arial"/>
          <w:b w:val="0"/>
          <w:color w:val="333333"/>
          <w:sz w:val="22"/>
        </w:rPr>
        <w:t xml:space="preserve">O terceiro cenário é o mais importante do capítulo: uma mensagem sobre deploy bloqueado apresentando duas alternativas de decisão (adiar implantação ou remover a funcionalidade do escopo). O parser identifica corretamente a criticidade máxima, mas inicialmente deixa vazio um campo que sinalizaria decisão gerencial pendente — o que faria o bot criar automaticamente um card operacional para algo que ainda é, na verdade, uma escolha estratégica não tomada. A correção proposta é adicionar um campo explícito </w:t>
      </w:r>
      <w:r>
        <w:rPr>
          <w:rFonts w:ascii="Arial" w:hAnsi="Arial"/>
          <w:b/>
          <w:color w:val="333333"/>
          <w:sz w:val="22"/>
        </w:rPr>
        <w:t>Action Required</w:t>
      </w:r>
      <w:r>
        <w:rPr>
          <w:rFonts w:ascii="Arial" w:hAnsi="Arial"/>
          <w:b w:val="0"/>
          <w:color w:val="333333"/>
          <w:sz w:val="22"/>
        </w:rPr>
        <w:t>, obrigatório sempre que a mensagem contiver alternativas relacionadas a escopo, cronograma ou prioridade — garantindo que o pipeline devolva a decisão ao gestor em vez de agir precipitadamente. O capítulo resume esse aprendizado de forma direta: automatizar não significa eliminar participação humana, significa eliminar o esforço de estruturar a informação antes que o julgamento aconteça.</w:t>
      </w:r>
    </w:p>
    <w:p>
      <w:pPr>
        <w:spacing w:after="160"/>
      </w:pPr>
      <w:r>
        <w:rPr>
          <w:rFonts w:ascii="Arial" w:hAnsi="Arial"/>
          <w:b w:val="0"/>
          <w:color w:val="333333"/>
          <w:sz w:val="22"/>
        </w:rPr>
        <w:t>A segunda metade do capítulo trata da sincronização Jira↔Slack e seus cuidados práticos: preferir sincronização unidirecional quando o Jira é fonte oficial (evita conflitos entre múltiplas equipes compartilhando o mesmo ambiente); separar canais de notificação automática de canais de colaboração humana (senão o canal principal vira ruído constante e ignorado); adicionar etapa de confirmação antes de criar cards automaticamente (mensagens mencionando múltiplas pessoas frequentemente confundem o parser sobre quem é o responsável real); preservar um procedimento manual de contingência (tokens expiram, webhooks falham — a automação nunca deve ser o único caminho possível); anexar a mensagem original e o link da thread ao card (preservando contexto para investigação futura); e manter logs estruturados de auditoria para cada card criado automaticamente (data, canal, versão do prompt usada, resultado completo).</w:t>
      </w:r>
    </w:p>
    <w:p>
      <w:pPr>
        <w:spacing w:after="160"/>
      </w:pPr>
      <w:r>
        <w:rPr>
          <w:rFonts w:ascii="Arial" w:hAnsi="Arial"/>
          <w:b w:val="0"/>
          <w:color w:val="333333"/>
          <w:sz w:val="22"/>
        </w:rPr>
        <w:t>O capítulo fecha com situações ambíguas que exigem tratamento especial: respostas curtas em threads (recuperadas junto ao histórico da conversa antes do parsing — o mesmo princípio de recuperação de contexto usado em arquiteturas RAG), mensagens com múltiplas ações para pessoas diferentes (decompostas em objetos independentes, não um único card com duas tarefas), perguntas confundidas com ações ("alguém já verificou?" não deve gerar automaticamente um card de investigação), jargão interno da equipe (resolvido com um glossário incorporado ao contexto do parser) e mensagens bilíngues (aceitas naturalmente na entrada, mas padronizadas em português na saída, preservando consistência da documentação).</w:t>
      </w:r>
    </w:p>
    <w:p>
      <w:pPr>
        <w:pStyle w:val="Heading2"/>
        <w:spacing w:before="360" w:after="160"/>
      </w:pPr>
      <w:r>
        <w:rPr>
          <w:rFonts w:ascii="Arial" w:hAnsi="Arial"/>
          <w:b/>
          <w:color w:val="2E74B5"/>
          <w:sz w:val="28"/>
        </w:rPr>
        <w:t>Módulo 10: Portfólio e OKRs com IA</w:t>
      </w:r>
    </w:p>
    <w:p>
      <w:pPr>
        <w:pStyle w:val="Heading3"/>
        <w:spacing w:before="200" w:after="80"/>
      </w:pPr>
      <w:r>
        <w:rPr>
          <w:rFonts w:ascii="Arial" w:hAnsi="Arial"/>
          <w:b/>
          <w:color w:val="1F4D78"/>
          <w:sz w:val="24"/>
        </w:rPr>
        <w:t>Capítulo 1: Output versus Outcome</w:t>
      </w:r>
    </w:p>
    <w:p>
      <w:pPr>
        <w:spacing w:after="160"/>
      </w:pPr>
      <w:r>
        <w:rPr>
          <w:rFonts w:ascii="Arial" w:hAnsi="Arial"/>
          <w:b w:val="0"/>
          <w:color w:val="333333"/>
          <w:sz w:val="22"/>
        </w:rPr>
        <w:t xml:space="preserve">O módulo final conecta tudo que foi construído ao longo do curso a uma pergunta que nenhuma métrica operacional isolada responde: todo esse trabalho está realmente gerando valor para o negócio? A distinção central é entre </w:t>
      </w:r>
      <w:r>
        <w:rPr>
          <w:rFonts w:ascii="Arial" w:hAnsi="Arial"/>
          <w:b/>
          <w:color w:val="333333"/>
          <w:sz w:val="22"/>
        </w:rPr>
        <w:t>output</w:t>
      </w:r>
      <w:r>
        <w:rPr>
          <w:rFonts w:ascii="Arial" w:hAnsi="Arial"/>
          <w:b w:val="0"/>
          <w:color w:val="333333"/>
          <w:sz w:val="22"/>
        </w:rPr>
        <w:t xml:space="preserve"> (o que a equipe produz — funcionalidades, APIs, dashboards, documentação) e </w:t>
      </w:r>
      <w:r>
        <w:rPr>
          <w:rFonts w:ascii="Arial" w:hAnsi="Arial"/>
          <w:b/>
          <w:color w:val="333333"/>
          <w:sz w:val="22"/>
        </w:rPr>
        <w:t>outcome</w:t>
      </w:r>
      <w:r>
        <w:rPr>
          <w:rFonts w:ascii="Arial" w:hAnsi="Arial"/>
          <w:b w:val="0"/>
          <w:color w:val="333333"/>
          <w:sz w:val="22"/>
        </w:rPr>
        <w:t xml:space="preserve"> (o impacto real dessas entregas sobre indicadores de negócio — tempo de atendimento, número de acidentes, satisfação, retenção). Uma equipe pode entregar dezenas de User Stories num trimestre (output alto) sem que nenhum indicador estratégico se mova (outcome zero) — cenário citado explicitamente como uma das principais causas de fracasso em iniciativas de transformação digital.</w:t>
      </w:r>
    </w:p>
    <w:p>
      <w:pPr>
        <w:spacing w:after="160"/>
      </w:pPr>
      <w:r>
        <w:rPr>
          <w:rFonts w:ascii="Arial" w:hAnsi="Arial"/>
          <w:b w:val="0"/>
          <w:color w:val="333333"/>
          <w:sz w:val="22"/>
        </w:rPr>
        <w:t xml:space="preserve">O framework </w:t>
      </w:r>
      <w:r>
        <w:rPr>
          <w:rFonts w:ascii="Arial" w:hAnsi="Arial"/>
          <w:b/>
          <w:color w:val="333333"/>
          <w:sz w:val="22"/>
        </w:rPr>
        <w:t>OKR</w:t>
      </w:r>
      <w:r>
        <w:rPr>
          <w:rFonts w:ascii="Arial" w:hAnsi="Arial"/>
          <w:b w:val="0"/>
          <w:color w:val="333333"/>
          <w:sz w:val="22"/>
        </w:rPr>
        <w:t xml:space="preserve"> (Objectives and Key Results) formaliza essa conexão: o </w:t>
      </w:r>
      <w:r>
        <w:rPr>
          <w:rFonts w:ascii="Arial" w:hAnsi="Arial"/>
          <w:b/>
          <w:color w:val="333333"/>
          <w:sz w:val="22"/>
        </w:rPr>
        <w:t>Objective</w:t>
      </w:r>
      <w:r>
        <w:rPr>
          <w:rFonts w:ascii="Arial" w:hAnsi="Arial"/>
          <w:b w:val="0"/>
          <w:color w:val="333333"/>
          <w:sz w:val="22"/>
        </w:rPr>
        <w:t xml:space="preserve"> é uma descrição qualitativa do estado desejado (direção, não tarefa nem cronograma); os </w:t>
      </w:r>
      <w:r>
        <w:rPr>
          <w:rFonts w:ascii="Arial" w:hAnsi="Arial"/>
          <w:b/>
          <w:color w:val="333333"/>
          <w:sz w:val="22"/>
        </w:rPr>
        <w:t>Key Results</w:t>
      </w:r>
      <w:r>
        <w:rPr>
          <w:rFonts w:ascii="Arial" w:hAnsi="Arial"/>
          <w:b w:val="0"/>
          <w:color w:val="333333"/>
          <w:sz w:val="22"/>
        </w:rPr>
        <w:t xml:space="preserve"> definem como comprovar que aquele objetivo foi alcançado — e precisam ser obrigatoriamente quantitativos e mensuráveis. O erro mais citado é usar uma tarefa como se fosse Key Result: "implementar o módulo de alertas" descreve uma atividade de desenvolvimento, não um resultado de negócio; "reduzir em 20% os acidentes por excesso de velocidade até setembro" expressa efetivamente o impacto que interessa. Essa distinção muda completamente o acompanhamento: uma tarefa concluída fecha o ciclo; um Key Result orientado a negócio obriga a perguntar continuamente "a entrega realmente produziu o efeito esperado?".</w:t>
      </w:r>
    </w:p>
    <w:p>
      <w:pPr>
        <w:spacing w:after="160"/>
      </w:pPr>
      <w:r>
        <w:rPr>
          <w:rFonts w:ascii="Arial" w:hAnsi="Arial"/>
          <w:b w:val="0"/>
          <w:color w:val="333333"/>
          <w:sz w:val="22"/>
        </w:rPr>
        <w:t xml:space="preserve">A IA participa da conexão entre execução e estratégia através do </w:t>
      </w:r>
      <w:r>
        <w:rPr>
          <w:rFonts w:ascii="Arial" w:hAnsi="Arial"/>
          <w:b/>
          <w:color w:val="333333"/>
          <w:sz w:val="22"/>
        </w:rPr>
        <w:t>OKR Aligner</w:t>
      </w:r>
      <w:r>
        <w:rPr>
          <w:rFonts w:ascii="Arial" w:hAnsi="Arial"/>
          <w:b w:val="0"/>
          <w:color w:val="333333"/>
          <w:sz w:val="22"/>
        </w:rPr>
        <w:t>, que passa a monitorar continuamente o alinhamento entre backlog e Key Results — funcionalidades sem relação clara com nenhum objetivo tornam-se candidatas naturais à reavaliação; iniciativas fortemente associadas aos principais Key Results ganham maior atenção no planejamento.</w:t>
      </w:r>
    </w:p>
    <w:p>
      <w:pPr>
        <w:pStyle w:val="Heading3"/>
        <w:spacing w:before="200" w:after="80"/>
      </w:pPr>
      <w:r>
        <w:rPr>
          <w:rFonts w:ascii="Arial" w:hAnsi="Arial"/>
          <w:b/>
          <w:color w:val="1F4D78"/>
          <w:sz w:val="24"/>
        </w:rPr>
        <w:t>Capítulo 2: Operacionalização — Do Check-in Semanal ao Diagnóstico de Causa</w:t>
      </w:r>
    </w:p>
    <w:p>
      <w:pPr>
        <w:spacing w:after="160"/>
      </w:pPr>
      <w:r>
        <w:rPr>
          <w:rFonts w:ascii="Arial" w:hAnsi="Arial"/>
          <w:b w:val="0"/>
          <w:color w:val="333333"/>
          <w:sz w:val="22"/>
        </w:rPr>
        <w:t>O capítulo trata da diferença entre definir bons OKRs e efetivamente usá-los na rotina — um conjunto bem escrito, mas revisado apenas ao final do trimestre, contribui pouco para decisões do dia a dia. A IA atua em dois momentos: na própria elaboração (sugerindo Objectives e Key Results já validados quanto a mensurabilidade, prazo, baseline e responsável, a partir de uma descrição em linguagem natural do contexto estratégico) e nos acompanhamentos periódicos, onde não apenas registra a evolução, mas projeta o ritmo necessário para atingir a meta e identifica quais Key Results estão em risco.</w:t>
      </w:r>
    </w:p>
    <w:p>
      <w:pPr>
        <w:spacing w:after="160"/>
      </w:pPr>
      <w:r>
        <w:rPr>
          <w:rFonts w:ascii="Arial" w:hAnsi="Arial"/>
          <w:b w:val="0"/>
          <w:color w:val="333333"/>
          <w:sz w:val="22"/>
        </w:rPr>
        <w:t>O exemplo central da RouteWise é particularmente revelador: a meta de reduzir sinistros em 20% até setembro mostra apenas 8% de redução em julho — número que poderia parecer positivo isoladamente, mas que, projetado contra o tempo restante do ciclo, indica ritmo insuficiente. A análise do modelo vai além de sinalizar o risco: cruza informações do projeto e identifica que a funcionalidade de alertas já está tecnicamente operacional (o limitador não é tecnológico), mas apenas ~60% dos motoristas foram treinados para utilizá-la corretamente. A recomendação resultante não é mais desenvolvimento de software — é priorizar o programa de treinamento nas semanas seguintes, demonstrando que a IA, quando bem contextualizada, direciona a atenção para a alavanca real do problema, não apenas para o sintoma numérico.</w:t>
      </w:r>
    </w:p>
    <w:p>
      <w:pPr>
        <w:spacing w:after="160"/>
      </w:pPr>
      <w:r>
        <w:rPr>
          <w:rFonts w:ascii="Arial" w:hAnsi="Arial"/>
          <w:b w:val="0"/>
          <w:color w:val="333333"/>
          <w:sz w:val="22"/>
        </w:rPr>
        <w:t xml:space="preserve">O </w:t>
      </w:r>
      <w:r>
        <w:rPr>
          <w:rFonts w:ascii="Arial" w:hAnsi="Arial"/>
          <w:b/>
          <w:color w:val="333333"/>
          <w:sz w:val="22"/>
        </w:rPr>
        <w:t>OKR Aligner Prompt</w:t>
      </w:r>
      <w:r>
        <w:rPr>
          <w:rFonts w:ascii="Arial" w:hAnsi="Arial"/>
          <w:b w:val="0"/>
          <w:color w:val="333333"/>
          <w:sz w:val="22"/>
        </w:rPr>
        <w:t xml:space="preserve"> tem dois templates complementares: validação estrutural (cinco critérios — Objective como estado desejado e não tarefa, Key Results mensuráveis, prazo definido, baseline existente, responsável explícito) e análise de alinhamento do backlog, classificando cada User Story como diretamente alinhada (contribui mensuravelmente a um Key Result), indiretamente alinhada (viabiliza outra iniciativa que contribui) ou não alinhada. Itens não alinhados não são descartados automaticamente — o modelo sugere alternativas contextuais: remover, transferir para um backlog de inovação, ou reconhecer que a lacuna está nos próprios OKRs, que talvez precisem ser revisados para refletir uma prioridade estratégica real ainda não contemplada.</w:t>
      </w:r>
    </w:p>
    <w:p>
      <w:pPr>
        <w:spacing w:after="160"/>
      </w:pPr>
      <w:r>
        <w:rPr>
          <w:rFonts w:ascii="Arial" w:hAnsi="Arial"/>
          <w:b w:val="0"/>
          <w:color w:val="333333"/>
          <w:sz w:val="22"/>
        </w:rPr>
        <w:t>O capítulo também descreve sinais comportamentais de maturidade organizacional: equipes que passam a questionar espontaneamente a relação entre novas demandas e os OKRs vigentes; cerimônias onde métricas de negócio aparecem naturalmente nas conversas, não só tarefas técnicas; e priorização de backlog usando alinhamento estratégico como critério permanente, não auditoria de fim de trimestre. Um sinal de alerta importante: Key Results consistentemente concluídos acima de 90% costumam indicar metas conservadoras demais, sintoma de ambiente que pune o não atingimento em vez de tratá-lo como aprendizado — por isso o próprio OKR Aligner avalia também o grau de ambição dos indicadores propostos.</w:t>
      </w:r>
    </w:p>
    <w:p>
      <w:pPr>
        <w:pStyle w:val="Heading3"/>
        <w:spacing w:before="200" w:after="80"/>
      </w:pPr>
      <w:r>
        <w:rPr>
          <w:rFonts w:ascii="Arial" w:hAnsi="Arial"/>
          <w:b/>
          <w:color w:val="1F4D78"/>
          <w:sz w:val="24"/>
        </w:rPr>
        <w:t>Capítulo 3: Curadoria Final e o Encerramento da Jornada</w:t>
      </w:r>
    </w:p>
    <w:p>
      <w:pPr>
        <w:spacing w:after="160"/>
      </w:pPr>
      <w:r>
        <w:rPr>
          <w:rFonts w:ascii="Arial" w:hAnsi="Arial"/>
          <w:b w:val="0"/>
          <w:color w:val="333333"/>
          <w:sz w:val="22"/>
        </w:rPr>
        <w:t>O capítulo de encerramento consolida os principais cuidados no uso profissional de todas as dez ferramentas construídas ao longo do curso. A validação estrutural de um OKR não garante relevância estratégica — um Key Result pode estar metodologicamente perfeito e ainda assim medir algo irrelevante para o negócio; essa avaliação de fundo permanece humana. A classificação de alinhamento do OKR Aligner deve gerar conversa real sobre prioridades, nunca ser tratada como decorativa — histórias não alinhadas exigem decisão consciente, não arquivamento automático. Dashboards de portfólio sofisticados sem ação concreta associada a cada item crítico (responsável, prazo, plano) documentam a própria inércia organizacional em vez de combatê-la. E usar OKRs como instrumento de avaliação individual de desempenho tende a produzir metas artificialmente conservadoras — o framework funciona melhor como mecanismo de aprendizado organizacional, não de punição.</w:t>
      </w:r>
    </w:p>
    <w:p>
      <w:pPr>
        <w:spacing w:after="160"/>
      </w:pPr>
      <w:r>
        <w:rPr>
          <w:rFonts w:ascii="Arial" w:hAnsi="Arial"/>
          <w:b w:val="0"/>
          <w:color w:val="333333"/>
          <w:sz w:val="22"/>
        </w:rPr>
        <w:t>O material revisita a jornada completa da RouteWise, desde uma reunião inicial de ~35 minutos até um sistema de gestão orientado por dez ferramentas interligadas — cada artefato produzido por um módulo alimentando naturalmente o próximo (backlog estruturado → priorização → cronograma → estimativas probabilísticas → monitoramento de risco → decisões documentadas em reunião → comunicação adaptada por público → conformidade automatizada no pipeline → sincronização entre ferramentas → verificação contra objetivos estratégicos). O maior aprendizado apontado explicitamente não é o domínio de nenhuma ferramenta específica — modelos, interfaces e plataformas continuarão mudando — mas a forma de pensar problemas de gestão com apoio de IA: estruturar contexto, construir prompts consistentes, validar resultados, reconhecer limitações do modelo e saber exatamente quando o julgamento humano permanece indispensável.</w:t>
      </w:r>
    </w:p>
    <w:p>
      <w:pPr>
        <w:spacing w:before="120" w:after="120"/>
        <w:ind w:left="360" w:right="360"/>
        <w:shd w:val="clear" w:fill="F5F5F5"/>
        <w:pBdr>
          <w:left w:val="single" w:color="2E75B6" w:sz="4" w:space="10"/>
        </w:pBdr>
      </w:pPr>
      <w:r>
        <w:rPr>
          <w:rFonts w:ascii="Arial" w:hAnsi="Arial"/>
          <w:b w:val="0"/>
          <w:color w:val="333333"/>
          <w:sz w:val="22"/>
        </w:rPr>
        <w:t xml:space="preserve">✅ </w:t>
      </w:r>
      <w:r>
        <w:rPr>
          <w:rFonts w:ascii="Arial" w:hAnsi="Arial"/>
          <w:b/>
          <w:color w:val="333333"/>
          <w:sz w:val="22"/>
        </w:rPr>
        <w:t>Conclusão final do módulo:</w:t>
      </w:r>
      <w:r>
        <w:rPr>
          <w:rFonts w:ascii="Arial" w:hAnsi="Arial"/>
          <w:b w:val="0"/>
          <w:color w:val="333333"/>
          <w:sz w:val="22"/>
        </w:rPr>
        <w:t xml:space="preserve"> a inteligência artificial não corrige, por si só, um projeto mal gerido — aplicada sobre processos inadequados, ela apenas acelera a produção de decisões igualmente inadequadas. Incorporada a uma gestão estruturada, com critérios claros e processos consistentes, ela se torna parceira real para ampliar capacidade analítica, reduzir trabalho repetitivo e fortalecer a qualidade das decisões — mas responsabilidade, estratégia e liderança continuam sendo atribuições exclusivamente humanas.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