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74B5"/>
          <w:sz w:val="40"/>
        </w:rPr>
        <w:t>Ferramentas de IA para Gestão de Projetos</w:t>
      </w:r>
    </w:p>
    <w:p>
      <w:pPr>
        <w:spacing w:after="40"/>
      </w:pPr>
      <w:r>
        <w:rPr>
          <w:rFonts w:ascii="Arial" w:hAnsi="Arial"/>
          <w:b/>
          <w:color w:val="2E74B5"/>
          <w:sz w:val="24"/>
        </w:rPr>
        <w:t>Pós-Graduação em Engenharia de Software com IA Aplicada — UNIPDS</w:t>
      </w:r>
    </w:p>
    <w:p>
      <w:pPr>
        <w:spacing w:after="40"/>
      </w:pPr>
      <w:r>
        <w:rPr>
          <w:rFonts w:ascii="Arial" w:hAnsi="Arial"/>
          <w:i/>
          <w:color w:val="555555"/>
          <w:sz w:val="20"/>
        </w:rPr>
        <w:t>Ahirton Lopes · Rafael Mattos Moreira — Resumo de estudo técnico · 2026</w:t>
      </w:r>
    </w:p>
    <w:p>
      <w:pPr>
        <w:spacing w:after="120"/>
      </w:pPr>
    </w:p>
    <w:p>
      <w:pPr>
        <w:pStyle w:val="Heading2"/>
        <w:spacing w:before="360" w:after="160"/>
      </w:pPr>
      <w:r>
        <w:rPr>
          <w:rFonts w:ascii="Arial" w:hAnsi="Arial"/>
          <w:b/>
          <w:color w:val="2E74B5"/>
          <w:sz w:val="28"/>
        </w:rPr>
        <w:t>1. Visão Geral do Módulo</w:t>
      </w:r>
    </w:p>
    <w:p>
      <w:pPr>
        <w:spacing w:after="160"/>
      </w:pPr>
      <w:r>
        <w:rPr>
          <w:rFonts w:ascii="Arial" w:hAnsi="Arial"/>
          <w:b w:val="0"/>
          <w:color w:val="333333"/>
          <w:sz w:val="22"/>
        </w:rPr>
        <w:t xml:space="preserve">O módulo constrói, ao longo de dez frentes, um ecossistema completo de gestão de projetos assistida por IA — do levantamento de requisitos até a conexão entre backlog e objetivos estratégicos (OKRs) — usando como fio condutor um único estudo de caso: a </w:t>
      </w:r>
      <w:r>
        <w:rPr>
          <w:rFonts w:ascii="Arial" w:hAnsi="Arial"/>
          <w:b/>
          <w:color w:val="333333"/>
          <w:sz w:val="22"/>
        </w:rPr>
        <w:t>RouteWise</w:t>
      </w:r>
      <w:r>
        <w:rPr>
          <w:rFonts w:ascii="Arial" w:hAnsi="Arial"/>
          <w:b w:val="0"/>
          <w:color w:val="333333"/>
          <w:sz w:val="22"/>
        </w:rPr>
        <w:t xml:space="preserve">, projeto de modernização de frota da transportadora fictícia </w:t>
      </w:r>
      <w:r>
        <w:rPr>
          <w:rFonts w:ascii="Arial" w:hAnsi="Arial"/>
          <w:b/>
          <w:color w:val="333333"/>
          <w:sz w:val="22"/>
        </w:rPr>
        <w:t>Conecta Cargas</w:t>
      </w:r>
      <w:r>
        <w:rPr>
          <w:rFonts w:ascii="Arial" w:hAnsi="Arial"/>
          <w:b w:val="0"/>
          <w:color w:val="333333"/>
          <w:sz w:val="22"/>
        </w:rPr>
        <w:t xml:space="preserve"> (~140 veículos), conduzido pelo diretor de operações Carlos. Cada módulo entrega uma ferramenta ("Requirements Copilot", "Backlog Scorer", "Scheduling Prompt", "Probability Forecast", "Risk Monitor", "Meeting Digest", "Status Report", "Compliance Checklist", "Natural Language to Workflow Bot", "OKR Aligner") e demonstra sua aplicação sobre o mesmo backlog em evolução contínua. O princípio central, repetido em todos os módulos, é que a IA acelera produção de artefatos e amplia capacidade analítica, mas curadoria humana permanece indispensável — a IA organiza, o gestor decide.</w:t>
      </w:r>
    </w:p>
    <w:p>
      <w:pPr>
        <w:pStyle w:val="Heading2"/>
        <w:spacing w:before="360" w:after="160"/>
      </w:pPr>
      <w:r>
        <w:rPr>
          <w:rFonts w:ascii="Arial" w:hAnsi="Arial"/>
          <w:b/>
          <w:color w:val="2E74B5"/>
          <w:sz w:val="28"/>
        </w:rPr>
        <w:t>2. Conceitos Fundamentais</w:t>
      </w:r>
    </w:p>
    <w:p>
      <w:pPr>
        <w:pStyle w:val="Heading3"/>
        <w:spacing w:before="200" w:after="80"/>
      </w:pPr>
      <w:r>
        <w:rPr>
          <w:rFonts w:ascii="Arial" w:hAnsi="Arial"/>
          <w:b/>
          <w:color w:val="1F4D78"/>
          <w:sz w:val="24"/>
        </w:rPr>
        <w:t>Requirements Copilot — Engenharia de Requisitos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Conceito</w:t>
            </w:r>
          </w:p>
        </w:tc>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Definição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Requirements Copilot</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LLM configurada por System Prompt para atuar como analista sênior de requisitos, produzindo artefatos padronizados (não apenas texto livre)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Protocolo de Ambiguidade</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Regra que impede o modelo de inventar parâmetros técnicos ausentes na transcrição — em vez disso, registra a lacuna como pergunta em aberto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INVEST</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Critérios de qualidade de uma User Story: Independente, Negociável, Valiosa, Estimável, pequena (Small), Testável</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Mapa de Confiança</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Classificação de cada domínio de negócio extraído da transcrição por nível de detalhamento (alto/médio/baixo) — indicador da qualidade do discovery, não do modelo</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w:t>
      </w:r>
      <w:r>
        <w:rPr>
          <w:rFonts w:ascii="Arial" w:hAnsi="Arial"/>
          <w:b/>
          <w:color w:val="333333"/>
          <w:sz w:val="22"/>
        </w:rPr>
        <w:t>Regra fundamental:</w:t>
      </w:r>
      <w:r>
        <w:rPr>
          <w:rFonts w:ascii="Arial" w:hAnsi="Arial"/>
          <w:b w:val="0"/>
          <w:color w:val="333333"/>
          <w:sz w:val="22"/>
        </w:rPr>
        <w:t xml:space="preserve"> modelos de linguagem têm viés de completude — preenchem lacunas com suposições estatisticamente plausíveis. Em engenharia de requisitos isso é perigoso: um requisito "responder em tempo real" pode virar "200ms" inventado pela IA e nunca aprovado pelo cliente. O protocolo de ambiguidade existe para impedir exatamente isso.</w:t>
      </w:r>
    </w:p>
    <w:p>
      <w:pPr>
        <w:pStyle w:val="Heading3"/>
        <w:spacing w:before="200" w:after="80"/>
      </w:pPr>
      <w:r>
        <w:rPr>
          <w:rFonts w:ascii="Arial" w:hAnsi="Arial"/>
          <w:b/>
          <w:color w:val="1F4D78"/>
          <w:sz w:val="24"/>
        </w:rPr>
        <w:t>Priorização Inteligente de Backlog</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Framework</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Pergunta que responde</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Quando prevalece</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MoSCoW (Must/Should/Could/Won't Have)</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 que sequer disputa prioridade nesta sprint?</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Filtro inicial, antes dos cálculos quantitativos</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RICE (Reach, Impact, Confidence, Effort)</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Onde o investimento produz maior retorno?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Discussões de ROI e otimização de capacidade</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WSJF (Weighted Shortest Job First / Cost of Delay)</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 que não pode esperar?</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Prazos regulatórios, riscos operacionais, janelas temporais</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w:t>
      </w:r>
      <w:r>
        <w:rPr>
          <w:rFonts w:ascii="Arial" w:hAnsi="Arial"/>
          <w:b/>
          <w:color w:val="333333"/>
          <w:sz w:val="22"/>
        </w:rPr>
        <w:t>Mentalidade correta:</w:t>
      </w:r>
      <w:r>
        <w:rPr>
          <w:rFonts w:ascii="Arial" w:hAnsi="Arial"/>
          <w:b w:val="0"/>
          <w:color w:val="333333"/>
          <w:sz w:val="22"/>
        </w:rPr>
        <w:t xml:space="preserve"> HIPPO (Highest Paid Person's Opinion) — a opinião de quem tem mais autoridade prevalecendo sem dados — é uma das maiores causas de desperdício de esforço de engenharia. Frameworks não eliminam a decisão humana; dão argumentos objetivos para sustentá-la.</w:t>
      </w:r>
    </w:p>
    <w:p>
      <w:pPr>
        <w:pStyle w:val="Heading3"/>
        <w:spacing w:before="200" w:after="80"/>
      </w:pPr>
      <w:r>
        <w:rPr>
          <w:rFonts w:ascii="Arial" w:hAnsi="Arial"/>
          <w:b/>
          <w:color w:val="1F4D78"/>
          <w:sz w:val="24"/>
        </w:rPr>
        <w:t>Cronograma Adaptativo e Estimativas Probabilísticas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Conceito</w:t>
            </w:r>
          </w:p>
        </w:tc>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Definição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Overcommitment</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Planejar 100% da capacidade da equipe sem margem para imprevistos — sprint quebra ao primeiro evento inesperado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Análise What-If</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Simulação de cenários futuros (férias, atraso de fornecedor, antecipação de escopo) recalculando cronograma automaticamente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Planning Fallacy</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Viés cognitivo (Kahneman/Tversky) de subestimar tempo/custo/complexidade — não é falta de competência, é tendência humana sistemática</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Inside View vs. Outside View</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Estimar pela percepção interna do projeto vs. estimar pelo comportamento histórico de projetos comparáveis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Estimativa de Três Pontos</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Otimista, mais provável, pessimista — substitui uma data fixa por uma distribuição de possibilidades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Distribuição PERT</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Pondera os três cenários dando mais peso ao "mais provável" que aos extremos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Simulação de Monte Carlo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Milhares de simulações usando as distribuições PERT de cada item — produz percentis (P50, P85, P95) de conclusão do projeto</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w:t>
      </w:r>
      <w:r>
        <w:rPr>
          <w:rFonts w:ascii="Arial" w:hAnsi="Arial"/>
          <w:b/>
          <w:color w:val="333333"/>
          <w:sz w:val="22"/>
        </w:rPr>
        <w:t>Regra fundamental:</w:t>
      </w:r>
      <w:r>
        <w:rPr>
          <w:rFonts w:ascii="Arial" w:hAnsi="Arial"/>
          <w:b w:val="0"/>
          <w:color w:val="333333"/>
          <w:sz w:val="22"/>
        </w:rPr>
        <w:t xml:space="preserve"> P85 não é uma data garantida — significa que 85% dos cenários simulados terminam até aquela data. Comprometer um prazo no P50 equivale a aceitar ~50% de chance de atraso; a escolha do percentil é uma decisão consciente de tolerância a risco, não um detalhe técnico.</w:t>
      </w:r>
    </w:p>
    <w:p>
      <w:pPr>
        <w:pStyle w:val="Heading3"/>
        <w:spacing w:before="200" w:after="80"/>
      </w:pPr>
      <w:r>
        <w:rPr>
          <w:rFonts w:ascii="Arial" w:hAnsi="Arial"/>
          <w:b/>
          <w:color w:val="1F4D78"/>
          <w:sz w:val="24"/>
        </w:rPr>
        <w:t>AIOps de Projeto — Riscos e Mitigações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Métrica</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O que revela</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Como interpretar em conjunto</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Lead Time</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Tempo total da entrada no backlog até conclusão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Cresce sozinho → gargalo de fila/priorização, não de execução</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Cycle Time</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Tempo efetivo em desenvolvimento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Cresce junto com Lead Time → dificuldade na implementação em si</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Taxa de bugs por sprint</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Criados vs. resolvidos</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Saldo positivo persistente → dívida de qualidade se acumulando silenciosamente</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Frequência de alteração de User Story</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Quantas vezes o escopo muda após entrar na sprint</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Alta frequência → scope creep, requisito insuficientemente refinado</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w:t>
      </w:r>
      <w:r>
        <w:rPr>
          <w:rFonts w:ascii="Arial" w:hAnsi="Arial"/>
          <w:b/>
          <w:color w:val="333333"/>
          <w:sz w:val="22"/>
        </w:rPr>
        <w:t>Regra de ouro:</w:t>
      </w:r>
      <w:r>
        <w:rPr>
          <w:rFonts w:ascii="Arial" w:hAnsi="Arial"/>
          <w:b w:val="0"/>
          <w:color w:val="333333"/>
          <w:sz w:val="22"/>
        </w:rPr>
        <w:t xml:space="preserve"> um indicador isolado raramente explica a causa. Lead Time alto + Cycle Time estável aponta fila/espera; os dois crescendo juntos aponta dificuldade real de implementação. Confundir as duas leituras direciona esforço de correção para o lugar errado.</w:t>
      </w:r>
    </w:p>
    <w:p>
      <w:pPr>
        <w:pStyle w:val="Heading3"/>
        <w:spacing w:before="200" w:after="80"/>
      </w:pPr>
      <w:r>
        <w:rPr>
          <w:rFonts w:ascii="Arial" w:hAnsi="Arial"/>
          <w:b/>
          <w:color w:val="1F4D78"/>
          <w:sz w:val="24"/>
        </w:rPr>
        <w:t>Reuniões, Comunicação e Governança</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Conceito</w:t>
            </w:r>
          </w:p>
        </w:tc>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Definição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Meeting Digest</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Pipeline transcrição → síntese semântica → extração, que transforma reunião em atas, ações, decisões e perguntas em aberto estruturadas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Síntese Semântica</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Interpretar </w:t>
            </w:r>
            <w:r>
              <w:rPr>
                <w:rFonts w:ascii="Arial" w:hAnsi="Arial"/>
                <w:i/>
                <w:color w:val="333333"/>
                <w:sz w:val="22"/>
              </w:rPr>
              <w:t>intenção</w:t>
            </w:r>
            <w:r>
              <w:rPr>
                <w:rFonts w:ascii="Arial" w:hAnsi="Arial"/>
                <w:b w:val="0"/>
                <w:color w:val="333333"/>
                <w:sz w:val="22"/>
              </w:rPr>
              <w:t xml:space="preserve"> (compromisso, decisão, dúvida) além de transcrever literalmente as palavras ditas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Status Report Adaptativo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Mesmos dados, três narrativas (técnica, gerencial, executiva) — muda o que é enfatizado, não o que é verdadeiro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Governança como Código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Regras de conformidade transformadas em verificações automáticas no pipeline de CI (ex.: via Danger.js), em vez de checklist manual pós-fato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Trilha de Auditoria</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Encadeamento rastreável requisito → decisão → implementação → aprovação → implantação</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w:t>
      </w:r>
      <w:r>
        <w:rPr>
          <w:rFonts w:ascii="Arial" w:hAnsi="Arial"/>
          <w:b/>
          <w:color w:val="333333"/>
          <w:sz w:val="22"/>
        </w:rPr>
        <w:t>Exemplo detalhado:</w:t>
      </w:r>
      <w:r>
        <w:rPr>
          <w:rFonts w:ascii="Arial" w:hAnsi="Arial"/>
          <w:b w:val="0"/>
          <w:color w:val="333333"/>
          <w:sz w:val="22"/>
        </w:rPr>
        <w:t xml:space="preserve"> na mesma Sprint 4, o relatório técnico registra que a equipe entregou 100% do planejado; o relatório gerencial classifica o projeto como risco moderado por uma dependência externa; o executivo pede aprovação orçamentária para acelerar o hardware. As três leituras são simultaneamente corretas — cada uma responde à pergunta que aquele público específico precisa resolver.</w:t>
      </w:r>
    </w:p>
    <w:p>
      <w:pPr>
        <w:pStyle w:val="Heading3"/>
        <w:spacing w:before="200" w:after="80"/>
      </w:pPr>
      <w:r>
        <w:rPr>
          <w:rFonts w:ascii="Arial" w:hAnsi="Arial"/>
          <w:b/>
          <w:color w:val="1F4D78"/>
          <w:sz w:val="24"/>
        </w:rPr>
        <w:t>Automação de Ecossistema e OKRs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Conceito</w:t>
            </w:r>
          </w:p>
        </w:tc>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Definição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Natural Language to Workflow</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Mensagem em linguagem natural interpretada semanticamente e convertida em payload estruturado para Jira/Slack/Notion</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Ferramentas conectadas vs. integradas</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Conectadas transportam eventos brutos; integradas interpretam contexto antes de agir</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Action Required</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Campo que sinaliza quando uma mensagem contém decisão gerencial pendente — impede criação automática de card quando ainda cabe julgamento humano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Output vs. Outcome</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Output é o que foi entregue (funcionalidades); outcome é o impacto real gerado (indicador de negócio movido)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OKR (Objective + Key Results)</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Objective é qualitativo/inspirador; Key Results são quantitativos, mensuráveis, com prazo e responsável — nunca uma tarefa disfarçada de indicador</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w:t>
      </w:r>
      <w:r>
        <w:rPr>
          <w:rFonts w:ascii="Arial" w:hAnsi="Arial"/>
          <w:b/>
          <w:color w:val="333333"/>
          <w:sz w:val="22"/>
        </w:rPr>
        <w:t>Regra fundamental:</w:t>
      </w:r>
      <w:r>
        <w:rPr>
          <w:rFonts w:ascii="Arial" w:hAnsi="Arial"/>
          <w:b w:val="0"/>
          <w:color w:val="333333"/>
          <w:sz w:val="22"/>
        </w:rPr>
        <w:t xml:space="preserve"> Key Results sempre superados com folga (~90%+ de conclusão constante) costumam indicar metas conservadoras demais, não sucesso — o papel do OKR é impulsionar, não confirmar o óbvio.</w:t>
      </w:r>
    </w:p>
    <w:p>
      <w:pPr>
        <w:pStyle w:val="Heading2"/>
        <w:spacing w:before="360" w:after="160"/>
      </w:pPr>
      <w:r>
        <w:rPr>
          <w:rFonts w:ascii="Arial" w:hAnsi="Arial"/>
          <w:b/>
          <w:color w:val="2E74B5"/>
          <w:sz w:val="28"/>
        </w:rPr>
        <w:t>3. Detalhes de Implementação</w:t>
      </w:r>
    </w:p>
    <w:p>
      <w:pPr>
        <w:pStyle w:val="Heading3"/>
        <w:spacing w:before="200" w:after="80"/>
      </w:pPr>
      <w:r>
        <w:rPr>
          <w:rFonts w:ascii="Arial" w:hAnsi="Arial"/>
          <w:b/>
          <w:color w:val="1F4D78"/>
          <w:sz w:val="24"/>
        </w:rPr>
        <w:t>3.1 Requirements Copilot — Discovery da RouteWise</w:t>
      </w:r>
    </w:p>
    <w:p>
      <w:pPr>
        <w:spacing w:after="160"/>
      </w:pPr>
      <w:r>
        <w:rPr>
          <w:rFonts w:ascii="Arial" w:hAnsi="Arial"/>
          <w:b w:val="0"/>
          <w:color w:val="333333"/>
          <w:sz w:val="22"/>
        </w:rPr>
        <w:t xml:space="preserve">O System Prompt define o modelo como </w:t>
      </w:r>
      <w:r>
        <w:rPr>
          <w:rFonts w:ascii="Arial" w:hAnsi="Arial"/>
          <w:i/>
          <w:color w:val="333333"/>
          <w:sz w:val="22"/>
        </w:rPr>
        <w:t>copiloto</w:t>
      </w:r>
      <w:r>
        <w:rPr>
          <w:rFonts w:ascii="Arial" w:hAnsi="Arial"/>
          <w:b w:val="0"/>
          <w:color w:val="333333"/>
          <w:sz w:val="22"/>
        </w:rPr>
        <w:t xml:space="preserve"> (não assistente reativo): produz User Stories com papel específico do negócio (nunca "usuário" genérico), critérios de aceite em Gherkin proibindo termos subjetivos ("rapidamente", "adequadamente"), e um mapa de domínios com nível de confiança que serve de roteiro para as próximas entrevistas com o cliente. Toda ambiguidade vira pergunta registrada, nunca um valor inventado — e a boa prática de curadoria recomendada é rastrear cada história até um trecho específico da transcrição original; se não há origem localizável, é candidata a alucinação.</w:t>
      </w:r>
    </w:p>
    <w:p>
      <w:pPr>
        <w:pStyle w:val="Heading3"/>
        <w:spacing w:before="200" w:after="80"/>
      </w:pPr>
      <w:r>
        <w:rPr>
          <w:rFonts w:ascii="Arial" w:hAnsi="Arial"/>
          <w:b/>
          <w:color w:val="1F4D78"/>
          <w:sz w:val="24"/>
        </w:rPr>
        <w:t>3.2 Backlog Scorer — RICE e WSJF Aplicados</w:t>
      </w:r>
    </w:p>
    <w:p>
      <w:pPr>
        <w:spacing w:after="160"/>
      </w:pPr>
      <w:r>
        <w:rPr>
          <w:rFonts w:ascii="Arial" w:hAnsi="Arial"/>
          <w:b w:val="0"/>
          <w:color w:val="333333"/>
          <w:sz w:val="22"/>
        </w:rPr>
        <w:t xml:space="preserve">O agente recebe as User Stories completas + contexto estratégico (OKR do diretor: reduzir sinistros por excesso de velocidade de 7 para 5 até setembro/2026) + restrições operacionais (sensores IoT com 60 dias de prazo de entrega). Após filtragem MoSCoW, aplica RICE e WSJF simultaneamente, gerando </w:t>
      </w:r>
      <w:r>
        <w:rPr>
          <w:rFonts w:ascii="Arial" w:hAnsi="Arial"/>
          <w:b/>
          <w:color w:val="333333"/>
          <w:sz w:val="22"/>
        </w:rPr>
        <w:t>flags</w:t>
      </w:r>
      <w:r>
        <w:rPr>
          <w:rFonts w:ascii="Arial" w:hAnsi="Arial"/>
          <w:b w:val="0"/>
          <w:color w:val="333333"/>
          <w:sz w:val="22"/>
        </w:rPr>
        <w:t xml:space="preserve"> de risco: dependências de hardware, meta de acurácia (80%) sem dados históricos suficientes para validar, e uma funcionalidade solicitada informalmente sem evidência de contribuição ao objetivo estratégico. A calibração usa três fontes de dados quando disponíveis — analytics de uso, pesquisas com usuários (cuidado: intenção declarada ≠ comportamento real de adoção) e indicadores financeiros — com estratégia de </w:t>
      </w:r>
      <w:r>
        <w:rPr>
          <w:rFonts w:ascii="Arial" w:hAnsi="Arial"/>
          <w:i/>
          <w:color w:val="333333"/>
          <w:sz w:val="22"/>
        </w:rPr>
        <w:t>benchmark por analogia</w:t>
      </w:r>
      <w:r>
        <w:rPr>
          <w:rFonts w:ascii="Arial" w:hAnsi="Arial"/>
          <w:b w:val="0"/>
          <w:color w:val="333333"/>
          <w:sz w:val="22"/>
        </w:rPr>
        <w:t xml:space="preserve"> para produtos novos em cold start, sempre sinalizando explicitamente quando a estimativa é uma projeção, não uma medição real.</w:t>
      </w:r>
    </w:p>
    <w:p>
      <w:pPr>
        <w:pStyle w:val="Heading3"/>
        <w:spacing w:before="200" w:after="80"/>
      </w:pPr>
      <w:r>
        <w:rPr>
          <w:rFonts w:ascii="Arial" w:hAnsi="Arial"/>
          <w:b/>
          <w:color w:val="1F4D78"/>
          <w:sz w:val="24"/>
        </w:rPr>
        <w:t>3.3 Scheduling Prompt — Cronograma de Seis Sprints</w:t>
      </w:r>
    </w:p>
    <w:p>
      <w:pPr>
        <w:spacing w:after="160"/>
      </w:pPr>
      <w:r>
        <w:rPr>
          <w:rFonts w:ascii="Arial" w:hAnsi="Arial"/>
          <w:b w:val="0"/>
          <w:color w:val="333333"/>
          <w:sz w:val="22"/>
        </w:rPr>
        <w:t>Com temperatura reduzida (~0,3) para previsibilidade, o prompt recebe composição do time por especialização, capacidade real (65% da nominal — o restante reservado para suporte, bugs, reuniões), feriados que reduzem sprints específicas, e dependências técnicas/de recursos/externas. O cronograma resultante decompõe funcionalidades bloqueadas em entregas incrementais (versão simplificada do score de comportamento usando apenas dados já disponíveis) e cria proativamente uma tarefa "Enabler" para iniciar a aquisição de hardware antes mesmo de ser solicitada — inferência da lógica de planejamento, não instrução explícita. A manutenção preditiva fica fora do MVP por dois bloqueios: prazo de hardware e necessidade de ~30 dias de dados históricos para treinar o modelo com confiabilidade.</w:t>
      </w:r>
    </w:p>
    <w:p>
      <w:pPr>
        <w:pStyle w:val="Heading3"/>
        <w:spacing w:before="200" w:after="80"/>
      </w:pPr>
      <w:r>
        <w:rPr>
          <w:rFonts w:ascii="Arial" w:hAnsi="Arial"/>
          <w:b/>
          <w:color w:val="1F4D78"/>
          <w:sz w:val="24"/>
        </w:rPr>
        <w:t>3.4 Probability Forecast Prompt — Monte Carlo do MVP</w:t>
      </w:r>
    </w:p>
    <w:p>
      <w:pPr>
        <w:spacing w:after="160"/>
      </w:pPr>
      <w:r>
        <w:rPr>
          <w:rFonts w:ascii="Arial" w:hAnsi="Arial"/>
          <w:b w:val="0"/>
          <w:color w:val="333333"/>
          <w:sz w:val="22"/>
        </w:rPr>
        <w:t>Cada User Story recebe estimativa de três pontos, com o cuidado de não misturar esforço de desenvolvimento com tempo de espera por dependência externa (lead time de fornecedor é restrição de calendário, não variabilidade de desenvolvimento). Com ~10.000 simulações, o resultado mostra P50 ≈ 12,5 semanas, P85 ≈ 13,1 semanas, P95 ≈ 13,4 semanas — intervalo estreito não por baixa incerteza, mas porque o hardware é tratado como restrição determinística, dominando a variabilidade do software. Comprometer 12 semanas (prazo original) equivaleria a aceitar apenas ~35% de confiança, evidenciando incompatibilidade entre expectativa e realidade estatística que precisa ser negociada.</w:t>
      </w:r>
    </w:p>
    <w:p>
      <w:pPr>
        <w:pStyle w:val="Heading3"/>
        <w:spacing w:before="200" w:after="80"/>
      </w:pPr>
      <w:r>
        <w:rPr>
          <w:rFonts w:ascii="Arial" w:hAnsi="Arial"/>
          <w:b/>
          <w:color w:val="1F4D78"/>
          <w:sz w:val="24"/>
        </w:rPr>
        <w:t>3.5 Risk Monitor — Cockpit de Riscos da Sprint 5</w:t>
      </w:r>
    </w:p>
    <w:p>
      <w:pPr>
        <w:spacing w:after="160"/>
      </w:pPr>
      <w:r>
        <w:rPr>
          <w:rFonts w:ascii="Arial" w:hAnsi="Arial"/>
          <w:b w:val="0"/>
          <w:color w:val="333333"/>
          <w:sz w:val="22"/>
        </w:rPr>
        <w:t>Alimentado por histórico das quatro sprints anteriores (Lead Time subindo de ~6 para ~11 dias, Cycle Time estável, saldo de bugs crescente, defeito crítico afetando parte da frota, hardware ainda não entregue), o cockpit classifica quatro componentes de risco (fluxo/eficiência, qualidade, dependências externas, previsibilidade) e gera plano de mitigação com critérios de sucesso mensuráveis: aplicar "Stop Starting, Start Finishing", reduzir limites de WIP, e fortalecer a Definition of Ready para histórias dependentes de fatores externos.</w:t>
      </w:r>
    </w:p>
    <w:p>
      <w:pPr>
        <w:pStyle w:val="Heading3"/>
        <w:spacing w:before="200" w:after="80"/>
      </w:pPr>
      <w:r>
        <w:rPr>
          <w:rFonts w:ascii="Arial" w:hAnsi="Arial"/>
          <w:b/>
          <w:color w:val="1F4D78"/>
          <w:sz w:val="24"/>
        </w:rPr>
        <w:t>3.6 Meeting Digest — Sprint Review com Duas Mudanças de Escopo</w:t>
      </w:r>
    </w:p>
    <w:p>
      <w:pPr>
        <w:spacing w:after="160"/>
      </w:pPr>
      <w:r>
        <w:rPr>
          <w:rFonts w:ascii="Arial" w:hAnsi="Arial"/>
          <w:b w:val="0"/>
          <w:color w:val="333333"/>
          <w:sz w:val="22"/>
        </w:rPr>
        <w:t>Processando a transcrição de uma Sprint Review, o agente distingue quatro categorias (ações, decisões, riscos/impedimentos, perguntas em aberto), consolidando o mesmo tema discutido em múltiplos momentos da reunião (retorno da funcionalidade S05 ao backlog por necessidade de demonstração executiva; criação da S06 por demanda do RH) numa única linha narrativa coerente, em vez de registros fragmentados. Limitações identificadas na curadoria: prazo implícito não convertido para campo estruturado, decisão técnica pontual (ajuste de timeout) não capturada como decisão formal, e uma pergunta sobre disponibilidade de API não registrada como pendência.</w:t>
      </w:r>
    </w:p>
    <w:p>
      <w:pPr>
        <w:pStyle w:val="Heading3"/>
        <w:spacing w:before="200" w:after="80"/>
      </w:pPr>
      <w:r>
        <w:rPr>
          <w:rFonts w:ascii="Arial" w:hAnsi="Arial"/>
          <w:b/>
          <w:color w:val="1F4D78"/>
          <w:sz w:val="24"/>
        </w:rPr>
        <w:t>3.7 Status Report Adaptativo — Três Leituras da Sprint 4</w:t>
      </w:r>
    </w:p>
    <w:p>
      <w:pPr>
        <w:spacing w:after="160"/>
      </w:pPr>
      <w:r>
        <w:rPr>
          <w:rFonts w:ascii="Arial" w:hAnsi="Arial"/>
          <w:b w:val="0"/>
          <w:color w:val="333333"/>
          <w:sz w:val="22"/>
        </w:rPr>
        <w:t xml:space="preserve">Os mesmos indicadores (Velocity ~22 pontos, Lead Time ~10 dias, 11 bugs criados/6 resolvidos, bloqueio de hardware ativo) geram três documentos: técnico (foco em WIP e correção do defeito crítico), gerencial (classificação de status — vermelho ou amarelo, ambos defensáveis — e decisões pendentes de aprovação orçamentária), e executivo (funcionalidades já em valor, risco resumido, decisão de aprovação necessária). A extensão do fluxo para </w:t>
      </w:r>
      <w:r>
        <w:rPr>
          <w:rFonts w:ascii="Arial" w:hAnsi="Arial"/>
          <w:b/>
          <w:color w:val="333333"/>
          <w:sz w:val="22"/>
        </w:rPr>
        <w:t>Executive Summary de portfólio</w:t>
      </w:r>
      <w:r>
        <w:rPr>
          <w:rFonts w:ascii="Arial" w:hAnsi="Arial"/>
          <w:b w:val="0"/>
          <w:color w:val="333333"/>
          <w:sz w:val="22"/>
        </w:rPr>
        <w:t xml:space="preserve"> consolida múltiplos Status Reports executivos numa visão única para a diretoria acompanhar diversas iniciativas simultaneamente.</w:t>
      </w:r>
    </w:p>
    <w:p>
      <w:pPr>
        <w:pStyle w:val="Heading3"/>
        <w:spacing w:before="200" w:after="80"/>
      </w:pPr>
      <w:r>
        <w:rPr>
          <w:rFonts w:ascii="Arial" w:hAnsi="Arial"/>
          <w:b/>
          <w:color w:val="1F4D78"/>
          <w:sz w:val="24"/>
        </w:rPr>
        <w:t>3.8 Compliance Checklist — Deploy dos Alertas de Velocidade</w:t>
      </w:r>
    </w:p>
    <w:p>
      <w:pPr>
        <w:spacing w:after="160"/>
      </w:pPr>
      <w:r>
        <w:rPr>
          <w:rFonts w:ascii="Arial" w:hAnsi="Arial"/>
          <w:b w:val="0"/>
          <w:color w:val="333333"/>
          <w:sz w:val="22"/>
        </w:rPr>
        <w:t>O primeiro deploy em produção (97 de 140 veículos compatíveis, devido ao bug S4-10 dos rastreadores de primeira geração) gera checklist contextualizado em três categorias: bloqueadores de deploy (base legal LGPD para dados de localização, aprovações formais, sinalização visual dos veículos não suportados — evitando um falso negativo perigoso: gestor interpretar ausência de alerta como "dentro do limite"), verificações operacionais (plano de comunicação, monitoramento pós-deploy, plano de rollback) e registros de auditoria. O Danger.js gerado complementa com regras executáveis no Pull Request: vínculo obrigatório com Jira, dupla aprovação para mudanças em componentes de GPS, alertas de cobertura de teste.</w:t>
      </w:r>
    </w:p>
    <w:p>
      <w:pPr>
        <w:pStyle w:val="Heading3"/>
        <w:spacing w:before="200" w:after="80"/>
      </w:pPr>
      <w:r>
        <w:rPr>
          <w:rFonts w:ascii="Arial" w:hAnsi="Arial"/>
          <w:b/>
          <w:color w:val="1F4D78"/>
          <w:sz w:val="24"/>
        </w:rPr>
        <w:t>3.9 Natural Language to Workflow — Parser Semântico</w:t>
      </w:r>
    </w:p>
    <w:p>
      <w:pPr>
        <w:spacing w:after="160"/>
      </w:pPr>
      <w:r>
        <w:rPr>
          <w:rFonts w:ascii="Arial" w:hAnsi="Arial"/>
          <w:b w:val="0"/>
          <w:color w:val="333333"/>
          <w:sz w:val="22"/>
        </w:rPr>
        <w:t xml:space="preserve">Três cenários de mensagem no Slack demonstram o comportamento correto do parser: bug relatado em primeira pessoa ("preciso investigar") — responsável fica vazio, nunca inventado; solicitação ambígua entre feature e task — classificação exige julgamento humano; decisão binária pendente (adiar deploy vs. remover funcionalidade do escopo) — campo </w:t>
      </w:r>
      <w:r>
        <w:rPr>
          <w:rFonts w:ascii="Courier New" w:hAnsi="Courier New"/>
          <w:color w:val="333333"/>
          <w:sz w:val="20"/>
        </w:rPr>
        <w:t>Action Required</w:t>
      </w:r>
      <w:r>
        <w:rPr>
          <w:rFonts w:ascii="Arial" w:hAnsi="Arial"/>
          <w:b w:val="0"/>
          <w:color w:val="333333"/>
          <w:sz w:val="22"/>
        </w:rPr>
        <w:t xml:space="preserve"> marcado explicitamente para impedir que o bot crie card operacional para uma decisão que ainda é estratégica. Refinamentos discutidos incluem recuperação de contexto de thread (padrão RAG), separação de múltiplas ações endereçadas a pessoas diferentes numa mesma mensagem, e tratamento de mensagens bilíngues com saída padronizada em português.</w:t>
      </w:r>
    </w:p>
    <w:p>
      <w:pPr>
        <w:pStyle w:val="Heading3"/>
        <w:spacing w:before="200" w:after="80"/>
      </w:pPr>
      <w:r>
        <w:rPr>
          <w:rFonts w:ascii="Arial" w:hAnsi="Arial"/>
          <w:b/>
          <w:color w:val="1F4D78"/>
          <w:sz w:val="24"/>
        </w:rPr>
        <w:t>3.10 OKR Aligner — Da Meta ao Backlog</w:t>
      </w:r>
    </w:p>
    <w:p>
      <w:pPr>
        <w:spacing w:after="160"/>
      </w:pPr>
      <w:r>
        <w:rPr>
          <w:rFonts w:ascii="Arial" w:hAnsi="Arial"/>
          <w:b w:val="0"/>
          <w:color w:val="333333"/>
          <w:sz w:val="22"/>
        </w:rPr>
        <w:t>Dois templates: validação estrutural do OKR (Objective é estado desejado, não tarefa; Key Result mensurável, com prazo, baseline e responsável) e análise de alinhamento (cada User Story classificada como diretamente alinhada, indiretamente alinhada, ou não alinhada a um Key Result). No estudo de caso, a redução de sinistros estava em apenas 8% (meta: 20% até setembro) apesar da funcionalidade tecnicamente pronta — a causa raiz identificada não era técnica, era adoção: apenas 60% dos motoristas haviam sido treinados, redirecionando a recomendação de "mais desenvolvimento" para "priorizar treinamento".</w:t>
      </w:r>
    </w:p>
    <w:p>
      <w:pPr>
        <w:pStyle w:val="Heading2"/>
        <w:spacing w:before="360" w:after="160"/>
      </w:pPr>
      <w:r>
        <w:rPr>
          <w:rFonts w:ascii="Arial" w:hAnsi="Arial"/>
          <w:b/>
          <w:color w:val="2E74B5"/>
          <w:sz w:val="28"/>
        </w:rPr>
        <w:t>4. Analogias Java/Spring Boot e Go</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Conceito de Gestão + IA</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Equivalente Java/Spring Boot</w:t>
            </w:r>
          </w:p>
        </w:tc>
        <w:tc>
          <w:tcPr>
            <w:tcW w:type="dxa" w:w="288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Equivalente Go</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Requirements Copilot com protocolo de ambiguidade</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Validação Bean (</w:t>
            </w:r>
            <w:r>
              <w:rPr>
                <w:rFonts w:ascii="Courier New" w:hAnsi="Courier New"/>
                <w:color w:val="333333"/>
                <w:sz w:val="20"/>
              </w:rPr>
              <w:t>@NotNull</w:t>
            </w:r>
            <w:r>
              <w:rPr>
                <w:rFonts w:ascii="Arial" w:hAnsi="Arial"/>
                <w:b w:val="0"/>
                <w:color w:val="333333"/>
                <w:sz w:val="22"/>
              </w:rPr>
              <w:t xml:space="preserve">, </w:t>
            </w:r>
            <w:r>
              <w:rPr>
                <w:rFonts w:ascii="Courier New" w:hAnsi="Courier New"/>
                <w:color w:val="333333"/>
                <w:sz w:val="20"/>
              </w:rPr>
              <w:t>@Valid</w:t>
            </w:r>
            <w:r>
              <w:rPr>
                <w:rFonts w:ascii="Arial" w:hAnsi="Arial"/>
                <w:b w:val="0"/>
                <w:color w:val="333333"/>
                <w:sz w:val="22"/>
              </w:rPr>
              <w:t>) que rejeita objeto incompleto em vez de assumir valor default silencioso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struct</w:t>
            </w:r>
            <w:r>
              <w:rPr>
                <w:rFonts w:ascii="Arial" w:hAnsi="Arial"/>
                <w:b w:val="0"/>
                <w:color w:val="333333"/>
                <w:sz w:val="22"/>
              </w:rPr>
              <w:t xml:space="preserve"> com validação explícita (</w:t>
            </w:r>
            <w:r>
              <w:rPr>
                <w:rFonts w:ascii="Courier New" w:hAnsi="Courier New"/>
                <w:color w:val="333333"/>
                <w:sz w:val="20"/>
              </w:rPr>
              <w:t>validator.Struct()</w:t>
            </w:r>
            <w:r>
              <w:rPr>
                <w:rFonts w:ascii="Arial" w:hAnsi="Arial"/>
                <w:b w:val="0"/>
                <w:color w:val="333333"/>
                <w:sz w:val="22"/>
              </w:rPr>
              <w:t xml:space="preserve">) retornando </w:t>
            </w:r>
            <w:r>
              <w:rPr>
                <w:rFonts w:ascii="Courier New" w:hAnsi="Courier New"/>
                <w:color w:val="333333"/>
                <w:sz w:val="20"/>
              </w:rPr>
              <w:t>error</w:t>
            </w:r>
            <w:r>
              <w:rPr>
                <w:rFonts w:ascii="Arial" w:hAnsi="Arial"/>
                <w:b w:val="0"/>
                <w:color w:val="333333"/>
                <w:sz w:val="22"/>
              </w:rPr>
              <w:t xml:space="preserve"> em vez de preencher campo zero-value silenciosamente</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Backlog Scorer combinando RICE + WSJF</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Dois </w:t>
            </w:r>
            <w:r>
              <w:rPr>
                <w:rFonts w:ascii="Courier New" w:hAnsi="Courier New"/>
                <w:color w:val="333333"/>
                <w:sz w:val="20"/>
              </w:rPr>
              <w:t>@Component</w:t>
            </w:r>
            <w:r>
              <w:rPr>
                <w:rFonts w:ascii="Arial" w:hAnsi="Arial"/>
                <w:b w:val="0"/>
                <w:color w:val="333333"/>
                <w:sz w:val="22"/>
              </w:rPr>
              <w:t xml:space="preserve"> de scoring diferentes, ambos consultados, sem um sobrepor o outro — cabe à camada de serviço decidir qual prevalece por contexto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Duas funções </w:t>
            </w:r>
            <w:r>
              <w:rPr>
                <w:rFonts w:ascii="Courier New" w:hAnsi="Courier New"/>
                <w:color w:val="333333"/>
                <w:sz w:val="20"/>
              </w:rPr>
              <w:t>func ScoreRICE(item) float64</w:t>
            </w:r>
            <w:r>
              <w:rPr>
                <w:rFonts w:ascii="Arial" w:hAnsi="Arial"/>
                <w:b w:val="0"/>
                <w:color w:val="333333"/>
                <w:sz w:val="22"/>
              </w:rPr>
              <w:t xml:space="preserve"> e </w:t>
            </w:r>
            <w:r>
              <w:rPr>
                <w:rFonts w:ascii="Courier New" w:hAnsi="Courier New"/>
                <w:color w:val="333333"/>
                <w:sz w:val="20"/>
              </w:rPr>
              <w:t>func ScoreWSJF(item) float64</w:t>
            </w:r>
            <w:r>
              <w:rPr>
                <w:rFonts w:ascii="Arial" w:hAnsi="Arial"/>
                <w:b w:val="0"/>
                <w:color w:val="333333"/>
                <w:sz w:val="22"/>
              </w:rPr>
              <w:t xml:space="preserve"> independentes, combinadas explicitamente pela função chamadora</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Scheduling Prompt com capacidade real (65%)</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ThreadPoolExecutor</w:t>
            </w:r>
            <w:r>
              <w:rPr>
                <w:rFonts w:ascii="Arial" w:hAnsi="Arial"/>
                <w:b w:val="0"/>
                <w:color w:val="333333"/>
                <w:sz w:val="22"/>
              </w:rPr>
              <w:t xml:space="preserve"> dimensionado abaixo do máximo teórico, reservando capacidade para tarefas de manutenção/GC</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worker pool</w:t>
            </w:r>
            <w:r>
              <w:rPr>
                <w:rFonts w:ascii="Arial" w:hAnsi="Arial"/>
                <w:b w:val="0"/>
                <w:color w:val="333333"/>
                <w:sz w:val="22"/>
              </w:rPr>
              <w:t xml:space="preserve"> com tamanho de canal (</w:t>
            </w:r>
            <w:r>
              <w:rPr>
                <w:rFonts w:ascii="Courier New" w:hAnsi="Courier New"/>
                <w:color w:val="333333"/>
                <w:sz w:val="20"/>
              </w:rPr>
              <w:t>buffered channel</w:t>
            </w:r>
            <w:r>
              <w:rPr>
                <w:rFonts w:ascii="Arial" w:hAnsi="Arial"/>
                <w:b w:val="0"/>
                <w:color w:val="333333"/>
                <w:sz w:val="22"/>
              </w:rPr>
              <w:t>) dimensionado abaixo do máximo teórico, reservando capacidade operacional</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Simulação de Monte Carlo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Testes de carga com distribuição estatística de latência — reportar percentis (P95, P99), nunca só a média</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Benchmark Go (</w:t>
            </w:r>
            <w:r>
              <w:rPr>
                <w:rFonts w:ascii="Courier New" w:hAnsi="Courier New"/>
                <w:color w:val="333333"/>
                <w:sz w:val="20"/>
              </w:rPr>
              <w:t>testing.B</w:t>
            </w:r>
            <w:r>
              <w:rPr>
                <w:rFonts w:ascii="Arial" w:hAnsi="Arial"/>
                <w:b w:val="0"/>
                <w:color w:val="333333"/>
                <w:sz w:val="22"/>
              </w:rPr>
              <w:t xml:space="preserve">) reportando percentis via </w:t>
            </w:r>
            <w:r>
              <w:rPr>
                <w:rFonts w:ascii="Courier New" w:hAnsi="Courier New"/>
                <w:color w:val="333333"/>
                <w:sz w:val="20"/>
              </w:rPr>
              <w:t>go-torch</w:t>
            </w:r>
            <w:r>
              <w:rPr>
                <w:rFonts w:ascii="Arial" w:hAnsi="Arial"/>
                <w:b w:val="0"/>
                <w:color w:val="333333"/>
                <w:sz w:val="22"/>
              </w:rPr>
              <w:t>/</w:t>
            </w:r>
            <w:r>
              <w:rPr>
                <w:rFonts w:ascii="Courier New" w:hAnsi="Courier New"/>
                <w:color w:val="333333"/>
                <w:sz w:val="20"/>
              </w:rPr>
              <w:t>hdrhistogram</w:t>
            </w:r>
            <w:r>
              <w:rPr>
                <w:rFonts w:ascii="Arial" w:hAnsi="Arial"/>
                <w:b w:val="0"/>
                <w:color w:val="333333"/>
                <w:sz w:val="22"/>
              </w:rPr>
              <w:t xml:space="preserve">, nunca apenas a média de </w:t>
            </w:r>
            <w:r>
              <w:rPr>
                <w:rFonts w:ascii="Courier New" w:hAnsi="Courier New"/>
                <w:color w:val="333333"/>
                <w:sz w:val="20"/>
              </w:rPr>
              <w:t>b.N</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Risk Monitor / Cockpit de Riscos</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Dashboard de métricas via Micrometer/Actuator, com alertas configurados a partir de tendência, não só limite fixo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Métricas expostas via </w:t>
            </w:r>
            <w:r>
              <w:rPr>
                <w:rFonts w:ascii="Courier New" w:hAnsi="Courier New"/>
                <w:color w:val="333333"/>
                <w:sz w:val="20"/>
              </w:rPr>
              <w:t>expvar</w:t>
            </w:r>
            <w:r>
              <w:rPr>
                <w:rFonts w:ascii="Arial" w:hAnsi="Arial"/>
                <w:b w:val="0"/>
                <w:color w:val="333333"/>
                <w:sz w:val="22"/>
              </w:rPr>
              <w:t>/Prometheus client Go, com alerta calculado sobre a derivada da série, não sobre limite estático</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Meeting Digest (síntese semântica)</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Parser de eventos de domínio que extrai </w:t>
            </w:r>
            <w:r>
              <w:rPr>
                <w:rFonts w:ascii="Arial" w:hAnsi="Arial"/>
                <w:i/>
                <w:color w:val="333333"/>
                <w:sz w:val="22"/>
              </w:rPr>
              <w:t>intenção</w:t>
            </w:r>
            <w:r>
              <w:rPr>
                <w:rFonts w:ascii="Arial" w:hAnsi="Arial"/>
                <w:b w:val="0"/>
                <w:color w:val="333333"/>
                <w:sz w:val="22"/>
              </w:rPr>
              <w:t xml:space="preserve"> de um payload bruto, não apenas desserializa campos</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Função </w:t>
            </w:r>
            <w:r>
              <w:rPr>
                <w:rFonts w:ascii="Courier New" w:hAnsi="Courier New"/>
                <w:color w:val="333333"/>
                <w:sz w:val="20"/>
              </w:rPr>
              <w:t>func Interpret(raw string) (Intent, error)</w:t>
            </w:r>
            <w:r>
              <w:rPr>
                <w:rFonts w:ascii="Arial" w:hAnsi="Arial"/>
                <w:b w:val="0"/>
                <w:color w:val="333333"/>
                <w:sz w:val="22"/>
              </w:rPr>
              <w:t xml:space="preserve"> que classifica antes de mapear para </w:t>
            </w:r>
            <w:r>
              <w:rPr>
                <w:rFonts w:ascii="Courier New" w:hAnsi="Courier New"/>
                <w:color w:val="333333"/>
                <w:sz w:val="20"/>
              </w:rPr>
              <w:t>struct</w:t>
            </w:r>
            <w:r>
              <w:rPr>
                <w:rFonts w:ascii="Arial" w:hAnsi="Arial"/>
                <w:b w:val="0"/>
                <w:color w:val="333333"/>
                <w:sz w:val="22"/>
              </w:rPr>
              <w:t xml:space="preserve">, em vez de </w:t>
            </w:r>
            <w:r>
              <w:rPr>
                <w:rFonts w:ascii="Courier New" w:hAnsi="Courier New"/>
                <w:color w:val="333333"/>
                <w:sz w:val="20"/>
              </w:rPr>
              <w:t>json.Unmarshal</w:t>
            </w:r>
            <w:r>
              <w:rPr>
                <w:rFonts w:ascii="Arial" w:hAnsi="Arial"/>
                <w:b w:val="0"/>
                <w:color w:val="333333"/>
                <w:sz w:val="22"/>
              </w:rPr>
              <w:t xml:space="preserve"> direto</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Status Report Adaptativo</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Múltiplos </w:t>
            </w:r>
            <w:r>
              <w:rPr>
                <w:rFonts w:ascii="Courier New" w:hAnsi="Courier New"/>
                <w:color w:val="333333"/>
                <w:sz w:val="20"/>
              </w:rPr>
              <w:t>@RestController</w:t>
            </w:r>
            <w:r>
              <w:rPr>
                <w:rFonts w:ascii="Arial" w:hAnsi="Arial"/>
                <w:b w:val="0"/>
                <w:color w:val="333333"/>
                <w:sz w:val="22"/>
              </w:rPr>
              <w:t xml:space="preserve"> expondo o mesmo Service com DTOs de saída diferentes por perfil de consumidor</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Múltiplos handlers HTTP chamando o mesmo </w:t>
            </w:r>
            <w:r>
              <w:rPr>
                <w:rFonts w:ascii="Courier New" w:hAnsi="Courier New"/>
                <w:color w:val="333333"/>
                <w:sz w:val="20"/>
              </w:rPr>
              <w:t>Service</w:t>
            </w:r>
            <w:r>
              <w:rPr>
                <w:rFonts w:ascii="Arial" w:hAnsi="Arial"/>
                <w:b w:val="0"/>
                <w:color w:val="333333"/>
                <w:sz w:val="22"/>
              </w:rPr>
              <w:t xml:space="preserve">, cada um serializando para um </w:t>
            </w:r>
            <w:r>
              <w:rPr>
                <w:rFonts w:ascii="Courier New" w:hAnsi="Courier New"/>
                <w:color w:val="333333"/>
                <w:sz w:val="20"/>
              </w:rPr>
              <w:t>struct</w:t>
            </w:r>
            <w:r>
              <w:rPr>
                <w:rFonts w:ascii="Arial" w:hAnsi="Arial"/>
                <w:b w:val="0"/>
                <w:color w:val="333333"/>
                <w:sz w:val="22"/>
              </w:rPr>
              <w:t xml:space="preserve"> de resposta diferente por audiência</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Governança como Código (Danger.js)</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Quality Gate do SonarQube / regra customizada de Checkstyle bloqueando o merge antes da revisão humana</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Courier New" w:hAnsi="Courier New"/>
                <w:color w:val="333333"/>
                <w:sz w:val="20"/>
              </w:rPr>
              <w:t>golangci-lint</w:t>
            </w:r>
            <w:r>
              <w:rPr>
                <w:rFonts w:ascii="Arial" w:hAnsi="Arial"/>
                <w:b w:val="0"/>
                <w:color w:val="333333"/>
                <w:sz w:val="22"/>
              </w:rPr>
              <w:t xml:space="preserve"> + regra customizada de CI bloqueando o merge antes da revisão humana</w:t>
            </w:r>
          </w:p>
        </w:tc>
      </w:tr>
      <w:tr>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OKR Aligner (Relevance Scoring)</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Busca semântica com embeddings comparando User Story a um conjunto de metas — mesmo princípio usado em sistemas de recuperação de contexto (RAG)</w:t>
            </w:r>
          </w:p>
        </w:tc>
        <w:tc>
          <w:tcPr>
            <w:tcW w:type="dxa" w:w="288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Mesmo princípio, com embeddings calculados via chamada a um serviço externo e comparação por similaridade de cosseno implementada em Go puro</w:t>
            </w:r>
          </w:p>
        </w:tc>
      </w:tr>
    </w:tbl>
    <w:p>
      <w:pPr>
        <w:spacing w:after="80"/>
      </w:pPr>
    </w:p>
    <w:p>
      <w:pPr>
        <w:spacing w:before="120" w:after="120"/>
        <w:ind w:left="360" w:right="360"/>
        <w:shd w:val="clear" w:fill="F5F5F5"/>
        <w:pBdr>
          <w:left w:val="single" w:color="2E75B6" w:sz="4" w:space="10"/>
        </w:pBdr>
      </w:pPr>
      <w:r>
        <w:rPr>
          <w:rFonts w:ascii="Arial" w:hAnsi="Arial"/>
          <w:b w:val="0"/>
          <w:color w:val="333333"/>
          <w:sz w:val="22"/>
        </w:rPr>
        <w:t xml:space="preserve">💡 </w:t>
      </w:r>
      <w:r>
        <w:rPr>
          <w:rFonts w:ascii="Arial" w:hAnsi="Arial"/>
          <w:b/>
          <w:color w:val="333333"/>
          <w:sz w:val="22"/>
        </w:rPr>
        <w:t>Analogia arquitetural completa:</w:t>
      </w:r>
      <w:r>
        <w:rPr>
          <w:rFonts w:ascii="Arial" w:hAnsi="Arial"/>
          <w:b w:val="0"/>
          <w:color w:val="333333"/>
          <w:sz w:val="22"/>
        </w:rPr>
        <w:t xml:space="preserve"> o par Requirements Copilot → Backlog Scorer → Scheduling Prompt → Risk Monitor se comporta como um pipeline de CI: cada estágio consome o artefato validado do anterior e adiciona sua própria camada de verificação, nunca reprocessando do zero — exatamente como um pipeline de build (Maven/Gradle ou </w:t>
      </w:r>
      <w:r>
        <w:rPr>
          <w:rFonts w:ascii="Courier New" w:hAnsi="Courier New"/>
          <w:color w:val="333333"/>
          <w:sz w:val="20"/>
        </w:rPr>
        <w:t>go build</w:t>
      </w:r>
      <w:r>
        <w:rPr>
          <w:rFonts w:ascii="Arial" w:hAnsi="Arial"/>
          <w:b w:val="0"/>
          <w:color w:val="333333"/>
          <w:sz w:val="22"/>
        </w:rPr>
        <w:t xml:space="preserve"> com cache de módulos) não recompila o que já passou em um estágio anterior.</w:t>
      </w:r>
    </w:p>
    <w:p>
      <w:pPr>
        <w:pStyle w:val="Heading2"/>
        <w:spacing w:before="360" w:after="160"/>
      </w:pPr>
      <w:r>
        <w:rPr>
          <w:rFonts w:ascii="Arial" w:hAnsi="Arial"/>
          <w:b/>
          <w:color w:val="2E74B5"/>
          <w:sz w:val="28"/>
        </w:rPr>
        <w:t>5. Escalabilidade e Produção</w:t>
      </w:r>
    </w:p>
    <w:p>
      <w:pPr>
        <w:pStyle w:val="Heading3"/>
        <w:spacing w:before="200" w:after="80"/>
      </w:pPr>
      <w:r>
        <w:rPr>
          <w:rFonts w:ascii="Arial" w:hAnsi="Arial"/>
          <w:b/>
          <w:color w:val="1F4D78"/>
          <w:sz w:val="24"/>
        </w:rPr>
        <w:t>Limitações do Approach Didático</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Simplificação do curso</w:t>
            </w:r>
          </w:p>
        </w:tc>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Prática recomendada em produção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Um único projeto (RouteWise) analisado isoladamente</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Gestão de portfólio real precisa do Executive Summary consolidado desde o início, não como extensão tardia</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Estimativas calibradas manualmente por módulo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Pipeline automatizado de calibração contínua puxando analytics/financeiro/pesquisa de usuário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Danger.js como único exemplo de Governança como Código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Combinação de múltiplas ferramentas (SAST, políticas de branch, aprovação por CODEOWNERS)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Credenciais de exemplo simplificadas nos prompts</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Nunca expor dados sensíveis reais em prompts — sanitização e anonimização são pré-requisito</w:t>
            </w:r>
          </w:p>
        </w:tc>
      </w:tr>
    </w:tbl>
    <w:p>
      <w:pPr>
        <w:spacing w:after="80"/>
      </w:pPr>
    </w:p>
    <w:p>
      <w:pPr>
        <w:pStyle w:val="Heading3"/>
        <w:spacing w:before="200" w:after="80"/>
      </w:pPr>
      <w:r>
        <w:rPr>
          <w:rFonts w:ascii="Arial" w:hAnsi="Arial"/>
          <w:b/>
          <w:color w:val="1F4D78"/>
          <w:sz w:val="24"/>
        </w:rPr>
        <w:t>Recomendações para Escalar</w:t>
      </w:r>
    </w:p>
    <w:p>
      <w:pPr>
        <w:spacing w:before="120" w:after="120"/>
        <w:ind w:left="360" w:right="360"/>
        <w:shd w:val="clear" w:fill="F5F5F5"/>
        <w:pBdr>
          <w:left w:val="single" w:color="2E75B6" w:sz="4" w:space="10"/>
        </w:pBdr>
      </w:pPr>
      <w:r>
        <w:rPr>
          <w:rFonts w:ascii="Arial" w:hAnsi="Arial"/>
          <w:b w:val="0"/>
          <w:color w:val="333333"/>
          <w:sz w:val="22"/>
        </w:rPr>
        <w:t xml:space="preserve">⚡ </w:t>
      </w:r>
      <w:r>
        <w:rPr>
          <w:rFonts w:ascii="Arial" w:hAnsi="Arial"/>
          <w:b/>
          <w:color w:val="333333"/>
          <w:sz w:val="22"/>
        </w:rPr>
        <w:t>Dica de produção:</w:t>
      </w:r>
      <w:r>
        <w:rPr>
          <w:rFonts w:ascii="Arial" w:hAnsi="Arial"/>
          <w:b w:val="0"/>
          <w:color w:val="333333"/>
          <w:sz w:val="22"/>
        </w:rPr>
        <w:t xml:space="preserve"> o próprio módulo alerta contra dois antipadrões recorrentes — tratar a classificação do OKR Aligner como decisão automática definitiva (é hipótese fundamentada, não veredito) e usar OKRs para avaliação individual de desempenho (gera metas artificialmente conservadoras e mina a cultura de aprendizado que o framework deveria sustentar).</w:t>
      </w:r>
    </w:p>
    <w:p>
      <w:pPr>
        <w:pStyle w:val="ListBullet"/>
        <w:spacing w:after="80"/>
      </w:pPr>
      <w:r>
        <w:rPr>
          <w:rFonts w:ascii="Arial" w:hAnsi="Arial"/>
          <w:b w:val="0"/>
          <w:color w:val="333333"/>
          <w:sz w:val="22"/>
        </w:rPr>
        <w:t>Cadência de acompanhamento de risco deve refletir a maturidade do time: análises semanais para equipes estáveis, diárias em projetos críticos, nunca menos frequente que o fechamento de sprint.</w:t>
      </w:r>
    </w:p>
    <w:p>
      <w:pPr>
        <w:pStyle w:val="ListBullet"/>
        <w:spacing w:after="80"/>
      </w:pPr>
      <w:r>
        <w:rPr>
          <w:rFonts w:ascii="Arial" w:hAnsi="Arial"/>
          <w:b w:val="0"/>
          <w:color w:val="333333"/>
          <w:sz w:val="22"/>
        </w:rPr>
        <w:t>Limiares de métricas de fluxo (Lead Time "aceitável") devem ser calibrados pelo histórico da própria equipe — benchmarks externos genéricos produzem alertas irrelevantes.</w:t>
      </w:r>
    </w:p>
    <w:p>
      <w:pPr>
        <w:pStyle w:val="ListBullet"/>
        <w:spacing w:after="80"/>
      </w:pPr>
      <w:r>
        <w:rPr>
          <w:rFonts w:ascii="Arial" w:hAnsi="Arial"/>
          <w:b w:val="0"/>
          <w:color w:val="333333"/>
          <w:sz w:val="22"/>
        </w:rPr>
        <w:t>Poucos OKRs bem acompanhados superam dezenas de indicadores nunca revisados — a capacidade humana de atenção é o recurso limitante, não a capacidade da IA de gerar métricas.</w:t>
      </w:r>
    </w:p>
    <w:p>
      <w:pPr>
        <w:pStyle w:val="Heading2"/>
        <w:spacing w:before="360" w:after="160"/>
      </w:pPr>
      <w:r>
        <w:rPr>
          <w:rFonts w:ascii="Arial" w:hAnsi="Arial"/>
          <w:b/>
          <w:color w:val="2E74B5"/>
          <w:sz w:val="28"/>
        </w:rPr>
        <w:t>6. Conexões entre Módulos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Módulo do curso</w:t>
            </w:r>
          </w:p>
        </w:tc>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Como se conecta com Ferramentas de IA para Gestão de Projetos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Fundamentos de IA e LLMs</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Prompt engineering, temperatura e alucinação sustentam cada um dos dez prompts especializados construídos aqui</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APIs de IA Generativa e Prompt Engineering</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Structured Output (JSON tipado) é a mesma técnica usada em Meeting Digest, Compliance Checklist e Natural Language to Workflow</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Criação de Agentes Autônomos</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 papel definido para cada prompt ("atue como Tech Lead e PM", "atue como auditor financeiro") é a mesma lógica de especialização de agente vista naquele módulo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Ferramentas de IA para DevOps</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AIOps de projeto (Lead Time, Cycle Time, Risk Monitor) espelha diretamente o AIOps de infraestrutura — mesma filosofia de observabilidade preditiva aplicada a fluxo de trabalho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Arquitetura de Sistemas Orientados por IA (próxima disciplina)</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 xml:space="preserve">O encerramento do módulo já anuncia a transição — de usar IA para </w:t>
            </w:r>
            <w:r>
              <w:rPr>
                <w:rFonts w:ascii="Arial" w:hAnsi="Arial"/>
                <w:i/>
                <w:color w:val="333333"/>
                <w:sz w:val="22"/>
              </w:rPr>
              <w:t>organizar</w:t>
            </w:r>
            <w:r>
              <w:rPr>
                <w:rFonts w:ascii="Arial" w:hAnsi="Arial"/>
                <w:b w:val="0"/>
                <w:color w:val="333333"/>
                <w:sz w:val="22"/>
              </w:rPr>
              <w:t xml:space="preserve"> projetos para projetar sistemas que </w:t>
            </w:r>
            <w:r>
              <w:rPr>
                <w:rFonts w:ascii="Arial" w:hAnsi="Arial"/>
                <w:i/>
                <w:color w:val="333333"/>
                <w:sz w:val="22"/>
              </w:rPr>
              <w:t>incorporam</w:t>
            </w:r>
            <w:r>
              <w:rPr>
                <w:rFonts w:ascii="Arial" w:hAnsi="Arial"/>
                <w:b w:val="0"/>
                <w:color w:val="333333"/>
                <w:sz w:val="22"/>
              </w:rPr>
              <w:t xml:space="preserve"> IA na própria arquitetura</w:t>
            </w:r>
          </w:p>
        </w:tc>
      </w:tr>
    </w:tbl>
    <w:p>
      <w:pPr>
        <w:spacing w:after="80"/>
      </w:pPr>
    </w:p>
    <w:p>
      <w:pPr>
        <w:pStyle w:val="Heading3"/>
        <w:spacing w:before="200" w:after="80"/>
      </w:pPr>
      <w:r>
        <w:rPr>
          <w:rFonts w:ascii="Arial" w:hAnsi="Arial"/>
          <w:b/>
          <w:color w:val="1F4D78"/>
          <w:sz w:val="24"/>
        </w:rPr>
        <w:t>Glossário do Módulo</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Termo</w:t>
            </w:r>
          </w:p>
        </w:tc>
        <w:tc>
          <w:tcPr>
            <w:tcW w:type="dxa" w:w="4320"/>
            <w:shd w:val="clear" w:fill="D6E4F0"/>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color w:val="333333"/>
                <w:sz w:val="22"/>
              </w:rPr>
              <w:t>Definição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HIPPO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Highest Paid Person's Opinion — decisão guiada por hierarquia em vez de dados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MoSCoW</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Must/Should/Could/Won't Have — framework de classificação inicial de prioridade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RICE Score</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Reach × Impact × Confidence ÷ Effort — framework de retorno sobre investimento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WSJF</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Weighted Shortest Job First — prioriza pelo custo de adiar (Cost of Delay)</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Cost of Delay</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Estimativa de quanto a organização perde por não entregar algo imediatamente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Planning Fallacy</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Viés cognitivo de subestimar tempo/custo de tarefas futuras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Inside View / Outside View</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Estimar pela percepção do projeto atual vs. pelo histórico de projetos comparáveis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Distribuição PERT</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Estimativa ponderada a partir de cenário otimista, provável e pessimista</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Simulação de Monte Carlo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Milhares de simulações probabilísticas para estimar percentis de conclusão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P50 / P85 / P95</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Percentis de confiança de uma previsão — 50%, 85% e 95% dos cenários concluem até aquela data</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AIOps (de projeto)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Aplicação de IA para monitorar continuamente indicadores de fluxo e detectar degradação precoce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Lead Time / Cycle Time</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Tempo total no fluxo vs. tempo efetivo em desenvolvimento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Scope Creep</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Expansão gradual e não formalizada do escopo durante a execução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WIP (Work in Progress)</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Quantidade de itens simultaneamente em andamento — limitar reduz Lead Time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Síntese Semântica</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Interpretação de intenção (compromisso, decisão) além da transcrição literal</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Governança como Código</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Regras de conformidade executadas automaticamente no pipeline</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Trilha de Auditoria</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Encadeamento rastreável entre requisito, decisão, implementação e implantação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Output vs. Outcome</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Entrega produzida vs. impacto real gerado no negócio</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OKR</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Objective (qualitativo) + Key Results (quantitativos, mensuráveis)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Cold Start</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Situação de produto novo sem dados históricos suficientes para calibrar estimativas</w:t>
            </w:r>
          </w:p>
        </w:tc>
      </w:tr>
      <w:tr>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Relevance Scoring</w:t>
            </w:r>
          </w:p>
        </w:tc>
        <w:tc>
          <w:tcPr>
            <w:tcW w:type="dxa" w:w="4320"/>
            <w:shd w:val="clear" w:fill="FFFFFF"/>
            <w:tcBorders>
              <w:top w:val="single" w:color="CCCCCC" w:sz="4"/>
              <w:left w:val="single" w:color="CCCCCC" w:sz="4"/>
              <w:bottom w:val="single" w:color="CCCCCC" w:sz="4"/>
              <w:right w:val="single" w:color="CCCCCC" w:sz="4"/>
            </w:tcBorders>
            <w:tcMar>
              <w:top w:w="80" w:type="dxa"/>
              <w:bottom w:w="80" w:type="dxa"/>
              <w:left w:w="120" w:type="dxa"/>
              <w:right w:w="120" w:type="dxa"/>
            </w:tcMar>
          </w:tcPr>
          <w:p>
            <w:r/>
            <w:r>
              <w:rPr>
                <w:rFonts w:ascii="Arial" w:hAnsi="Arial"/>
                <w:b w:val="0"/>
                <w:color w:val="333333"/>
                <w:sz w:val="22"/>
              </w:rPr>
              <w:t>Técnica de comparar relevância semântica entre item e objetivo, usada no OKR Aligner</w:t>
            </w:r>
          </w:p>
        </w:tc>
      </w:tr>
    </w:tbl>
    <w:p>
      <w:pPr>
        <w:spacing w:after="80"/>
      </w:pPr>
    </w:p>
    <w:p>
      <w:pPr>
        <w:spacing w:after="160"/>
      </w:pPr>
      <w:r>
        <w:rPr>
          <w:rFonts w:ascii="Arial" w:hAnsi="Arial"/>
          <w:b w:val="0"/>
          <w:color w:val="333333"/>
          <w:sz w:val="22"/>
        </w:rPr>
        <w:t>Resumo unificado: livro + laboratórios práticos</w:t>
      </w:r>
    </w:p>
    <w:p>
      <w:pPr>
        <w:spacing w:after="160"/>
      </w:pPr>
      <w:r>
        <w:rPr>
          <w:rFonts w:ascii="Arial" w:hAnsi="Arial"/>
          <w:b w:val="0"/>
          <w:color w:val="333333"/>
          <w:sz w:val="22"/>
        </w:rPr>
        <w:t>Ahirton Lopes • UNIPDS • Rafael Mattos Moreira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