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2E74B5"/>
          <w:sz w:val="40"/>
        </w:rPr>
        <w:t>Ferramentas de IA para UX &amp; UI — Explicação Detalhada</w:t>
      </w:r>
    </w:p>
    <w:p>
      <w:pPr>
        <w:spacing w:after="40"/>
      </w:pPr>
      <w:r>
        <w:rPr>
          <w:rFonts w:ascii="Arial" w:hAnsi="Arial"/>
          <w:b/>
          <w:color w:val="2E74B5"/>
          <w:sz w:val="24"/>
        </w:rPr>
        <w:t>Pós-Graduação em Engenharia de Software com IA Aplicada — UNIPDS</w:t>
      </w:r>
    </w:p>
    <w:p>
      <w:pPr>
        <w:spacing w:after="40"/>
      </w:pPr>
      <w:r>
        <w:rPr>
          <w:rFonts w:ascii="Arial" w:hAnsi="Arial"/>
          <w:i/>
          <w:color w:val="555555"/>
          <w:sz w:val="20"/>
        </w:rPr>
        <w:t>Álvaro Camillo Neto · Rafael Mattos Moreira · 2026</w:t>
      </w:r>
    </w:p>
    <w:p>
      <w:pPr>
        <w:spacing w:after="120"/>
      </w:pPr>
    </w:p>
    <w:p>
      <w:pPr>
        <w:pStyle w:val="Heading2"/>
        <w:spacing w:before="360" w:after="160"/>
      </w:pPr>
      <w:r>
        <w:rPr>
          <w:rFonts w:ascii="Arial" w:hAnsi="Arial"/>
          <w:b/>
          <w:color w:val="2E74B5"/>
          <w:sz w:val="28"/>
        </w:rPr>
        <w:t>Módulo 1: Engenharia de Requisitos e Design de Sistemas com IA</w:t>
      </w:r>
    </w:p>
    <w:p>
      <w:pPr>
        <w:pStyle w:val="Heading3"/>
        <w:spacing w:before="200" w:after="80"/>
      </w:pPr>
      <w:r>
        <w:rPr>
          <w:rFonts w:ascii="Arial" w:hAnsi="Arial"/>
          <w:b/>
          <w:color w:val="1F4D78"/>
          <w:sz w:val="24"/>
        </w:rPr>
        <w:t>Capítulo 1: Refinamento de Requisitos e Edge Cases</w:t>
      </w:r>
    </w:p>
    <w:p>
      <w:pPr>
        <w:spacing w:after="160"/>
      </w:pPr>
      <w:r>
        <w:rPr>
          <w:rFonts w:ascii="Arial" w:hAnsi="Arial"/>
          <w:b w:val="0"/>
          <w:color w:val="333333"/>
          <w:sz w:val="22"/>
        </w:rPr>
        <w:t xml:space="preserve">A aula abre confrontando um hábito comum: diante de um requisito, a tendência natural é abrir a IDE e começar a implementar imediatamente — reflexo de anos treinados a pensar primeiro na execução técnica. Mas a qualidade de uma aplicação não depende só do código, depende da qualidade do entendimento do problema, especialmente da parte da experiência que raramente aparece no requisito bruto: o que acontece quando algo </w:t>
      </w:r>
      <w:r>
        <w:rPr>
          <w:rFonts w:ascii="Arial" w:hAnsi="Arial"/>
          <w:i/>
          <w:color w:val="333333"/>
          <w:sz w:val="22"/>
        </w:rPr>
        <w:t>não</w:t>
      </w:r>
      <w:r>
        <w:rPr>
          <w:rFonts w:ascii="Arial" w:hAnsi="Arial"/>
          <w:b w:val="0"/>
          <w:color w:val="333333"/>
          <w:sz w:val="22"/>
        </w:rPr>
        <w:t xml:space="preserve"> sai como esperado.</w:t>
      </w:r>
    </w:p>
    <w:p>
      <w:pPr>
        <w:spacing w:after="160"/>
      </w:pPr>
      <w:r>
        <w:rPr>
          <w:rFonts w:ascii="Arial" w:hAnsi="Arial"/>
          <w:b w:val="0"/>
          <w:color w:val="333333"/>
          <w:sz w:val="22"/>
        </w:rPr>
        <w:t>O exemplo âncora é um fluxo de PIX agendado: à primeira vista, um requisito com regras claras (limite diário, proibição de agendamento no mesmo dia, cancelamento) — mas que esconde uma quantidade grande de perguntas não respondidas. O saldo é validado no agendamento ou na execução? O valor agendado já consome o limite diário imediatamente? O que acontece se a chave PIX for removida depois do agendamento? Essas perguntas normalmente só aparecem durante o aprofundamento analítico, e é exatamente aí que a IA acelera o trabalho — não como substituta de analistas, PMs ou desenvolvedores, mas como mecanismo de expansão da capacidade analítica humana.</w:t>
      </w:r>
    </w:p>
    <w:p>
      <w:pPr>
        <w:spacing w:after="160"/>
      </w:pPr>
      <w:r>
        <w:rPr>
          <w:rFonts w:ascii="Arial" w:hAnsi="Arial"/>
          <w:b w:val="0"/>
          <w:color w:val="333333"/>
          <w:sz w:val="22"/>
        </w:rPr>
        <w:t xml:space="preserve">A qualidade da resposta depende diretamente da qualidade do contexto fornecido — por isso a aula formaliza a estrutura de prompt que se repete por todo o módulo: </w:t>
      </w:r>
      <w:r>
        <w:rPr>
          <w:rFonts w:ascii="Arial" w:hAnsi="Arial"/>
          <w:b/>
          <w:color w:val="333333"/>
          <w:sz w:val="22"/>
        </w:rPr>
        <w:t>papel</w:t>
      </w:r>
      <w:r>
        <w:rPr>
          <w:rFonts w:ascii="Arial" w:hAnsi="Arial"/>
          <w:b w:val="0"/>
          <w:color w:val="333333"/>
          <w:sz w:val="22"/>
        </w:rPr>
        <w:t xml:space="preserve"> (arquiteto sênior? especialista em UX? engenheiro de qualidade?), </w:t>
      </w:r>
      <w:r>
        <w:rPr>
          <w:rFonts w:ascii="Arial" w:hAnsi="Arial"/>
          <w:b/>
          <w:color w:val="333333"/>
          <w:sz w:val="22"/>
        </w:rPr>
        <w:t>objetivo</w:t>
      </w:r>
      <w:r>
        <w:rPr>
          <w:rFonts w:ascii="Arial" w:hAnsi="Arial"/>
          <w:b w:val="0"/>
          <w:color w:val="333333"/>
          <w:sz w:val="22"/>
        </w:rPr>
        <w:t xml:space="preserve">, </w:t>
      </w:r>
      <w:r>
        <w:rPr>
          <w:rFonts w:ascii="Arial" w:hAnsi="Arial"/>
          <w:b/>
          <w:color w:val="333333"/>
          <w:sz w:val="22"/>
        </w:rPr>
        <w:t>regras</w:t>
      </w:r>
      <w:r>
        <w:rPr>
          <w:rFonts w:ascii="Arial" w:hAnsi="Arial"/>
          <w:b w:val="0"/>
          <w:color w:val="333333"/>
          <w:sz w:val="22"/>
        </w:rPr>
        <w:t xml:space="preserve"> e </w:t>
      </w:r>
      <w:r>
        <w:rPr>
          <w:rFonts w:ascii="Arial" w:hAnsi="Arial"/>
          <w:b/>
          <w:color w:val="333333"/>
          <w:sz w:val="22"/>
        </w:rPr>
        <w:t>formato de saída</w:t>
      </w:r>
      <w:r>
        <w:rPr>
          <w:rFonts w:ascii="Arial" w:hAnsi="Arial"/>
          <w:b w:val="0"/>
          <w:color w:val="333333"/>
          <w:sz w:val="22"/>
        </w:rPr>
        <w:t>. Definir o papel muda completamente a perspectiva da análise — um "analista de requisitos" enxerga o problema de forma diferente de um "engenheiro de qualidade".</w:t>
      </w:r>
    </w:p>
    <w:p>
      <w:pPr>
        <w:spacing w:after="160"/>
      </w:pPr>
      <w:r>
        <w:rPr>
          <w:rFonts w:ascii="Arial" w:hAnsi="Arial"/>
          <w:b w:val="0"/>
          <w:color w:val="333333"/>
          <w:sz w:val="22"/>
        </w:rPr>
        <w:t xml:space="preserve">Edge cases financeiros ganham destaque: a virada de dia às 23h59 durante a confirmação de um agendamento (o PIX ainda é considerado do mesmo dia?), a validação de saldo diferida entre agendamento e execução, e o comportamento correto quando a chave PIX é removida após o agendamento ser criado. Igualmente importante é o mapeamento de </w:t>
      </w:r>
      <w:r>
        <w:rPr>
          <w:rFonts w:ascii="Arial" w:hAnsi="Arial"/>
          <w:b/>
          <w:color w:val="333333"/>
          <w:sz w:val="22"/>
        </w:rPr>
        <w:t>estados de interface</w:t>
      </w:r>
      <w:r>
        <w:rPr>
          <w:rFonts w:ascii="Arial" w:hAnsi="Arial"/>
          <w:b w:val="0"/>
          <w:color w:val="333333"/>
          <w:sz w:val="22"/>
        </w:rPr>
        <w:t xml:space="preserve"> frequentemente esquecidos por desenvolvedores focados só na "tela funcionando": carregamento, vazio (sem contatos cadastrados, sem agendamentos ativos) e erro (saldo insuficiente, timeout, falha de comunicação) — cada um desses estados impacta diretamente a percepção de qualidade do usuário.</w:t>
      </w:r>
    </w:p>
    <w:p>
      <w:pPr>
        <w:spacing w:after="160"/>
      </w:pPr>
      <w:r>
        <w:rPr>
          <w:rFonts w:ascii="Arial" w:hAnsi="Arial"/>
          <w:b w:val="0"/>
          <w:color w:val="333333"/>
          <w:sz w:val="22"/>
        </w:rPr>
        <w:t>A IA funciona bem como ferramenta de brainstorming técnico mesmo quando erra: cenários improváveis sugeridos pelo modelo ainda têm valor porque provocam discussões importantes entre desenvolvimento, produto, UX e qualidade durante o refinamento — o time passa a discutir em cima de uma lista já expandida, em vez de partir do zero. O capítulo fecha reforçando que requisitos melhores produzem resultados melhores em qualquer ferramenta de geração de código subsequente — geração de código, testes, documentação e modelagem de API dependem diretamente da clareza do requisito de origem.</w:t>
      </w:r>
    </w:p>
    <w:p>
      <w:pPr>
        <w:pStyle w:val="Heading3"/>
        <w:spacing w:before="200" w:after="80"/>
      </w:pPr>
      <w:r>
        <w:rPr>
          <w:rFonts w:ascii="Arial" w:hAnsi="Arial"/>
          <w:b/>
          <w:color w:val="1F4D78"/>
          <w:sz w:val="24"/>
        </w:rPr>
        <w:t>Capítulo 2: Design de Fluxos Lógicos e Diagramação</w:t>
      </w:r>
    </w:p>
    <w:p>
      <w:pPr>
        <w:spacing w:after="160"/>
      </w:pPr>
      <w:r>
        <w:rPr>
          <w:rFonts w:ascii="Arial" w:hAnsi="Arial"/>
          <w:b w:val="0"/>
          <w:color w:val="333333"/>
          <w:sz w:val="22"/>
        </w:rPr>
        <w:t xml:space="preserve">O problema atacado aqui é a perda de conhecimento: refinamento acontece verbalmente em reunião, e a discussão se perde em mensagens fragmentadas — cada pessoa da equipe passa a trabalhar com uma interpretação diferente do mesmo fluxo, gerando retrabalho inevitável. A solução combina IA com </w:t>
      </w:r>
      <w:r>
        <w:rPr>
          <w:rFonts w:ascii="Arial" w:hAnsi="Arial"/>
          <w:b/>
          <w:color w:val="333333"/>
          <w:sz w:val="22"/>
        </w:rPr>
        <w:t>Mermaid</w:t>
      </w:r>
      <w:r>
        <w:rPr>
          <w:rFonts w:ascii="Arial" w:hAnsi="Arial"/>
          <w:b w:val="0"/>
          <w:color w:val="333333"/>
          <w:sz w:val="22"/>
        </w:rPr>
        <w:t>, ferramenta que gera diagramas a partir de texto — o diagrama passa a ser código, versionável no Git, revisável em Pull Request, e evolutivo junto com o projeto.</w:t>
      </w:r>
    </w:p>
    <w:p>
      <w:pPr>
        <w:spacing w:after="160"/>
      </w:pPr>
      <w:r>
        <w:rPr>
          <w:rFonts w:ascii="Arial" w:hAnsi="Arial"/>
          <w:b w:val="0"/>
          <w:color w:val="333333"/>
          <w:sz w:val="22"/>
        </w:rPr>
        <w:t>A cadeia de valor é: primeiro a IA expande o requisito (Capítulo 1), depois transforma esse refinamento em documentação visual estruturada. O nível de detalhamento do prompt (orientação de cima para baixo, cobertura de caminhos felizes e infelizes, representação de loading/erro/validação, convenções visuais como retângulos para ações e losangos para decisões) determina diretamente a qualidade do diagrama gerado. A integração nativa do Mermaid com GitHub, VS Code e Jira resolve um problema histórico da documentação técnica: diagramas tradicionais envelhecem rápido porque toda edição manual é trabalhosa, então o time simplesmente para de atualizar — com Mermaid, alterar algumas linhas de texto já regenera o diagrama.</w:t>
      </w:r>
    </w:p>
    <w:p>
      <w:pPr>
        <w:spacing w:after="160"/>
      </w:pPr>
      <w:r>
        <w:rPr>
          <w:rFonts w:ascii="Arial" w:hAnsi="Arial"/>
          <w:b w:val="0"/>
          <w:color w:val="333333"/>
          <w:sz w:val="22"/>
        </w:rPr>
        <w:t xml:space="preserve">Um ponto conceitual importante fecha o capítulo: esses diagramas representam </w:t>
      </w:r>
      <w:r>
        <w:rPr>
          <w:rFonts w:ascii="Arial" w:hAnsi="Arial"/>
          <w:b/>
          <w:color w:val="333333"/>
          <w:sz w:val="22"/>
        </w:rPr>
        <w:t>jornada</w:t>
      </w:r>
      <w:r>
        <w:rPr>
          <w:rFonts w:ascii="Arial" w:hAnsi="Arial"/>
          <w:b w:val="0"/>
          <w:color w:val="333333"/>
          <w:sz w:val="22"/>
        </w:rPr>
        <w:t>, não necessariamente arquitetura — é fácil confundir fluxo funcional com arquitetura de sistema. O objetivo inicial é entendimento do comportamento da aplicação; a arquitetura pode emergir naturalmente depois, quando os estados da jornada revelam quais serviços e integrações serão necessários. O ciclo é deliberadamente iterativo: a IA gera um primeiro fluxo, o time discute, novas regras aparecem, o diagrama evolui — sempre com a IA funcionando como copiloto, nunca decidindo sozinha.</w:t>
      </w:r>
    </w:p>
    <w:p>
      <w:pPr>
        <w:pStyle w:val="Heading3"/>
        <w:spacing w:before="200" w:after="80"/>
      </w:pPr>
      <w:r>
        <w:rPr>
          <w:rFonts w:ascii="Arial" w:hAnsi="Arial"/>
          <w:b/>
          <w:color w:val="1F4D78"/>
          <w:sz w:val="24"/>
        </w:rPr>
        <w:t>Capítulo 3: Refinamento de UX Writing e Comunicação Técnica</w:t>
      </w:r>
    </w:p>
    <w:p>
      <w:pPr>
        <w:spacing w:after="160"/>
      </w:pPr>
      <w:r>
        <w:rPr>
          <w:rFonts w:ascii="Arial" w:hAnsi="Arial"/>
          <w:b w:val="0"/>
          <w:color w:val="333333"/>
          <w:sz w:val="22"/>
        </w:rPr>
        <w:t xml:space="preserve">O capítulo trata de uma parte da experiência do usuário frequentemente negligenciada: os textos da interface. Toda aplicação "conversa" com o usuário continuamente — ao confirmar uma operação, apresentar um erro, orientar um próximo passo — e essa comunicação impacta diretamente a percepção de qualidade. </w:t>
      </w:r>
      <w:r>
        <w:rPr>
          <w:rFonts w:ascii="Arial" w:hAnsi="Arial"/>
          <w:b/>
          <w:color w:val="333333"/>
          <w:sz w:val="22"/>
        </w:rPr>
        <w:t>UX Writing</w:t>
      </w:r>
      <w:r>
        <w:rPr>
          <w:rFonts w:ascii="Arial" w:hAnsi="Arial"/>
          <w:b w:val="0"/>
          <w:color w:val="333333"/>
          <w:sz w:val="22"/>
        </w:rPr>
        <w:t xml:space="preserve"> (ou microcopy) não é escrever frases bonitas no momento da implementação; é projetar comunicação com intenção, clareza e contexto, normalmente alinhada entre produto, UX, negócio e desenvolvimento — em aplicações financeiras, o cuidado precisa ser redobrado, já que o usuário precisa sentir segurança durante toda a navegação.</w:t>
      </w:r>
    </w:p>
    <w:p>
      <w:pPr>
        <w:spacing w:after="160"/>
      </w:pPr>
      <w:r>
        <w:rPr>
          <w:rFonts w:ascii="Arial" w:hAnsi="Arial"/>
          <w:b w:val="0"/>
          <w:color w:val="333333"/>
          <w:sz w:val="22"/>
        </w:rPr>
        <w:t>Uma decisão arquitetural importante precede o uso de IA aqui: mensagens não devem ficar hardcoded no código — centralizá-las em arquivos estruturados (tipicamente JSON, consumidos por bibliotecas de internacionalização) traz manutenção facilitada, suporte multilíngue e consistência textual, independentemente do framework (Angular, React, Vue). Essa centralização é o que torna a integração com IA especialmente poderosa: em vez de pedir frases soltas, o prompt pode solicitar diretamente a estrutura pronta para uso no projeto.</w:t>
      </w:r>
    </w:p>
    <w:p>
      <w:pPr>
        <w:spacing w:after="160"/>
      </w:pPr>
      <w:r>
        <w:rPr>
          <w:rFonts w:ascii="Arial" w:hAnsi="Arial"/>
          <w:b w:val="0"/>
          <w:color w:val="333333"/>
          <w:sz w:val="22"/>
        </w:rPr>
        <w:t>Princípios de boa comunicação são detalhados com exemplos concretos: nunca culpar o usuário ("você digitou errado" vira "verifique os dados informados"), sempre indicar objetividade e próximo passo possível ("tente novamente", "ajuste o valor informado"), e manter padronização semântica — nunca alternar entre "transferência", "envio" e "remessa" para o mesmo conceito, já que isso aumenta confusão cognitiva.</w:t>
      </w:r>
    </w:p>
    <w:p>
      <w:pPr>
        <w:spacing w:after="160"/>
      </w:pPr>
      <w:r>
        <w:rPr>
          <w:rFonts w:ascii="Arial" w:hAnsi="Arial"/>
          <w:b w:val="0"/>
          <w:color w:val="333333"/>
          <w:sz w:val="22"/>
        </w:rPr>
        <w:t xml:space="preserve">Um dos pontos mais poderosos do capítulo é o </w:t>
      </w:r>
      <w:r>
        <w:rPr>
          <w:rFonts w:ascii="Arial" w:hAnsi="Arial"/>
          <w:b/>
          <w:color w:val="333333"/>
          <w:sz w:val="22"/>
        </w:rPr>
        <w:t>reaproveitamento contextual</w:t>
      </w:r>
      <w:r>
        <w:rPr>
          <w:rFonts w:ascii="Arial" w:hAnsi="Arial"/>
          <w:b w:val="0"/>
          <w:color w:val="333333"/>
          <w:sz w:val="22"/>
        </w:rPr>
        <w:t>: como o modelo mantém grande volume de informação na mesma conversa, o histórico do requisito refinado, dos edge cases e dos diagramas anteriores pode ser reutilizado diretamente para gerar mensagens específicas de cada cenário (sucesso, saldo insuficiente, timeout, chave inválida), já em formato JSON reutilizável, com código identificador, título, mensagem e ação sugerida — a IA passa a produzir artefatos técnicos utilizáveis, não apenas texto solto. UX Writing também é apresentado como parte constitutiva do Design System de uma organização (tom de voz, terminologia oficial, padrões emocionais) — e se conecta diretamente a acessibilidade, já que comunicação simples e objetiva reduz carga cognitiva para qualquer perfil de usuário.</w:t>
      </w:r>
    </w:p>
    <w:p>
      <w:pPr>
        <w:pStyle w:val="Heading3"/>
        <w:spacing w:before="200" w:after="80"/>
      </w:pPr>
      <w:r>
        <w:rPr>
          <w:rFonts w:ascii="Arial" w:hAnsi="Arial"/>
          <w:b/>
          <w:color w:val="1F4D78"/>
          <w:sz w:val="24"/>
        </w:rPr>
        <w:t>Capítulo 4: Preparação e Sanitização de Datasets</w:t>
      </w:r>
    </w:p>
    <w:p>
      <w:pPr>
        <w:spacing w:after="160"/>
      </w:pPr>
      <w:r>
        <w:rPr>
          <w:rFonts w:ascii="Arial" w:hAnsi="Arial"/>
          <w:b w:val="0"/>
          <w:color w:val="333333"/>
          <w:sz w:val="22"/>
        </w:rPr>
        <w:t>Times maduros aprendem que os insights mais valiosos sobre problemas reais do produto frequentemente não vêm de reuniões internas, mas do comportamento e feedback de usuários reais — sistemas de suporte, reviews de loja, redes sociais, pesquisas de satisfação. Usuários encontram edge cases, falhas de UX e comportamentos inesperados que o time nem imaginava durante o desenvolvimento.</w:t>
      </w:r>
    </w:p>
    <w:p>
      <w:pPr>
        <w:spacing w:after="160"/>
      </w:pPr>
      <w:r>
        <w:rPr>
          <w:rFonts w:ascii="Arial" w:hAnsi="Arial"/>
          <w:b w:val="0"/>
          <w:color w:val="333333"/>
          <w:sz w:val="22"/>
        </w:rPr>
        <w:t xml:space="preserve">O problema é que esses datasets chegam completamente desorganizados: mensagens incompletas, spam, testes internos, ruído operacional — e, criticamente, </w:t>
      </w:r>
      <w:r>
        <w:rPr>
          <w:rFonts w:ascii="Arial" w:hAnsi="Arial"/>
          <w:b/>
          <w:color w:val="333333"/>
          <w:sz w:val="22"/>
        </w:rPr>
        <w:t>dados sensíveis</w:t>
      </w:r>
      <w:r>
        <w:rPr>
          <w:rFonts w:ascii="Arial" w:hAnsi="Arial"/>
          <w:b w:val="0"/>
          <w:color w:val="333333"/>
          <w:sz w:val="22"/>
        </w:rPr>
        <w:t>. É extremamente comum usuários incluírem CPF, telefone, e-mail ou dados bancários em comentários sem perceber o risco, criando um problema real de compliance se esses dados forem processados ou armazenados sem proteção adequada.</w:t>
      </w:r>
    </w:p>
    <w:p>
      <w:pPr>
        <w:spacing w:after="160"/>
      </w:pPr>
      <w:r>
        <w:rPr>
          <w:rFonts w:ascii="Arial" w:hAnsi="Arial"/>
          <w:b w:val="0"/>
          <w:color w:val="333333"/>
          <w:sz w:val="22"/>
        </w:rPr>
        <w:t xml:space="preserve">A </w:t>
      </w:r>
      <w:r>
        <w:rPr>
          <w:rFonts w:ascii="Arial" w:hAnsi="Arial"/>
          <w:b/>
          <w:color w:val="333333"/>
          <w:sz w:val="22"/>
        </w:rPr>
        <w:t>sanitização</w:t>
      </w:r>
      <w:r>
        <w:rPr>
          <w:rFonts w:ascii="Arial" w:hAnsi="Arial"/>
          <w:b w:val="0"/>
          <w:color w:val="333333"/>
          <w:sz w:val="22"/>
        </w:rPr>
        <w:t xml:space="preserve"> com LLMs adiciona uma camada semântica que ferramentas tradicionais (regex, filtros sintáticos) não alcançam: o modelo consegue diferenciar reclamação relevante de ruído operacional, distinguir teste interno de feedback real, e principalmente entender o </w:t>
      </w:r>
      <w:r>
        <w:rPr>
          <w:rFonts w:ascii="Arial" w:hAnsi="Arial"/>
          <w:i/>
          <w:color w:val="333333"/>
          <w:sz w:val="22"/>
        </w:rPr>
        <w:t>contexto</w:t>
      </w:r>
      <w:r>
        <w:rPr>
          <w:rFonts w:ascii="Arial" w:hAnsi="Arial"/>
          <w:b w:val="0"/>
          <w:color w:val="333333"/>
          <w:sz w:val="22"/>
        </w:rPr>
        <w:t xml:space="preserve"> — algo que detecção puramente baseada em padrão não faz. Novamente o System Prompt é decisivo: o modelo passa a atuar como "engenheiro de dados sênior e especialista em compliance e LGPD".</w:t>
      </w:r>
    </w:p>
    <w:p>
      <w:pPr>
        <w:spacing w:after="160"/>
      </w:pPr>
      <w:r>
        <w:rPr>
          <w:rFonts w:ascii="Arial" w:hAnsi="Arial"/>
          <w:b w:val="0"/>
          <w:color w:val="333333"/>
          <w:sz w:val="22"/>
        </w:rPr>
        <w:t xml:space="preserve">O equilíbrio central do capítulo é entre </w:t>
      </w:r>
      <w:r>
        <w:rPr>
          <w:rFonts w:ascii="Arial" w:hAnsi="Arial"/>
          <w:b/>
          <w:color w:val="333333"/>
          <w:sz w:val="22"/>
        </w:rPr>
        <w:t>remover PII sem destruir valor analítico</w:t>
      </w:r>
      <w:r>
        <w:rPr>
          <w:rFonts w:ascii="Arial" w:hAnsi="Arial"/>
          <w:b w:val="0"/>
          <w:color w:val="333333"/>
          <w:sz w:val="22"/>
        </w:rPr>
        <w:t>. A técnica não é apagar a mensagem inteira, é substituir a informação sensível por marcadores neutros, preservando a estrutura útil — o exemplo "fui fazer um PIX e o aplicativo travou. Meu CPF é..." demonstra isso: o CPF é irrelevante para o bug, mas o comportamento relatado (trava durante PIX) é dado técnico valioso que precisa sobreviver à sanitização. Da mesma forma, um relato como "o aplicativo trava quando tento agendar um PIX no dia 31 usando iPhone" carrega múltiplas informações analíticas (edge case de calendário, dispositivo, ação executada) que precisam ser preservadas integralmente.</w:t>
      </w:r>
    </w:p>
    <w:p>
      <w:pPr>
        <w:spacing w:after="160"/>
      </w:pPr>
      <w:r>
        <w:rPr>
          <w:rFonts w:ascii="Arial" w:hAnsi="Arial"/>
          <w:b w:val="0"/>
          <w:color w:val="333333"/>
          <w:sz w:val="22"/>
        </w:rPr>
        <w:t>A saída estruturada em JSON viabiliza alimentar diretamente dashboards, pipelines de analytics e geração automática de tickets — mas o capítulo reforça que a IA não elimina engenharia de dados tradicional para datasets grandes: ela entra como acelerador semântico de uma etapa de preparação que continua exigindo governança, validação e arquitetura de dados por trás.</w:t>
      </w:r>
    </w:p>
    <w:p>
      <w:pPr>
        <w:pStyle w:val="Heading3"/>
        <w:spacing w:before="200" w:after="80"/>
      </w:pPr>
      <w:r>
        <w:rPr>
          <w:rFonts w:ascii="Arial" w:hAnsi="Arial"/>
          <w:b/>
          <w:color w:val="1F4D78"/>
          <w:sz w:val="24"/>
        </w:rPr>
        <w:t>Capítulo 5: Laboratório — Structured Prompts no AI Studio</w:t>
      </w:r>
    </w:p>
    <w:p>
      <w:pPr>
        <w:spacing w:after="160"/>
      </w:pPr>
      <w:r>
        <w:rPr>
          <w:rFonts w:ascii="Arial" w:hAnsi="Arial"/>
          <w:b w:val="0"/>
          <w:color w:val="333333"/>
          <w:sz w:val="22"/>
        </w:rPr>
        <w:t xml:space="preserve">O capítulo demonstra a transformação de feedback sanitizado em backlog técnico priorizado — conectando diretamente a etapa anterior à gestão de produto. O System Prompt aqui posiciona o modelo como </w:t>
      </w:r>
      <w:r>
        <w:rPr>
          <w:rFonts w:ascii="Arial" w:hAnsi="Arial"/>
          <w:b/>
          <w:color w:val="333333"/>
          <w:sz w:val="22"/>
        </w:rPr>
        <w:t>Tech Lead e Product Manager simultaneamente</w:t>
      </w:r>
      <w:r>
        <w:rPr>
          <w:rFonts w:ascii="Arial" w:hAnsi="Arial"/>
          <w:b w:val="0"/>
          <w:color w:val="333333"/>
          <w:sz w:val="22"/>
        </w:rPr>
        <w:t>, o que muda a interpretação dos feedbacks: em vez de apenas resumir comentários, o modelo passa a considerar impacto técnico, criticidade e priorização de backlog.</w:t>
      </w:r>
    </w:p>
    <w:p>
      <w:pPr>
        <w:spacing w:after="160"/>
      </w:pPr>
      <w:r>
        <w:rPr>
          <w:rFonts w:ascii="Arial" w:hAnsi="Arial"/>
          <w:b w:val="0"/>
          <w:color w:val="333333"/>
          <w:sz w:val="22"/>
        </w:rPr>
        <w:t xml:space="preserve">A classificação exige categorias explícitas (bug crítico, melhoria de interface, nova funcionalidade) e severidade — o exemplo de </w:t>
      </w:r>
      <w:r>
        <w:rPr>
          <w:rFonts w:ascii="Arial" w:hAnsi="Arial"/>
          <w:b/>
          <w:color w:val="333333"/>
          <w:sz w:val="22"/>
        </w:rPr>
        <w:t>tela branca</w:t>
      </w:r>
      <w:r>
        <w:rPr>
          <w:rFonts w:ascii="Arial" w:hAnsi="Arial"/>
          <w:b w:val="0"/>
          <w:color w:val="333333"/>
          <w:sz w:val="22"/>
        </w:rPr>
        <w:t xml:space="preserve"> é usado para reforçar um princípio importante de engenharia front-end: erros podem acontecer, mas a ausência de tratamento visual para eles nunca é aceitável; uma aplicação madura precisa de fallback visual, mensagem clara e possibilidade de recuperação.</w:t>
      </w:r>
    </w:p>
    <w:p>
      <w:pPr>
        <w:spacing w:after="160"/>
      </w:pPr>
      <w:r>
        <w:rPr>
          <w:rFonts w:ascii="Arial" w:hAnsi="Arial"/>
          <w:b w:val="0"/>
          <w:color w:val="333333"/>
          <w:sz w:val="22"/>
        </w:rPr>
        <w:t xml:space="preserve">Além de classificar, o agente propõe </w:t>
      </w:r>
      <w:r>
        <w:rPr>
          <w:rFonts w:ascii="Arial" w:hAnsi="Arial"/>
          <w:b/>
          <w:color w:val="333333"/>
          <w:sz w:val="22"/>
        </w:rPr>
        <w:t>ações técnicas iniciais</w:t>
      </w:r>
      <w:r>
        <w:rPr>
          <w:rFonts w:ascii="Arial" w:hAnsi="Arial"/>
          <w:b w:val="0"/>
          <w:color w:val="333333"/>
          <w:sz w:val="22"/>
        </w:rPr>
        <w:t xml:space="preserve"> (investigar logs, adicionar error boundaries, revisar timeout de integração) — funcionando quase como apoio de triagem, sem substituir debugging real. Um dos maiores ganhos práticos é o </w:t>
      </w:r>
      <w:r>
        <w:rPr>
          <w:rFonts w:ascii="Arial" w:hAnsi="Arial"/>
          <w:b/>
          <w:color w:val="333333"/>
          <w:sz w:val="22"/>
        </w:rPr>
        <w:t>agrupamento semântico</w:t>
      </w:r>
      <w:r>
        <w:rPr>
          <w:rFonts w:ascii="Arial" w:hAnsi="Arial"/>
          <w:b w:val="0"/>
          <w:color w:val="333333"/>
          <w:sz w:val="22"/>
        </w:rPr>
        <w:t>: diferentes usuários relatando o mesmo bug com palavras completamente diferentes ("travou", "carregando infinitamente", "tela branca", "fechou sozinho") são consolidados como o mesmo problema — algo que filtros por palavra-chave tradicionais não conseguem fazer, reduzindo drasticamente tickets duplicados no backlog.</w:t>
      </w:r>
    </w:p>
    <w:p>
      <w:pPr>
        <w:pStyle w:val="Heading3"/>
        <w:spacing w:before="200" w:after="80"/>
      </w:pPr>
      <w:r>
        <w:rPr>
          <w:rFonts w:ascii="Arial" w:hAnsi="Arial"/>
          <w:b/>
          <w:color w:val="1F4D78"/>
          <w:sz w:val="24"/>
        </w:rPr>
        <w:t>Capítulo 6: Prompt as Code &amp; Integração</w:t>
      </w:r>
    </w:p>
    <w:p>
      <w:pPr>
        <w:spacing w:after="160"/>
      </w:pPr>
      <w:r>
        <w:rPr>
          <w:rFonts w:ascii="Arial" w:hAnsi="Arial"/>
          <w:b w:val="0"/>
          <w:color w:val="333333"/>
          <w:sz w:val="22"/>
        </w:rPr>
        <w:t xml:space="preserve">O capítulo final do módulo estabelece a disciplina que diferencia uso experimental de uso profissional de IA: se um prompt gera valor, ele precisa ser tratado como </w:t>
      </w:r>
      <w:r>
        <w:rPr>
          <w:rFonts w:ascii="Arial" w:hAnsi="Arial"/>
          <w:b/>
          <w:color w:val="333333"/>
          <w:sz w:val="22"/>
        </w:rPr>
        <w:t>ativo do projeto</w:t>
      </w:r>
      <w:r>
        <w:rPr>
          <w:rFonts w:ascii="Arial" w:hAnsi="Arial"/>
          <w:b w:val="0"/>
          <w:color w:val="333333"/>
          <w:sz w:val="22"/>
        </w:rPr>
        <w:t xml:space="preserve"> — organizado, versionado, documentado, com a mesma seriedade aplicada a código-fonte, arquivos de configuração ou contratos de API. Um System Prompt de análise de requisitos carrega decisões técnicas reais; um prompt de UX Writing carrega diretrizes de tom de voz e terminologia; deixar esse material apenas no histórico de uma ferramenta de chat significa perder rastreabilidade, revisão e reutilização por outras pessoas do time.</w:t>
      </w:r>
    </w:p>
    <w:p>
      <w:pPr>
        <w:spacing w:after="160"/>
      </w:pPr>
      <w:r>
        <w:rPr>
          <w:rFonts w:ascii="Arial" w:hAnsi="Arial"/>
          <w:b w:val="0"/>
          <w:color w:val="333333"/>
          <w:sz w:val="22"/>
        </w:rPr>
        <w:t xml:space="preserve">A prática recomendada envolve estrutura de pastas clara (dados brutos, prompts, resultados processados, documentação), separando o que é entrada, o que orienta o comportamento da IA e o que é saída — organização que transmite maturidade técnica tanto em projetos internos quanto em repositórios de portfólio no GitHub. Um </w:t>
      </w:r>
      <w:r>
        <w:rPr>
          <w:rFonts w:ascii="Arial" w:hAnsi="Arial"/>
          <w:b/>
          <w:color w:val="333333"/>
          <w:sz w:val="22"/>
        </w:rPr>
        <w:t>meta prompt</w:t>
      </w:r>
      <w:r>
        <w:rPr>
          <w:rFonts w:ascii="Arial" w:hAnsi="Arial"/>
          <w:b w:val="0"/>
          <w:color w:val="333333"/>
          <w:sz w:val="22"/>
        </w:rPr>
        <w:t xml:space="preserve"> (prompt que gera outro artefato técnico a partir do próprio projeto) é usado para gerar o README automaticamente, com atenção explícita ao formato de saída solicitado (Markdown puro, sem frases de preenchimento como "aqui está o seu README").</w:t>
      </w:r>
    </w:p>
    <w:p>
      <w:pPr>
        <w:spacing w:after="160"/>
      </w:pPr>
      <w:r>
        <w:rPr>
          <w:rFonts w:ascii="Arial" w:hAnsi="Arial"/>
          <w:b w:val="0"/>
          <w:color w:val="333333"/>
          <w:sz w:val="22"/>
        </w:rPr>
        <w:t xml:space="preserve">Um erro real capturado durante a aula ilustra um cuidado importante: o modelo tentou gerar o README no formato errado porque ainda carregava o </w:t>
      </w:r>
      <w:r>
        <w:rPr>
          <w:rFonts w:ascii="Arial" w:hAnsi="Arial"/>
          <w:b/>
          <w:color w:val="333333"/>
          <w:sz w:val="22"/>
        </w:rPr>
        <w:t>System Prompt anterior</w:t>
      </w:r>
      <w:r>
        <w:rPr>
          <w:rFonts w:ascii="Arial" w:hAnsi="Arial"/>
          <w:b w:val="0"/>
          <w:color w:val="333333"/>
          <w:sz w:val="22"/>
        </w:rPr>
        <w:t xml:space="preserve"> (voltado para análise de backlog) na mesma conversa — reforçando que contexto é parte da arquitetura ao trabalhar com LLMs, exigindo disciplina sobre quando reaproveitar contexto e quando iniciar uma nova conversa limpa. O capítulo fecha projetando a criação de um </w:t>
      </w:r>
      <w:r>
        <w:rPr>
          <w:rFonts w:ascii="Arial" w:hAnsi="Arial"/>
          <w:b/>
          <w:color w:val="333333"/>
          <w:sz w:val="22"/>
        </w:rPr>
        <w:t>Prompt Garden</w:t>
      </w:r>
      <w:r>
        <w:rPr>
          <w:rFonts w:ascii="Arial" w:hAnsi="Arial"/>
          <w:b w:val="0"/>
          <w:color w:val="333333"/>
          <w:sz w:val="22"/>
        </w:rPr>
        <w:t xml:space="preserve"> — biblioteca compartilhada de prompts padronizados (refinamento, edge cases, UX Writing, sanitização, geração de testes) que transforma IA de ferramenta individual de produtividade em parte formal do processo de engenharia da equipe.</w:t>
      </w:r>
    </w:p>
    <w:p>
      <w:pPr>
        <w:pStyle w:val="Heading2"/>
        <w:spacing w:before="360" w:after="160"/>
      </w:pPr>
      <w:r>
        <w:rPr>
          <w:rFonts w:ascii="Arial" w:hAnsi="Arial"/>
          <w:b/>
          <w:color w:val="2E74B5"/>
          <w:sz w:val="28"/>
        </w:rPr>
        <w:t>Módulo 2: O Ecossistema AI-Native no Frontend</w:t>
      </w:r>
    </w:p>
    <w:p>
      <w:pPr>
        <w:pStyle w:val="Heading3"/>
        <w:spacing w:before="200" w:after="80"/>
      </w:pPr>
      <w:r>
        <w:rPr>
          <w:rFonts w:ascii="Arial" w:hAnsi="Arial"/>
          <w:b/>
          <w:color w:val="1F4D78"/>
          <w:sz w:val="24"/>
        </w:rPr>
        <w:t>Capítulo 1: Setup Angular e MCP</w:t>
      </w:r>
    </w:p>
    <w:p>
      <w:pPr>
        <w:spacing w:after="160"/>
      </w:pPr>
      <w:r>
        <w:rPr>
          <w:rFonts w:ascii="Arial" w:hAnsi="Arial"/>
          <w:b w:val="0"/>
          <w:color w:val="333333"/>
          <w:sz w:val="22"/>
        </w:rPr>
        <w:t>O módulo muda o tipo de trabalho: da análise e documentação para desenvolvimento front-end propriamente dito. Antes de gerar qualquer tela, o ambiente precisa ser preparado corretamente — existe diferença grande entre pedir a uma IA para gerar código e configurar um ambiente de desenvolvimento para que ela trabalhe com precisão real.</w:t>
      </w:r>
    </w:p>
    <w:p>
      <w:pPr>
        <w:spacing w:after="160"/>
      </w:pPr>
      <w:r>
        <w:rPr>
          <w:rFonts w:ascii="Arial" w:hAnsi="Arial"/>
          <w:b w:val="0"/>
          <w:color w:val="333333"/>
          <w:sz w:val="22"/>
        </w:rPr>
        <w:t xml:space="preserve">O projeto </w:t>
      </w:r>
      <w:r>
        <w:rPr>
          <w:rFonts w:ascii="Arial" w:hAnsi="Arial"/>
          <w:b/>
          <w:color w:val="333333"/>
          <w:sz w:val="22"/>
        </w:rPr>
        <w:t>PixApp</w:t>
      </w:r>
      <w:r>
        <w:rPr>
          <w:rFonts w:ascii="Arial" w:hAnsi="Arial"/>
          <w:b w:val="0"/>
          <w:color w:val="333333"/>
          <w:sz w:val="22"/>
        </w:rPr>
        <w:t xml:space="preserve"> nasce via Angular CLI, aberto numa IDE agêntica chamada </w:t>
      </w:r>
      <w:r>
        <w:rPr>
          <w:rFonts w:ascii="Arial" w:hAnsi="Arial"/>
          <w:b/>
          <w:color w:val="333333"/>
          <w:sz w:val="22"/>
        </w:rPr>
        <w:t>Antigravity</w:t>
      </w:r>
      <w:r>
        <w:rPr>
          <w:rFonts w:ascii="Arial" w:hAnsi="Arial"/>
          <w:b w:val="0"/>
          <w:color w:val="333333"/>
          <w:sz w:val="22"/>
        </w:rPr>
        <w:t xml:space="preserve"> — um fork do VS Code com filosofia "AI First", que permite ao agente enxergar o workspace inteiro, propor alterações, criar componentes e modificar rotas diretamente, em vez do fluxo tradicional de copiar e colar entre chat e projeto. Essa capacidade amplia produtividade, mas também exige mais responsabilidade: sem escopo, restrições e objetivos claros, o agente pode tomar decisões indesejadas (aplicar estilos antes da hora, alterar arquivos demais).</w:t>
      </w:r>
    </w:p>
    <w:p>
      <w:pPr>
        <w:spacing w:after="160"/>
      </w:pPr>
      <w:r>
        <w:rPr>
          <w:rFonts w:ascii="Arial" w:hAnsi="Arial"/>
          <w:b w:val="0"/>
          <w:color w:val="333333"/>
          <w:sz w:val="22"/>
        </w:rPr>
        <w:t xml:space="preserve">O conceito técnico central do capítulo é o </w:t>
      </w:r>
      <w:r>
        <w:rPr>
          <w:rFonts w:ascii="Arial" w:hAnsi="Arial"/>
          <w:b/>
          <w:color w:val="333333"/>
          <w:sz w:val="22"/>
        </w:rPr>
        <w:t>MCP</w:t>
      </w:r>
      <w:r>
        <w:rPr>
          <w:rFonts w:ascii="Arial" w:hAnsi="Arial"/>
          <w:b w:val="0"/>
          <w:color w:val="333333"/>
          <w:sz w:val="22"/>
        </w:rPr>
        <w:t xml:space="preserve"> (Model Context Protocol): modelos são treinados numa janela temporal fixa, e frameworks evoluem rapidamente — Angular, React, Vue mudam constantemente (novas APIs, sintaxes recomendadas). Sem direcionamento, o modelo pode sugerir padrões antigos (módulos em vez de standalone components, por exemplo). O MCP do Angular resolve isso conectando o agente a um servidor especializado com documentação e boas práticas atualizadas — reduzindo drasticamente o risco de código desatualizado.</w:t>
      </w:r>
    </w:p>
    <w:p>
      <w:pPr>
        <w:spacing w:after="160"/>
      </w:pPr>
      <w:r>
        <w:rPr>
          <w:rFonts w:ascii="Arial" w:hAnsi="Arial"/>
          <w:b w:val="0"/>
          <w:color w:val="333333"/>
          <w:sz w:val="22"/>
        </w:rPr>
        <w:t xml:space="preserve">A primeira geração de código é deliberadamente restrita: estrutura semântica com navegação, rota configurada, componente standalone e formulário — mas </w:t>
      </w:r>
      <w:r>
        <w:rPr>
          <w:rFonts w:ascii="Arial" w:hAnsi="Arial"/>
          <w:b/>
          <w:color w:val="333333"/>
          <w:sz w:val="22"/>
        </w:rPr>
        <w:t>sem CSS e sem estilo inline</w:t>
      </w:r>
      <w:r>
        <w:rPr>
          <w:rFonts w:ascii="Arial" w:hAnsi="Arial"/>
          <w:b w:val="0"/>
          <w:color w:val="333333"/>
          <w:sz w:val="22"/>
        </w:rPr>
        <w:t>, restrição explícita porque a IA tende a "melhorar" a entrega adicionando decisões visuais por conta própria antes do momento adequado. O fluxo de planejamento do Antigravity (identificar arquivos afetados, descrever a intenção, aguardar aprovação antes de aplicar) reforça o modelo ideal: copiloto que acelera, mas mantém o desenvolvedor no controle.</w:t>
      </w:r>
    </w:p>
    <w:p>
      <w:pPr>
        <w:pStyle w:val="Heading3"/>
        <w:spacing w:before="200" w:after="80"/>
      </w:pPr>
      <w:r>
        <w:rPr>
          <w:rFonts w:ascii="Arial" w:hAnsi="Arial"/>
          <w:b/>
          <w:color w:val="1F4D78"/>
          <w:sz w:val="24"/>
        </w:rPr>
        <w:t>Capítulo 2: Criação de Tokens, Estilização</w:t>
      </w:r>
    </w:p>
    <w:p>
      <w:pPr>
        <w:spacing w:after="160"/>
      </w:pPr>
      <w:r>
        <w:rPr>
          <w:rFonts w:ascii="Arial" w:hAnsi="Arial"/>
          <w:b w:val="0"/>
          <w:color w:val="333333"/>
          <w:sz w:val="22"/>
        </w:rPr>
        <w:t xml:space="preserve">Antes de aplicar CSS componente por componente, o capítulo formaliza o conceito de </w:t>
      </w:r>
      <w:r>
        <w:rPr>
          <w:rFonts w:ascii="Arial" w:hAnsi="Arial"/>
          <w:b/>
          <w:color w:val="333333"/>
          <w:sz w:val="22"/>
        </w:rPr>
        <w:t>token de design</w:t>
      </w:r>
      <w:r>
        <w:rPr>
          <w:rFonts w:ascii="Arial" w:hAnsi="Arial"/>
          <w:b w:val="0"/>
          <w:color w:val="333333"/>
          <w:sz w:val="22"/>
        </w:rPr>
        <w:t>: a menor unidade reutilizável do sistema visual — cor, fonte, espaçamento, raio de borda. Sem essa camada centralizada, cada tela tende a divergir sutilmente (tons de azul ligeiramente diferentes, espaçamentos aleatórios), transmitindo imaturidade do produto.</w:t>
      </w:r>
    </w:p>
    <w:p>
      <w:pPr>
        <w:spacing w:after="160"/>
      </w:pPr>
      <w:r>
        <w:rPr>
          <w:rFonts w:ascii="Arial" w:hAnsi="Arial"/>
          <w:b w:val="0"/>
          <w:color w:val="333333"/>
          <w:sz w:val="22"/>
        </w:rPr>
        <w:t xml:space="preserve">Um briefing de marca real (azul noturno profundo como cor principal, verde neon como destaque, vermelho clássico para erros, Montserrat para títulos, Inter para texto corrido, espaçamentos em múltiplos de quatro) é convertido em variáveis CSS nativas no arquivo global de estilos. A escolha de nomenclatura é decisiva: nomear pela </w:t>
      </w:r>
      <w:r>
        <w:rPr>
          <w:rFonts w:ascii="Arial" w:hAnsi="Arial"/>
          <w:b/>
          <w:color w:val="333333"/>
          <w:sz w:val="22"/>
        </w:rPr>
        <w:t>função semântica</w:t>
      </w:r>
      <w:r>
        <w:rPr>
          <w:rFonts w:ascii="Arial" w:hAnsi="Arial"/>
          <w:b w:val="0"/>
          <w:color w:val="333333"/>
          <w:sz w:val="22"/>
        </w:rPr>
        <w:t xml:space="preserve"> (</w:t>
      </w:r>
      <w:r>
        <w:rPr>
          <w:rFonts w:ascii="Courier New" w:hAnsi="Courier New"/>
          <w:color w:val="333333"/>
          <w:sz w:val="20"/>
        </w:rPr>
        <w:t>cor-primaria</w:t>
      </w:r>
      <w:r>
        <w:rPr>
          <w:rFonts w:ascii="Arial" w:hAnsi="Arial"/>
          <w:b w:val="0"/>
          <w:color w:val="333333"/>
          <w:sz w:val="22"/>
        </w:rPr>
        <w:t xml:space="preserve">, </w:t>
      </w:r>
      <w:r>
        <w:rPr>
          <w:rFonts w:ascii="Courier New" w:hAnsi="Courier New"/>
          <w:color w:val="333333"/>
          <w:sz w:val="20"/>
        </w:rPr>
        <w:t>cor-erro</w:t>
      </w:r>
      <w:r>
        <w:rPr>
          <w:rFonts w:ascii="Arial" w:hAnsi="Arial"/>
          <w:b w:val="0"/>
          <w:color w:val="333333"/>
          <w:sz w:val="22"/>
        </w:rPr>
        <w:t>) em vez do valor literal (</w:t>
      </w:r>
      <w:r>
        <w:rPr>
          <w:rFonts w:ascii="Courier New" w:hAnsi="Courier New"/>
          <w:color w:val="333333"/>
          <w:sz w:val="20"/>
        </w:rPr>
        <w:t>azul</w:t>
      </w:r>
      <w:r>
        <w:rPr>
          <w:rFonts w:ascii="Arial" w:hAnsi="Arial"/>
          <w:b w:val="0"/>
          <w:color w:val="333333"/>
          <w:sz w:val="22"/>
        </w:rPr>
        <w:t xml:space="preserve">, </w:t>
      </w:r>
      <w:r>
        <w:rPr>
          <w:rFonts w:ascii="Courier New" w:hAnsi="Courier New"/>
          <w:color w:val="333333"/>
          <w:sz w:val="20"/>
        </w:rPr>
        <w:t>vermelho</w:t>
      </w:r>
      <w:r>
        <w:rPr>
          <w:rFonts w:ascii="Arial" w:hAnsi="Arial"/>
          <w:b w:val="0"/>
          <w:color w:val="333333"/>
          <w:sz w:val="22"/>
        </w:rPr>
        <w:t>) garante que a variável continue fazendo sentido mesmo se a cor mudar no futuro.</w:t>
      </w:r>
    </w:p>
    <w:p>
      <w:pPr>
        <w:spacing w:after="160"/>
      </w:pPr>
      <w:r>
        <w:rPr>
          <w:rFonts w:ascii="Arial" w:hAnsi="Arial"/>
          <w:b w:val="0"/>
          <w:color w:val="333333"/>
          <w:sz w:val="22"/>
        </w:rPr>
        <w:t>O prompt de geração dos tokens é salvo como arquivo dentro do próprio projeto — reaproveitando o conceito de Prompt as Code do módulo anterior. Ao aplicar os tokens na navegação e no formulário, uma restrição explícita proíbe cores hexadecimais absolutas, forçando o agente a consumir exclusivamente as variáveis já criadas — sem essa restrição, modelos tendem a resolver a tarefa visual da forma mais direta, gerando valores duplicados que quebram a consistência do design system. O capítulo também reforça que o agente precisa aprender preferências arquiteturais do projeto (ex.: template HTML separado do TypeScript, não embutido no componente) — não basta pedir uma tarefa funcional, é preciso comunicar estrutura e padrões esperados.</w:t>
      </w:r>
    </w:p>
    <w:p>
      <w:pPr>
        <w:pStyle w:val="Heading3"/>
        <w:spacing w:before="200" w:after="80"/>
      </w:pPr>
      <w:r>
        <w:rPr>
          <w:rFonts w:ascii="Arial" w:hAnsi="Arial"/>
          <w:b/>
          <w:color w:val="1F4D78"/>
          <w:sz w:val="24"/>
        </w:rPr>
        <w:t>Capítulo 3: Geração de Componentes Acessíveis</w:t>
      </w:r>
    </w:p>
    <w:p>
      <w:pPr>
        <w:spacing w:after="160"/>
      </w:pPr>
      <w:r>
        <w:rPr>
          <w:rFonts w:ascii="Arial" w:hAnsi="Arial"/>
          <w:b w:val="0"/>
          <w:color w:val="333333"/>
          <w:sz w:val="22"/>
        </w:rPr>
        <w:t xml:space="preserve">O capítulo trata de uma camada da experiência do usuário frequentemente ignorada por desenvolvedores focados apenas em layout e funcionamento visual: </w:t>
      </w:r>
      <w:r>
        <w:rPr>
          <w:rFonts w:ascii="Arial" w:hAnsi="Arial"/>
          <w:b/>
          <w:color w:val="333333"/>
          <w:sz w:val="22"/>
        </w:rPr>
        <w:t>acessibilidade</w:t>
      </w:r>
      <w:r>
        <w:rPr>
          <w:rFonts w:ascii="Arial" w:hAnsi="Arial"/>
          <w:b w:val="0"/>
          <w:color w:val="333333"/>
          <w:sz w:val="22"/>
        </w:rPr>
        <w:t>. Não se trata de checklist superficial — envolve navegação por teclado, compatibilidade com leitores de tela, ordem semântica de conteúdo, gerenciamento de foco e comportamento previsível, sempre com o princípio de que corrigir acessibilidade depois que um projeto cresce é muito mais caro do que já nascer correto.</w:t>
      </w:r>
    </w:p>
    <w:p>
      <w:pPr>
        <w:spacing w:after="160"/>
      </w:pPr>
      <w:r>
        <w:rPr>
          <w:rFonts w:ascii="Arial" w:hAnsi="Arial"/>
          <w:b w:val="0"/>
          <w:color w:val="333333"/>
          <w:sz w:val="22"/>
        </w:rPr>
        <w:t xml:space="preserve">O exemplo prático é um </w:t>
      </w:r>
      <w:r>
        <w:rPr>
          <w:rFonts w:ascii="Arial" w:hAnsi="Arial"/>
          <w:b/>
          <w:color w:val="333333"/>
          <w:sz w:val="22"/>
        </w:rPr>
        <w:t>modal de erro</w:t>
      </w:r>
      <w:r>
        <w:rPr>
          <w:rFonts w:ascii="Arial" w:hAnsi="Arial"/>
          <w:b w:val="0"/>
          <w:color w:val="333333"/>
          <w:sz w:val="22"/>
        </w:rPr>
        <w:t xml:space="preserve"> — escolha deliberada porque modais concentram vários desafios de acessibilidade simultaneamente. Aqui aparece o conceito de </w:t>
      </w:r>
      <w:r>
        <w:rPr>
          <w:rFonts w:ascii="Arial" w:hAnsi="Arial"/>
          <w:b/>
          <w:color w:val="333333"/>
          <w:sz w:val="22"/>
        </w:rPr>
        <w:t>Prompt Garden</w:t>
      </w:r>
      <w:r>
        <w:rPr>
          <w:rFonts w:ascii="Arial" w:hAnsi="Arial"/>
          <w:b w:val="0"/>
          <w:color w:val="333333"/>
          <w:sz w:val="22"/>
        </w:rPr>
        <w:t>: uma coleção organizada e versionada de prompts reutilizáveis da equipe (geração de componente acessível, criação de tokens, refinamento de requisitos), transformando prompts em patrimônio técnico compartilhado, não em improviso individual.</w:t>
      </w:r>
    </w:p>
    <w:p>
      <w:pPr>
        <w:spacing w:after="160"/>
      </w:pPr>
      <w:r>
        <w:rPr>
          <w:rFonts w:ascii="Arial" w:hAnsi="Arial"/>
          <w:b w:val="0"/>
          <w:color w:val="333333"/>
          <w:sz w:val="22"/>
        </w:rPr>
        <w:t xml:space="preserve">O prompt direciona o agente para as diretrizes </w:t>
      </w:r>
      <w:r>
        <w:rPr>
          <w:rFonts w:ascii="Arial" w:hAnsi="Arial"/>
          <w:b/>
          <w:color w:val="333333"/>
          <w:sz w:val="22"/>
        </w:rPr>
        <w:t>W3C WCAG</w:t>
      </w:r>
      <w:r>
        <w:rPr>
          <w:rFonts w:ascii="Arial" w:hAnsi="Arial"/>
          <w:b w:val="0"/>
          <w:color w:val="333333"/>
          <w:sz w:val="22"/>
        </w:rPr>
        <w:t xml:space="preserve">, aumentando a chance de implementação alinhada a padrões reais da web. Propriedades </w:t>
      </w:r>
      <w:r>
        <w:rPr>
          <w:rFonts w:ascii="Arial" w:hAnsi="Arial"/>
          <w:b/>
          <w:color w:val="333333"/>
          <w:sz w:val="22"/>
        </w:rPr>
        <w:t>ARIA</w:t>
      </w:r>
      <w:r>
        <w:rPr>
          <w:rFonts w:ascii="Arial" w:hAnsi="Arial"/>
          <w:b w:val="0"/>
          <w:color w:val="333333"/>
          <w:sz w:val="22"/>
        </w:rPr>
        <w:t xml:space="preserve"> ganham destaque conceitual: mesmo sem alterar nada visualmente, elas enriquecem semanticamente a interface para tecnologias assistivas — informar que um elemento é um modal muda completamente como um leitor de tela interpreta o foco e anuncia conteúdo. Suporte completo a navegação por teclado (fechamento via ESC) beneficia não apenas usuários com limitação visual total, mas também usuários avançados que preferem teclado por produtividade e pessoas com limitações motoras.</w:t>
      </w:r>
    </w:p>
    <w:p>
      <w:pPr>
        <w:spacing w:after="160"/>
      </w:pPr>
      <w:r>
        <w:rPr>
          <w:rFonts w:ascii="Arial" w:hAnsi="Arial"/>
          <w:b w:val="0"/>
          <w:color w:val="333333"/>
          <w:sz w:val="22"/>
        </w:rPr>
        <w:t>Um detalhe técnico real da aula reforça a necessidade de validação: o Angular Language Service sinalizou falsos positivos durante a criação do listener de ESC — lembrete de que ferramentas de análise estática também têm limitações, e comportamento real precisa ser validado, não apenas o aviso da IDE. Ao final, o modal integrado a uma regra de negócio simples (valor de PIX acima de R$ 5.000 dispara o modal) demonstra como regra de negócio, UX Writing, acessibilidade, design tokens e Angular moderno se conectam num único fluxo coerente.</w:t>
      </w:r>
    </w:p>
    <w:p>
      <w:pPr>
        <w:pStyle w:val="Heading3"/>
        <w:spacing w:before="200" w:after="80"/>
      </w:pPr>
      <w:r>
        <w:rPr>
          <w:rFonts w:ascii="Arial" w:hAnsi="Arial"/>
          <w:b/>
          <w:color w:val="1F4D78"/>
          <w:sz w:val="24"/>
        </w:rPr>
        <w:t>Capítulo 4: Criando Interfaces Utilizando o Stitch</w:t>
      </w:r>
    </w:p>
    <w:p>
      <w:pPr>
        <w:spacing w:after="160"/>
      </w:pPr>
      <w:r>
        <w:rPr>
          <w:rFonts w:ascii="Arial" w:hAnsi="Arial"/>
          <w:b w:val="0"/>
          <w:color w:val="333333"/>
          <w:sz w:val="22"/>
        </w:rPr>
        <w:t xml:space="preserve">O capítulo introduz </w:t>
      </w:r>
      <w:r>
        <w:rPr>
          <w:rFonts w:ascii="Arial" w:hAnsi="Arial"/>
          <w:b/>
          <w:color w:val="333333"/>
          <w:sz w:val="22"/>
        </w:rPr>
        <w:t>prototipação visual assistida por IA</w:t>
      </w:r>
      <w:r>
        <w:rPr>
          <w:rFonts w:ascii="Arial" w:hAnsi="Arial"/>
          <w:b w:val="0"/>
          <w:color w:val="333333"/>
          <w:sz w:val="22"/>
        </w:rPr>
        <w:t xml:space="preserve"> através do </w:t>
      </w:r>
      <w:r>
        <w:rPr>
          <w:rFonts w:ascii="Arial" w:hAnsi="Arial"/>
          <w:b/>
          <w:color w:val="333333"/>
          <w:sz w:val="22"/>
        </w:rPr>
        <w:t>Stitch</w:t>
      </w:r>
      <w:r>
        <w:rPr>
          <w:rFonts w:ascii="Arial" w:hAnsi="Arial"/>
          <w:b w:val="0"/>
          <w:color w:val="333333"/>
          <w:sz w:val="22"/>
        </w:rPr>
        <w:t>, ferramenta do Google especializada em gerar interfaces gráficas a partir de linguagem natural — diferente do AI Studio (mais voltado a texto/análise), o foco aqui é layout, estrutura visual e protótipo de interface, funcionando como camada intermediária entre UX e implementação, não como substituto do front-end final.</w:t>
      </w:r>
    </w:p>
    <w:p>
      <w:pPr>
        <w:spacing w:after="160"/>
      </w:pPr>
      <w:r>
        <w:rPr>
          <w:rFonts w:ascii="Arial" w:hAnsi="Arial"/>
          <w:b w:val="0"/>
          <w:color w:val="333333"/>
          <w:sz w:val="22"/>
        </w:rPr>
        <w:t xml:space="preserve">A tela escolhida é o </w:t>
      </w:r>
      <w:r>
        <w:rPr>
          <w:rFonts w:ascii="Arial" w:hAnsi="Arial"/>
          <w:b/>
          <w:color w:val="333333"/>
          <w:sz w:val="22"/>
        </w:rPr>
        <w:t>comprovante de sucesso do PIX</w:t>
      </w:r>
      <w:r>
        <w:rPr>
          <w:rFonts w:ascii="Arial" w:hAnsi="Arial"/>
          <w:b w:val="0"/>
          <w:color w:val="333333"/>
          <w:sz w:val="22"/>
        </w:rPr>
        <w:t>, com prompt detalhado reaproveitando a identidade visual já definida (azul escuro, verde neon) — mesmo usando ferramenta externa de prototipação, o alinhamento com o design system real precisa ser mantido. Um detalhe técnico importante: o Stitch não gera apenas imagem, gera HTML/CSS real utilizável como ponto de partida — mas nesse formato ainda desconectado da stack real do projeto (usa Tailwind, o projeto usa Angular com tokens próprios), exigindo uma etapa de refatoração.</w:t>
      </w:r>
    </w:p>
    <w:p>
      <w:pPr>
        <w:spacing w:after="160"/>
      </w:pPr>
      <w:r>
        <w:rPr>
          <w:rFonts w:ascii="Arial" w:hAnsi="Arial"/>
          <w:b w:val="0"/>
          <w:color w:val="333333"/>
          <w:sz w:val="22"/>
        </w:rPr>
        <w:t xml:space="preserve">Essa combinação de ferramentas — Stitch para acelerar visualmente, Antigravity + agente Angular para transformar em componente real — ilustra um princípio central do capítulo: o futuro do desenvolvimento assistido por IA não está numa ferramenta única e mágica, está na combinação orquestrada de ferramentas especializadas em diferentes etapas. O agente recebe papel de "engenheiro front-end sênior especialista em Angular e design systems corporativos" e o objetivo muda de gerar do zero para </w:t>
      </w:r>
      <w:r>
        <w:rPr>
          <w:rFonts w:ascii="Arial" w:hAnsi="Arial"/>
          <w:b/>
          <w:color w:val="333333"/>
          <w:sz w:val="22"/>
        </w:rPr>
        <w:t>refatorar</w:t>
      </w:r>
      <w:r>
        <w:rPr>
          <w:rFonts w:ascii="Arial" w:hAnsi="Arial"/>
          <w:b w:val="0"/>
          <w:color w:val="333333"/>
          <w:sz w:val="22"/>
        </w:rPr>
        <w:t xml:space="preserve"> — adaptando standalone component, Input Signals, tokens de design e substituindo ícones da biblioteca original (Tailwind) por Material Symbols, mais compatível com a stack real.</w:t>
      </w:r>
    </w:p>
    <w:p>
      <w:pPr>
        <w:spacing w:after="160"/>
      </w:pPr>
      <w:r>
        <w:rPr>
          <w:rFonts w:ascii="Arial" w:hAnsi="Arial"/>
          <w:b w:val="0"/>
          <w:color w:val="333333"/>
          <w:sz w:val="22"/>
        </w:rPr>
        <w:t xml:space="preserve">Os </w:t>
      </w:r>
      <w:r>
        <w:rPr>
          <w:rFonts w:ascii="Arial" w:hAnsi="Arial"/>
          <w:b/>
          <w:color w:val="333333"/>
          <w:sz w:val="22"/>
        </w:rPr>
        <w:t>artifacts</w:t>
      </w:r>
      <w:r>
        <w:rPr>
          <w:rFonts w:ascii="Arial" w:hAnsi="Arial"/>
          <w:b w:val="0"/>
          <w:color w:val="333333"/>
          <w:sz w:val="22"/>
        </w:rPr>
        <w:t xml:space="preserve"> do Antigravity (listas de ações, planejamento, rastreamento de decisões) tornam esse processo de transformação auditável — não é uma caixa-preta, o desenvolvedor consegue acompanhar exatamente o que está sendo alterado e por quê antes que a mudança seja aplicada.</w:t>
      </w:r>
    </w:p>
    <w:p>
      <w:pPr>
        <w:pStyle w:val="Heading3"/>
        <w:spacing w:before="200" w:after="80"/>
      </w:pPr>
      <w:r>
        <w:rPr>
          <w:rFonts w:ascii="Arial" w:hAnsi="Arial"/>
          <w:b/>
          <w:color w:val="1F4D78"/>
          <w:sz w:val="24"/>
        </w:rPr>
        <w:t>Capítulo 5: Handoff Figma → Angular (Multimodalidade)</w:t>
      </w:r>
    </w:p>
    <w:p>
      <w:pPr>
        <w:spacing w:after="160"/>
      </w:pPr>
      <w:r>
        <w:rPr>
          <w:rFonts w:ascii="Arial" w:hAnsi="Arial"/>
          <w:b w:val="0"/>
          <w:color w:val="333333"/>
          <w:sz w:val="22"/>
        </w:rPr>
        <w:t xml:space="preserve">O capítulo aborda um cenário extremamente comum em empresas maduras: o </w:t>
      </w:r>
      <w:r>
        <w:rPr>
          <w:rFonts w:ascii="Arial" w:hAnsi="Arial"/>
          <w:b/>
          <w:color w:val="333333"/>
          <w:sz w:val="22"/>
        </w:rPr>
        <w:t>handoff</w:t>
      </w:r>
      <w:r>
        <w:rPr>
          <w:rFonts w:ascii="Arial" w:hAnsi="Arial"/>
          <w:b w:val="0"/>
          <w:color w:val="333333"/>
          <w:sz w:val="22"/>
        </w:rPr>
        <w:t xml:space="preserve"> entre UX e desenvolvimento, tradicionalmente dependente de interpretação manual de um design no Figma. A novidade aqui é usar </w:t>
      </w:r>
      <w:r>
        <w:rPr>
          <w:rFonts w:ascii="Arial" w:hAnsi="Arial"/>
          <w:b/>
          <w:color w:val="333333"/>
          <w:sz w:val="22"/>
        </w:rPr>
        <w:t>modelos multimodais</w:t>
      </w:r>
      <w:r>
        <w:rPr>
          <w:rFonts w:ascii="Arial" w:hAnsi="Arial"/>
          <w:b w:val="0"/>
          <w:color w:val="333333"/>
          <w:sz w:val="22"/>
        </w:rPr>
        <w:t xml:space="preserve"> para interpretar diretamente uma imagem e gerar código integrado — um salto real em relação ao que o módulo trabalhou até aqui (texto para texto, texto para código, HTML para componente): agora é </w:t>
      </w:r>
      <w:r>
        <w:rPr>
          <w:rFonts w:ascii="Arial" w:hAnsi="Arial"/>
          <w:b/>
          <w:color w:val="333333"/>
          <w:sz w:val="22"/>
        </w:rPr>
        <w:t>imagem para código</w:t>
      </w:r>
      <w:r>
        <w:rPr>
          <w:rFonts w:ascii="Arial" w:hAnsi="Arial"/>
          <w:b w:val="0"/>
          <w:color w:val="333333"/>
          <w:sz w:val="22"/>
        </w:rPr>
        <w:t>.</w:t>
      </w:r>
    </w:p>
    <w:p>
      <w:pPr>
        <w:spacing w:after="160"/>
      </w:pPr>
      <w:r>
        <w:rPr>
          <w:rFonts w:ascii="Arial" w:hAnsi="Arial"/>
          <w:b w:val="0"/>
          <w:color w:val="333333"/>
          <w:sz w:val="22"/>
        </w:rPr>
        <w:t xml:space="preserve">O cenário simulado envolve uma tela de extrato PIX, recebida como imagem de alta fidelidade do Figma acompanhada de especificações estruturais equivalentes ao Dev Mode (espaçamentos, dimensões, tipografia, hierarquia). O ponto arquitetural mais importante do capítulo: como o projeto já tem design system próprio, o objetivo não é reproduzir literalmente o Figma — é </w:t>
      </w:r>
      <w:r>
        <w:rPr>
          <w:rFonts w:ascii="Arial" w:hAnsi="Arial"/>
          <w:b/>
          <w:color w:val="333333"/>
          <w:sz w:val="22"/>
        </w:rPr>
        <w:t>adaptar</w:t>
      </w:r>
      <w:r>
        <w:rPr>
          <w:rFonts w:ascii="Arial" w:hAnsi="Arial"/>
          <w:b w:val="0"/>
          <w:color w:val="333333"/>
          <w:sz w:val="22"/>
        </w:rPr>
        <w:t xml:space="preserve"> aquela interface à realidade arquitetural existente, preservando fidelidade visual sem desconectar da consistência do sistema real.</w:t>
      </w:r>
    </w:p>
    <w:p>
      <w:pPr>
        <w:spacing w:after="160"/>
      </w:pPr>
      <w:r>
        <w:rPr>
          <w:rFonts w:ascii="Arial" w:hAnsi="Arial"/>
          <w:b w:val="0"/>
          <w:color w:val="333333"/>
          <w:sz w:val="22"/>
        </w:rPr>
        <w:t>O prompt multimodal combina simultaneamente imagem, especificação textual e contexto arquitetural do projeto — reproduzindo exatamente o que um desenvolvedor recebe no dia a dia real. Diretrizes técnicas seguem o padrão já estabelecido (standalone component, Signals, control flow moderno, proibição de cores absolutas, ícones Material Symbols), e o MCP do Angular garante uso de recursos modernos como o novo control flow (</w:t>
      </w:r>
      <w:r>
        <w:rPr>
          <w:rFonts w:ascii="Courier New" w:hAnsi="Courier New"/>
          <w:color w:val="333333"/>
          <w:sz w:val="20"/>
        </w:rPr>
        <w:t>@for</w:t>
      </w:r>
      <w:r>
        <w:rPr>
          <w:rFonts w:ascii="Arial" w:hAnsi="Arial"/>
          <w:b w:val="0"/>
          <w:color w:val="333333"/>
          <w:sz w:val="22"/>
        </w:rPr>
        <w:t>).</w:t>
      </w:r>
    </w:p>
    <w:p>
      <w:pPr>
        <w:spacing w:after="160"/>
      </w:pPr>
      <w:r>
        <w:rPr>
          <w:rFonts w:ascii="Arial" w:hAnsi="Arial"/>
          <w:b w:val="0"/>
          <w:color w:val="333333"/>
          <w:sz w:val="22"/>
        </w:rPr>
        <w:t>A integração final expôs um erro real e instrutivo: os ícones estavam corretamente referenciados no componente, mas a biblioteca de Material Symbols não havia sido importada — bug típico que também aconteceria com um desenvolvedor humano, corrigido rapidamente reaproveitando o contexto da conversa anterior (em vez de recomeçar do zero), demonstrando que saber quando reaproveitar contexto é uma habilidade prática relevante no trabalho com LLMs.</w:t>
      </w:r>
    </w:p>
    <w:p>
      <w:pPr>
        <w:pStyle w:val="Heading3"/>
        <w:spacing w:before="200" w:after="80"/>
      </w:pPr>
      <w:r>
        <w:rPr>
          <w:rFonts w:ascii="Arial" w:hAnsi="Arial"/>
          <w:b/>
          <w:color w:val="1F4D78"/>
          <w:sz w:val="24"/>
        </w:rPr>
        <w:t>Capítulo 6: Corrigindo a Interface Utilizando IA</w:t>
      </w:r>
    </w:p>
    <w:p>
      <w:pPr>
        <w:spacing w:after="160"/>
      </w:pPr>
      <w:r>
        <w:rPr>
          <w:rFonts w:ascii="Arial" w:hAnsi="Arial"/>
          <w:b w:val="0"/>
          <w:color w:val="333333"/>
          <w:sz w:val="22"/>
        </w:rPr>
        <w:t xml:space="preserve">O capítulo final do módulo é dedicado a um ponto que precisa ficar muito claro: </w:t>
      </w:r>
      <w:r>
        <w:rPr>
          <w:rFonts w:ascii="Arial" w:hAnsi="Arial"/>
          <w:b/>
          <w:color w:val="333333"/>
          <w:sz w:val="22"/>
        </w:rPr>
        <w:t>IA acelera desenvolvimento, mas não elimina revisão técnica</w:t>
      </w:r>
      <w:r>
        <w:rPr>
          <w:rFonts w:ascii="Arial" w:hAnsi="Arial"/>
          <w:b w:val="0"/>
          <w:color w:val="333333"/>
          <w:sz w:val="22"/>
        </w:rPr>
        <w:t>. Bugs, inconsistências e detalhes de UX continuam existindo depois da geração assistida — isso não é falha da ferramenta, é parte natural da engenharia de software.</w:t>
      </w:r>
    </w:p>
    <w:p>
      <w:pPr>
        <w:spacing w:after="160"/>
      </w:pPr>
      <w:r>
        <w:rPr>
          <w:rFonts w:ascii="Arial" w:hAnsi="Arial"/>
          <w:b w:val="0"/>
          <w:color w:val="333333"/>
          <w:sz w:val="22"/>
        </w:rPr>
        <w:t>O primeiro problema real identificado no comprovante PIX (gerado anteriormente via Stitch) foi um bug clássico de acessibilidade: texto escuro sobre fundo azul escuro, contraste insuficiente dificultando leitura mesmo para usuários sem deficiência visual — a IA gerou a estrutura corretamente, mas não percebeu que o contraste estava inadequado naquele contexto visual específico. A correção não exigiu um novo System Prompt complexo: uma instrução pontual e objetiva, reutilizando explicitamente um token de cor já existente (</w:t>
      </w:r>
      <w:r>
        <w:rPr>
          <w:rFonts w:ascii="Courier New" w:hAnsi="Courier New"/>
          <w:color w:val="333333"/>
          <w:sz w:val="20"/>
        </w:rPr>
        <w:t>varColorTextLight</w:t>
      </w:r>
      <w:r>
        <w:rPr>
          <w:rFonts w:ascii="Arial" w:hAnsi="Arial"/>
          <w:b w:val="0"/>
          <w:color w:val="333333"/>
          <w:sz w:val="22"/>
        </w:rPr>
        <w:t>), foi suficiente — reforçando que o nível de estrutura de um prompt deve ser proporcional à complexidade real da tarefa.</w:t>
      </w:r>
    </w:p>
    <w:p>
      <w:pPr>
        <w:spacing w:after="160"/>
      </w:pPr>
      <w:r>
        <w:rPr>
          <w:rFonts w:ascii="Arial" w:hAnsi="Arial"/>
          <w:b w:val="0"/>
          <w:color w:val="333333"/>
          <w:sz w:val="22"/>
        </w:rPr>
        <w:t xml:space="preserve">O segundo problema, ainda mais revelador, foi de </w:t>
      </w:r>
      <w:r>
        <w:rPr>
          <w:rFonts w:ascii="Arial" w:hAnsi="Arial"/>
          <w:b/>
          <w:color w:val="333333"/>
          <w:sz w:val="22"/>
        </w:rPr>
        <w:t>responsividade</w:t>
      </w:r>
      <w:r>
        <w:rPr>
          <w:rFonts w:ascii="Arial" w:hAnsi="Arial"/>
          <w:b w:val="0"/>
          <w:color w:val="333333"/>
          <w:sz w:val="22"/>
        </w:rPr>
        <w:t>: a interface parecia correta em desktop, mas quebrava em simulação mobile no Chrome DevTools — o histórico de transações espremia valores numa lista horizontal, e o menu lateral esmagava a interface principal em telas pequenas. O capítulo reforça um ponto importante: desenvolvimento front-end assistido por IA exige ainda mais revisão visual do que back-end, porque muitos problemas (alinhamento, overflow, espaçamento, adaptação mobile) só aparecem visualmente, mesmo que o código compile perfeitamente.</w:t>
      </w:r>
    </w:p>
    <w:p>
      <w:pPr>
        <w:spacing w:after="160"/>
      </w:pPr>
      <w:r>
        <w:rPr>
          <w:rFonts w:ascii="Arial" w:hAnsi="Arial"/>
          <w:b w:val="0"/>
          <w:color w:val="333333"/>
          <w:sz w:val="22"/>
        </w:rPr>
        <w:t>A correção, novamente com instrução objetiva (não um prompt complexo), especificou breakpoint (600px), comportamento esperado (</w:t>
      </w:r>
      <w:r>
        <w:rPr>
          <w:rFonts w:ascii="Courier New" w:hAnsi="Courier New"/>
          <w:color w:val="333333"/>
          <w:sz w:val="20"/>
        </w:rPr>
        <w:t>flex-direction</w:t>
      </w:r>
      <w:r>
        <w:rPr>
          <w:rFonts w:ascii="Arial" w:hAnsi="Arial"/>
          <w:b w:val="0"/>
          <w:color w:val="333333"/>
          <w:sz w:val="22"/>
        </w:rPr>
        <w:t xml:space="preserve"> em coluna, menu colapsável com Signal </w:t>
      </w:r>
      <w:r>
        <w:rPr>
          <w:rFonts w:ascii="Courier New" w:hAnsi="Courier New"/>
          <w:color w:val="333333"/>
          <w:sz w:val="20"/>
        </w:rPr>
        <w:t>isMenuOpen</w:t>
      </w:r>
      <w:r>
        <w:rPr>
          <w:rFonts w:ascii="Arial" w:hAnsi="Arial"/>
          <w:b w:val="0"/>
          <w:color w:val="333333"/>
          <w:sz w:val="22"/>
        </w:rPr>
        <w:t>, botão hambúrguer com Material Symbols). O agente implementou corretamente usando media queries e Signals — mas também introduziu um número mágico no CSS, detalhe que só a revisão humana capturou, reforçando mais uma vez que mesmo um resultado visualmente correto precisa ser avaliado quanto a consistência arquitetural e aderência ao design system, não apenas "funcionar".</w:t>
      </w:r>
    </w:p>
    <w:p>
      <w:pPr>
        <w:spacing w:before="120" w:after="120"/>
        <w:ind w:left="360" w:right="360"/>
        <w:shd w:val="clear" w:fill="F5F5F5"/>
        <w:pBdr>
          <w:left w:val="single" w:color="2E75B6" w:sz="4" w:space="10"/>
        </w:pBdr>
      </w:pPr>
      <w:r>
        <w:rPr>
          <w:rFonts w:ascii="Arial" w:hAnsi="Arial"/>
          <w:b w:val="0"/>
          <w:color w:val="333333"/>
          <w:sz w:val="22"/>
        </w:rPr>
        <w:t xml:space="preserve">✅ </w:t>
      </w:r>
      <w:r>
        <w:rPr>
          <w:rFonts w:ascii="Arial" w:hAnsi="Arial"/>
          <w:b/>
          <w:color w:val="333333"/>
          <w:sz w:val="22"/>
        </w:rPr>
        <w:t>Conclusão do módulo:</w:t>
      </w:r>
      <w:r>
        <w:rPr>
          <w:rFonts w:ascii="Arial" w:hAnsi="Arial"/>
          <w:b w:val="0"/>
          <w:color w:val="333333"/>
          <w:sz w:val="22"/>
        </w:rPr>
        <w:t xml:space="preserve"> IA não elimina o trabalho crítico do desenvolvedor — ela elimina parte do trabalho operacional. Isso é muito diferente. A responsabilidade por validar UX, revisar comportamento, detectar inconsistências e garantir qualidade continua humana; o que muda é a velocidade com que essas correções podem ser aplicadas.</w:t>
      </w:r>
    </w:p>
    <w:p>
      <w:pPr>
        <w:pStyle w:val="Heading2"/>
        <w:spacing w:before="360" w:after="160"/>
      </w:pPr>
      <w:r>
        <w:rPr>
          <w:rFonts w:ascii="Arial" w:hAnsi="Arial"/>
          <w:b/>
          <w:color w:val="2E74B5"/>
          <w:sz w:val="28"/>
        </w:rPr>
        <w:t>Módulo 3: Orquestração de Agentes Locais e Nuvem</w:t>
      </w:r>
    </w:p>
    <w:p>
      <w:pPr>
        <w:pStyle w:val="Heading3"/>
        <w:spacing w:before="200" w:after="80"/>
      </w:pPr>
      <w:r>
        <w:rPr>
          <w:rFonts w:ascii="Arial" w:hAnsi="Arial"/>
          <w:b/>
          <w:color w:val="1F4D78"/>
          <w:sz w:val="24"/>
        </w:rPr>
        <w:t>Capítulo 1 e 2: A Fundação Enterprise — Nx Monorepo, MCP e Execução</w:t>
      </w:r>
    </w:p>
    <w:p>
      <w:pPr>
        <w:spacing w:after="160"/>
      </w:pPr>
      <w:r>
        <w:rPr>
          <w:rFonts w:ascii="Arial" w:hAnsi="Arial"/>
          <w:b w:val="0"/>
          <w:color w:val="333333"/>
          <w:sz w:val="22"/>
        </w:rPr>
        <w:t xml:space="preserve">O módulo avança para um cenário mais próximo de uma aplicação corporativa real: uma plataforma de gerenciamento de </w:t>
      </w:r>
      <w:r>
        <w:rPr>
          <w:rFonts w:ascii="Arial" w:hAnsi="Arial"/>
          <w:b/>
          <w:color w:val="333333"/>
          <w:sz w:val="22"/>
        </w:rPr>
        <w:t>Call for Papers (CFP)</w:t>
      </w:r>
      <w:r>
        <w:rPr>
          <w:rFonts w:ascii="Arial" w:hAnsi="Arial"/>
          <w:b w:val="0"/>
          <w:color w:val="333333"/>
          <w:sz w:val="22"/>
        </w:rPr>
        <w:t xml:space="preserve"> para eventos, com front-end Angular e back-end NestJS (framework Node.js para APIs estruturadas — atenção para não confundir com Next.js). Como sempre reforçado no curso, a stack específica é secundária; o que importa é o modo de trabalho: organização do projeto, configuração de agentes, documentação atualizada via MCP.</w:t>
      </w:r>
    </w:p>
    <w:p>
      <w:pPr>
        <w:spacing w:after="160"/>
      </w:pPr>
      <w:r>
        <w:rPr>
          <w:rFonts w:ascii="Arial" w:hAnsi="Arial"/>
          <w:b w:val="0"/>
          <w:color w:val="333333"/>
          <w:sz w:val="22"/>
        </w:rPr>
        <w:t xml:space="preserve">A escolha por </w:t>
      </w:r>
      <w:r>
        <w:rPr>
          <w:rFonts w:ascii="Arial" w:hAnsi="Arial"/>
          <w:b/>
          <w:color w:val="333333"/>
          <w:sz w:val="22"/>
        </w:rPr>
        <w:t>monorepo</w:t>
      </w:r>
      <w:r>
        <w:rPr>
          <w:rFonts w:ascii="Arial" w:hAnsi="Arial"/>
          <w:b w:val="0"/>
          <w:color w:val="333333"/>
          <w:sz w:val="22"/>
        </w:rPr>
        <w:t xml:space="preserve"> (múltiplos projetos no mesmo repositório) via </w:t>
      </w:r>
      <w:r>
        <w:rPr>
          <w:rFonts w:ascii="Arial" w:hAnsi="Arial"/>
          <w:b/>
          <w:color w:val="333333"/>
          <w:sz w:val="22"/>
        </w:rPr>
        <w:t>Nx</w:t>
      </w:r>
      <w:r>
        <w:rPr>
          <w:rFonts w:ascii="Arial" w:hAnsi="Arial"/>
          <w:b w:val="0"/>
          <w:color w:val="333333"/>
          <w:sz w:val="22"/>
        </w:rPr>
        <w:t xml:space="preserve"> é justificada pela necessidade de compartilhar contratos entre front-end e back-end sem duplicação — em repositórios separados, um DTO alterado no back-end frequentemente diverge silenciosamente da interface correspondente no front-end, gerando bugs difíceis de rastrear. Uma distinção conceitual importante é estabelecida: monorepo é estratégia de organização de código; monólito é estratégia arquitetural/de deploy — são conceitos independentes, e é perfeitamente possível ter múltiplas aplicações independentes dentro de um único monorepo.</w:t>
      </w:r>
    </w:p>
    <w:p>
      <w:pPr>
        <w:spacing w:after="160"/>
      </w:pPr>
      <w:r>
        <w:rPr>
          <w:rFonts w:ascii="Arial" w:hAnsi="Arial"/>
          <w:b w:val="0"/>
          <w:color w:val="333333"/>
          <w:sz w:val="22"/>
        </w:rPr>
        <w:t xml:space="preserve">O workspace Nx recebe aplicação Angular (CSS puro, standalone components, TypeScript strict, Vitest + Playwright para testes), aplicação NestJS (ESLint + Jest) e uma </w:t>
      </w:r>
      <w:r>
        <w:rPr>
          <w:rFonts w:ascii="Arial" w:hAnsi="Arial"/>
          <w:b/>
          <w:color w:val="333333"/>
          <w:sz w:val="22"/>
        </w:rPr>
        <w:t>biblioteca compartilhada de tipos</w:t>
      </w:r>
      <w:r>
        <w:rPr>
          <w:rFonts w:ascii="Arial" w:hAnsi="Arial"/>
          <w:b w:val="0"/>
          <w:color w:val="333333"/>
          <w:sz w:val="22"/>
        </w:rPr>
        <w:t xml:space="preserve"> — onde interfaces como </w:t>
      </w:r>
      <w:r>
        <w:rPr>
          <w:rFonts w:ascii="Courier New" w:hAnsi="Courier New"/>
          <w:color w:val="333333"/>
          <w:sz w:val="20"/>
        </w:rPr>
        <w:t>Speaker</w:t>
      </w:r>
      <w:r>
        <w:rPr>
          <w:rFonts w:ascii="Arial" w:hAnsi="Arial"/>
          <w:b w:val="0"/>
          <w:color w:val="333333"/>
          <w:sz w:val="22"/>
        </w:rPr>
        <w:t xml:space="preserve"> (identificador, nome, e-mail, título da palestra, flag de GDE) ficam definidas uma única vez e consumidas por ambas as camadas.</w:t>
      </w:r>
    </w:p>
    <w:p>
      <w:pPr>
        <w:spacing w:after="160"/>
      </w:pPr>
      <w:r>
        <w:rPr>
          <w:rFonts w:ascii="Arial" w:hAnsi="Arial"/>
          <w:b w:val="0"/>
          <w:color w:val="333333"/>
          <w:sz w:val="22"/>
        </w:rPr>
        <w:t xml:space="preserve">O </w:t>
      </w:r>
      <w:r>
        <w:rPr>
          <w:rFonts w:ascii="Arial" w:hAnsi="Arial"/>
          <w:b/>
          <w:color w:val="333333"/>
          <w:sz w:val="22"/>
        </w:rPr>
        <w:t>MCP do Nx</w:t>
      </w:r>
      <w:r>
        <w:rPr>
          <w:rFonts w:ascii="Arial" w:hAnsi="Arial"/>
          <w:b w:val="0"/>
          <w:color w:val="333333"/>
          <w:sz w:val="22"/>
        </w:rPr>
        <w:t xml:space="preserve"> é configurado para que o agente entenda estrutura, targets e boas práticas do workspace sem depender só do conhecimento genérico da LLM — reduzindo tentativa e erro e, consequentemente, consumo de tokens (ponto explicitamente ligado a custo real de uso profissional de IA). A primeira tarefa prática — criar um DTO </w:t>
      </w:r>
      <w:r>
        <w:rPr>
          <w:rFonts w:ascii="Courier New" w:hAnsi="Courier New"/>
          <w:color w:val="333333"/>
          <w:sz w:val="20"/>
        </w:rPr>
        <w:t>Speaker</w:t>
      </w:r>
      <w:r>
        <w:rPr>
          <w:rFonts w:ascii="Arial" w:hAnsi="Arial"/>
          <w:b w:val="0"/>
          <w:color w:val="333333"/>
          <w:sz w:val="22"/>
        </w:rPr>
        <w:t xml:space="preserve"> na biblioteca compartilhada — vem com restrição explícita de escopo (não alterar front-end nem API), reforçando um padrão recorrente: delimitar exatamente o que o agente pode tocar evita que ele decida mexer em partes do sistema que não deveriam ser alteradas naquele momento.</w:t>
      </w:r>
    </w:p>
    <w:p>
      <w:pPr>
        <w:pStyle w:val="Heading3"/>
        <w:spacing w:before="200" w:after="80"/>
      </w:pPr>
      <w:r>
        <w:rPr>
          <w:rFonts w:ascii="Arial" w:hAnsi="Arial"/>
          <w:b/>
          <w:color w:val="1F4D78"/>
          <w:sz w:val="24"/>
        </w:rPr>
        <w:t>Capítulo 2 (continuação): Spec-Driven Development com OpenSpec</w:t>
      </w:r>
    </w:p>
    <w:p>
      <w:pPr>
        <w:spacing w:after="160"/>
      </w:pPr>
      <w:r>
        <w:rPr>
          <w:rFonts w:ascii="Arial" w:hAnsi="Arial"/>
          <w:b w:val="0"/>
          <w:color w:val="333333"/>
          <w:sz w:val="22"/>
        </w:rPr>
        <w:t>O capítulo confronta diretamente um erro comum de quem começa com ferramentas agênticas: acreditar que um prompt vago ("crie um sistema de eventos técnicos") produzirá automaticamente uma solução robusta e bem arquitetada. Na prática, quanto mais complexa a feature, mais perigoso é depender de interpretação livre — o risco cresce de alucinação, inconsistência arquitetural, retrabalho e requisitos implícitos inventados pelo agente.</w:t>
      </w:r>
    </w:p>
    <w:p>
      <w:pPr>
        <w:spacing w:after="160"/>
      </w:pPr>
      <w:r>
        <w:rPr>
          <w:rFonts w:ascii="Arial" w:hAnsi="Arial"/>
          <w:b/>
          <w:color w:val="333333"/>
          <w:sz w:val="22"/>
        </w:rPr>
        <w:t>Spec-Driven Development</w:t>
      </w:r>
      <w:r>
        <w:rPr>
          <w:rFonts w:ascii="Arial" w:hAnsi="Arial"/>
          <w:b w:val="0"/>
          <w:color w:val="333333"/>
          <w:sz w:val="22"/>
        </w:rPr>
        <w:t xml:space="preserve"> propõe inverter a ordem: em vez de pedir código diretamente, primeiro criar uma especificação estruturada que se torna o artefato central do desenvolvimento — um retorno de relevância à documentação, que havia perdido importância na cultura ágil ("o código é a documentação"), agora justificado porque não estamos mais só escrevendo código manualmente, estamos orientando agentes, e agentes precisam de contexto extremamente bem definido.</w:t>
      </w:r>
    </w:p>
    <w:p>
      <w:pPr>
        <w:spacing w:after="160"/>
      </w:pPr>
      <w:r>
        <w:rPr>
          <w:rFonts w:ascii="Arial" w:hAnsi="Arial"/>
          <w:b w:val="0"/>
          <w:color w:val="333333"/>
          <w:sz w:val="22"/>
        </w:rPr>
        <w:t xml:space="preserve">O </w:t>
      </w:r>
      <w:r>
        <w:rPr>
          <w:rFonts w:ascii="Arial" w:hAnsi="Arial"/>
          <w:b/>
          <w:color w:val="333333"/>
          <w:sz w:val="22"/>
        </w:rPr>
        <w:t>OpenSpec</w:t>
      </w:r>
      <w:r>
        <w:rPr>
          <w:rFonts w:ascii="Arial" w:hAnsi="Arial"/>
          <w:b w:val="0"/>
          <w:color w:val="333333"/>
          <w:sz w:val="22"/>
        </w:rPr>
        <w:t xml:space="preserve"> (ferramenta escolhida, entre outras do mercado como SpecKit e Kiro) é descrito com transparência total sobre seu funcionamento interno: não há "mágica escondida" — ele instala uma coleção de </w:t>
      </w:r>
      <w:r>
        <w:rPr>
          <w:rFonts w:ascii="Arial" w:hAnsi="Arial"/>
          <w:b/>
          <w:color w:val="333333"/>
          <w:sz w:val="22"/>
        </w:rPr>
        <w:t>skills</w:t>
      </w:r>
      <w:r>
        <w:rPr>
          <w:rFonts w:ascii="Arial" w:hAnsi="Arial"/>
          <w:b w:val="0"/>
          <w:color w:val="333333"/>
          <w:sz w:val="22"/>
        </w:rPr>
        <w:t xml:space="preserve"> (arquivos Markdown que funcionam como System Prompts especializados por fase: exploração, proposta, design, aplicação), auditáveis e editáveis diretamente, agnóstica de agente (funciona com Antigravity, Claude, Cursor, Copilot, entre outros).</w:t>
      </w:r>
    </w:p>
    <w:p>
      <w:pPr>
        <w:spacing w:after="160"/>
      </w:pPr>
      <w:r>
        <w:rPr>
          <w:rFonts w:ascii="Arial" w:hAnsi="Arial"/>
          <w:b w:val="0"/>
          <w:color w:val="333333"/>
          <w:sz w:val="22"/>
        </w:rPr>
        <w:t xml:space="preserve">A primeira capability demonstrada é a </w:t>
      </w:r>
      <w:r>
        <w:rPr>
          <w:rFonts w:ascii="Arial" w:hAnsi="Arial"/>
          <w:b/>
          <w:color w:val="333333"/>
          <w:sz w:val="22"/>
        </w:rPr>
        <w:t>exploração do projeto</w:t>
      </w:r>
      <w:r>
        <w:rPr>
          <w:rFonts w:ascii="Arial" w:hAnsi="Arial"/>
          <w:b w:val="0"/>
          <w:color w:val="333333"/>
          <w:sz w:val="22"/>
        </w:rPr>
        <w:t xml:space="preserve"> — o agente mapeia o monorepo Nx (usando MCPs de Nx e Angular) e produz um resumo estrutural, inclusive com diagramas ASCII, útil no cenário real de entrar num projeto grande e desatualizado sem precisar navegar manualmente por centenas de arquivos.</w:t>
      </w:r>
    </w:p>
    <w:p>
      <w:pPr>
        <w:spacing w:after="160"/>
      </w:pPr>
      <w:r>
        <w:rPr>
          <w:rFonts w:ascii="Arial" w:hAnsi="Arial"/>
          <w:b w:val="0"/>
          <w:color w:val="333333"/>
          <w:sz w:val="22"/>
        </w:rPr>
        <w:t xml:space="preserve">A especificação da feature real (submissão de palestras) detalha objetivo, regras arquiteturais (standalone components, Signals, ARIA, NestJS, testes obrigatórios) — e, igualmente importante, o que </w:t>
      </w:r>
      <w:r>
        <w:rPr>
          <w:rFonts w:ascii="Arial" w:hAnsi="Arial"/>
          <w:b/>
          <w:color w:val="333333"/>
          <w:sz w:val="22"/>
        </w:rPr>
        <w:t>não</w:t>
      </w:r>
      <w:r>
        <w:rPr>
          <w:rFonts w:ascii="Arial" w:hAnsi="Arial"/>
          <w:b w:val="0"/>
          <w:color w:val="333333"/>
          <w:sz w:val="22"/>
        </w:rPr>
        <w:t xml:space="preserve"> deve ser feito (sem autenticação desnecessária, sem upload de arquivo não solicitado, sem banco desnecessário). Essa delimitação negativa é apresentada como prática fundamental: sem ela, o agente tende a inventar requisitos adicionais. O resultado são três artefatos complementares — </w:t>
      </w:r>
      <w:r>
        <w:rPr>
          <w:rFonts w:ascii="Courier New" w:hAnsi="Courier New"/>
          <w:color w:val="333333"/>
          <w:sz w:val="20"/>
        </w:rPr>
        <w:t>proposal.md</w:t>
      </w:r>
      <w:r>
        <w:rPr>
          <w:rFonts w:ascii="Arial" w:hAnsi="Arial"/>
          <w:b w:val="0"/>
          <w:color w:val="333333"/>
          <w:sz w:val="22"/>
        </w:rPr>
        <w:t xml:space="preserve"> (o quê, qual problema resolve), </w:t>
      </w:r>
      <w:r>
        <w:rPr>
          <w:rFonts w:ascii="Courier New" w:hAnsi="Courier New"/>
          <w:color w:val="333333"/>
          <w:sz w:val="20"/>
        </w:rPr>
        <w:t>design.md</w:t>
      </w:r>
      <w:r>
        <w:rPr>
          <w:rFonts w:ascii="Arial" w:hAnsi="Arial"/>
          <w:b w:val="0"/>
          <w:color w:val="333333"/>
          <w:sz w:val="22"/>
        </w:rPr>
        <w:t xml:space="preserve"> (como, decisões arquiteturais e requisitos não funcionais) e </w:t>
      </w:r>
      <w:r>
        <w:rPr>
          <w:rFonts w:ascii="Courier New" w:hAnsi="Courier New"/>
          <w:color w:val="333333"/>
          <w:sz w:val="20"/>
        </w:rPr>
        <w:t>tasks.md</w:t>
      </w:r>
      <w:r>
        <w:rPr>
          <w:rFonts w:ascii="Arial" w:hAnsi="Arial"/>
          <w:b w:val="0"/>
          <w:color w:val="333333"/>
          <w:sz w:val="22"/>
        </w:rPr>
        <w:t xml:space="preserve"> (plano operacional dividido entre back-end, front-end e testes) — todos revisáveis pelo time antes de qualquer geração de código, e versionados no repositório como continuidade direta do conceito de Prompt as Code.</w:t>
      </w:r>
    </w:p>
    <w:p>
      <w:pPr>
        <w:pStyle w:val="Heading3"/>
        <w:spacing w:before="200" w:after="80"/>
      </w:pPr>
      <w:r>
        <w:rPr>
          <w:rFonts w:ascii="Arial" w:hAnsi="Arial"/>
          <w:b/>
          <w:color w:val="1F4D78"/>
          <w:sz w:val="24"/>
        </w:rPr>
        <w:t>Capítulo 3: Orquestração Paralela — Isolamento Físico e OpenSpec Apply</w:t>
      </w:r>
    </w:p>
    <w:p>
      <w:pPr>
        <w:spacing w:after="160"/>
      </w:pPr>
      <w:r>
        <w:rPr>
          <w:rFonts w:ascii="Arial" w:hAnsi="Arial"/>
          <w:b w:val="0"/>
          <w:color w:val="333333"/>
          <w:sz w:val="22"/>
        </w:rPr>
        <w:t>Até este ponto, apenas um agente por vez trabalhava na aplicação — gargalo real em projetos maiores, já que desenvolvimento tradicional já opera com múltiplas pessoas simultâneas (front-end, back-end, QA). A pergunta central do capítulo: como trabalhar com múltiplos agentes ao mesmo tempo sem colisão de código?</w:t>
      </w:r>
    </w:p>
    <w:p>
      <w:pPr>
        <w:spacing w:after="160"/>
      </w:pPr>
      <w:r>
        <w:rPr>
          <w:rFonts w:ascii="Arial" w:hAnsi="Arial"/>
          <w:b w:val="0"/>
          <w:color w:val="333333"/>
          <w:sz w:val="22"/>
        </w:rPr>
        <w:t xml:space="preserve">A resposta técnica é o </w:t>
      </w:r>
      <w:r>
        <w:rPr>
          <w:rFonts w:ascii="Arial" w:hAnsi="Arial"/>
          <w:b/>
          <w:color w:val="333333"/>
          <w:sz w:val="22"/>
        </w:rPr>
        <w:t>Git WorkTree</w:t>
      </w:r>
      <w:r>
        <w:rPr>
          <w:rFonts w:ascii="Arial" w:hAnsi="Arial"/>
          <w:b w:val="0"/>
          <w:color w:val="333333"/>
          <w:sz w:val="22"/>
        </w:rPr>
        <w:t xml:space="preserve"> — funcionalidade antiga do Git, pouco usada historicamente, que ganhou relevância recente justamente pela popularização do desenvolvimento assistido por IA. Em vez de duplicar manualmente o repositório inteiro, o Git permite múltiplos workspaces físicos associados ao mesmo repositório, cada um apontando para uma branch diferente — ambientes isolados fisicamente, mas ligados ao mesmo histórico Git, permitindo simular múltiplas "equipes" trabalhando em paralelo na mesma máquina.</w:t>
      </w:r>
    </w:p>
    <w:p>
      <w:pPr>
        <w:spacing w:after="160"/>
      </w:pPr>
      <w:r>
        <w:rPr>
          <w:rFonts w:ascii="Arial" w:hAnsi="Arial"/>
          <w:b w:val="0"/>
          <w:color w:val="333333"/>
          <w:sz w:val="22"/>
        </w:rPr>
        <w:t xml:space="preserve">O </w:t>
      </w:r>
      <w:r>
        <w:rPr>
          <w:rFonts w:ascii="Arial" w:hAnsi="Arial"/>
          <w:b/>
          <w:color w:val="333333"/>
          <w:sz w:val="22"/>
        </w:rPr>
        <w:t>Agent Manager</w:t>
      </w:r>
      <w:r>
        <w:rPr>
          <w:rFonts w:ascii="Arial" w:hAnsi="Arial"/>
          <w:b w:val="0"/>
          <w:color w:val="333333"/>
          <w:sz w:val="22"/>
        </w:rPr>
        <w:t xml:space="preserve"> do Antigravity permite atribuir tarefas independentes a diferentes agentes, cada um com seu próprio workspace, branch e contexto — um agente ficou responsável pelo back-end, outro pelo front-end, aplicando via </w:t>
      </w:r>
      <w:r>
        <w:rPr>
          <w:rFonts w:ascii="Courier New" w:hAnsi="Courier New"/>
          <w:color w:val="333333"/>
          <w:sz w:val="20"/>
        </w:rPr>
        <w:t>openspec apply</w:t>
      </w:r>
      <w:r>
        <w:rPr>
          <w:rFonts w:ascii="Arial" w:hAnsi="Arial"/>
          <w:b w:val="0"/>
          <w:color w:val="333333"/>
          <w:sz w:val="22"/>
        </w:rPr>
        <w:t xml:space="preserve"> apenas o subconjunto de tasks relevante à sua parte (filtro por </w:t>
      </w:r>
      <w:r>
        <w:rPr>
          <w:rFonts w:ascii="Courier New" w:hAnsi="Courier New"/>
          <w:color w:val="333333"/>
          <w:sz w:val="20"/>
        </w:rPr>
        <w:t>backend</w:t>
      </w:r>
      <w:r>
        <w:rPr>
          <w:rFonts w:ascii="Arial" w:hAnsi="Arial"/>
          <w:b w:val="0"/>
          <w:color w:val="333333"/>
          <w:sz w:val="22"/>
        </w:rPr>
        <w:t>/</w:t>
      </w:r>
      <w:r>
        <w:rPr>
          <w:rFonts w:ascii="Courier New" w:hAnsi="Courier New"/>
          <w:color w:val="333333"/>
          <w:sz w:val="20"/>
        </w:rPr>
        <w:t>shared</w:t>
      </w:r>
      <w:r>
        <w:rPr>
          <w:rFonts w:ascii="Arial" w:hAnsi="Arial"/>
          <w:b w:val="0"/>
          <w:color w:val="333333"/>
          <w:sz w:val="22"/>
        </w:rPr>
        <w:t xml:space="preserve"> versus </w:t>
      </w:r>
      <w:r>
        <w:rPr>
          <w:rFonts w:ascii="Courier New" w:hAnsi="Courier New"/>
          <w:color w:val="333333"/>
          <w:sz w:val="20"/>
        </w:rPr>
        <w:t>frontend</w:t>
      </w:r>
      <w:r>
        <w:rPr>
          <w:rFonts w:ascii="Arial" w:hAnsi="Arial"/>
          <w:b w:val="0"/>
          <w:color w:val="333333"/>
          <w:sz w:val="22"/>
        </w:rPr>
        <w:t>) — a especificação já dividida no capítulo anterior se transforma diretamente em mecanismo de orquestração.</w:t>
      </w:r>
    </w:p>
    <w:p>
      <w:pPr>
        <w:spacing w:after="160"/>
      </w:pPr>
      <w:r>
        <w:rPr>
          <w:rFonts w:ascii="Arial" w:hAnsi="Arial"/>
          <w:b w:val="0"/>
          <w:color w:val="333333"/>
          <w:sz w:val="22"/>
        </w:rPr>
        <w:t xml:space="preserve">Um detalhe prático relevante é a </w:t>
      </w:r>
      <w:r>
        <w:rPr>
          <w:rFonts w:ascii="Arial" w:hAnsi="Arial"/>
          <w:b/>
          <w:color w:val="333333"/>
          <w:sz w:val="22"/>
        </w:rPr>
        <w:t>estratégia de custo por modelo</w:t>
      </w:r>
      <w:r>
        <w:rPr>
          <w:rFonts w:ascii="Arial" w:hAnsi="Arial"/>
          <w:b w:val="0"/>
          <w:color w:val="333333"/>
          <w:sz w:val="22"/>
        </w:rPr>
        <w:t>: um agente falhou inicialmente usando um modelo mais leve (Flash) por limite de output em tarefa complexa, evidenciando uma prática que tende a se tornar padrão de mercado — usar modelos mais fortes para planejamento/arquitetura, e modelos mais baratos para execução operacional repetitiva. Os agentes trabalhando em paralelo demonstraram inclusive capacidade de auto-correção contextual (o back-end ajustou automaticamente comandos de teste ao perceber a organização real via Nx) e validação própria (abrindo navegador, testando rotas) — sempre reforçando que essa automação continua exigindo revisão humana, e que o design visual final de uma tela sem especificação explícita de UX reflete decisões improvisadas do agente, reforçando novamente a máxima central do módulo: a qualidade da saída depende diretamente da qualidade da especificação.</w:t>
      </w:r>
    </w:p>
    <w:p>
      <w:pPr>
        <w:pStyle w:val="Heading3"/>
        <w:spacing w:before="200" w:after="80"/>
      </w:pPr>
      <w:r>
        <w:rPr>
          <w:rFonts w:ascii="Arial" w:hAnsi="Arial"/>
          <w:b/>
          <w:color w:val="1F4D78"/>
          <w:sz w:val="24"/>
        </w:rPr>
        <w:t>Capítulo 4: Code Review e Melhoria Contínua</w:t>
      </w:r>
    </w:p>
    <w:p>
      <w:pPr>
        <w:spacing w:after="160"/>
      </w:pPr>
      <w:r>
        <w:rPr>
          <w:rFonts w:ascii="Arial" w:hAnsi="Arial"/>
          <w:b w:val="0"/>
          <w:color w:val="333333"/>
          <w:sz w:val="22"/>
        </w:rPr>
        <w:t>O capítulo trata do que acontece depois da geração de código — etapa que muitos ignoram, mas que continua sendo o verdadeiro trabalho de engenharia: revisar, validar, integrar, testar, refatorar. Quanto mais rápido a IA permite gerar código, mais importante se torna a capacidade de auditoria técnica para acompanhar essa velocidade.</w:t>
      </w:r>
    </w:p>
    <w:p>
      <w:pPr>
        <w:spacing w:after="160"/>
      </w:pPr>
      <w:r>
        <w:rPr>
          <w:rFonts w:ascii="Arial" w:hAnsi="Arial"/>
          <w:b w:val="0"/>
          <w:color w:val="333333"/>
          <w:sz w:val="22"/>
        </w:rPr>
        <w:t xml:space="preserve">Mesmo trabalhando com WorkTree e agentes paralelos, boas práticas clássicas continuam intactas: uma branch específica de integração recebe o merge das branches de front-end e back-end (para o Git, o isolamento físico do WorkTree continua sendo apenas branches normais — abstração elegante que não altera o fluxo tradicional de versionamento). Após validação manual da feature completa (submissão de palestra ponta a ponta), o comando de </w:t>
      </w:r>
      <w:r>
        <w:rPr>
          <w:rFonts w:ascii="Arial" w:hAnsi="Arial"/>
          <w:b/>
          <w:color w:val="333333"/>
          <w:sz w:val="22"/>
        </w:rPr>
        <w:t>archive</w:t>
      </w:r>
      <w:r>
        <w:rPr>
          <w:rFonts w:ascii="Arial" w:hAnsi="Arial"/>
          <w:b w:val="0"/>
          <w:color w:val="333333"/>
          <w:sz w:val="22"/>
        </w:rPr>
        <w:t xml:space="preserve"> do OpenSpec transforma a especificação implementada em baseline histórica do projeto — as próximas specs passam a considerar automaticamente requisitos, arquitetura e padrões já estabelecidos, resolvendo um problema histórico da engenharia de software: documentação que envelhece e perde credibilidade porque o código evolui mas a doc não acompanha.</w:t>
      </w:r>
    </w:p>
    <w:p>
      <w:pPr>
        <w:spacing w:after="160"/>
      </w:pPr>
      <w:r>
        <w:rPr>
          <w:rFonts w:ascii="Arial" w:hAnsi="Arial"/>
          <w:b w:val="0"/>
          <w:color w:val="333333"/>
          <w:sz w:val="22"/>
        </w:rPr>
        <w:t xml:space="preserve">Uma distinção conceitual importante: o Git versiona </w:t>
      </w:r>
      <w:r>
        <w:rPr>
          <w:rFonts w:ascii="Arial" w:hAnsi="Arial"/>
          <w:i/>
          <w:color w:val="333333"/>
          <w:sz w:val="22"/>
        </w:rPr>
        <w:t>arquivos</w:t>
      </w:r>
      <w:r>
        <w:rPr>
          <w:rFonts w:ascii="Arial" w:hAnsi="Arial"/>
          <w:b w:val="0"/>
          <w:color w:val="333333"/>
          <w:sz w:val="22"/>
        </w:rPr>
        <w:t xml:space="preserve">, o OpenSpec versiona </w:t>
      </w:r>
      <w:r>
        <w:rPr>
          <w:rFonts w:ascii="Arial" w:hAnsi="Arial"/>
          <w:i/>
          <w:color w:val="333333"/>
          <w:sz w:val="22"/>
        </w:rPr>
        <w:t>contexto semântico</w:t>
      </w:r>
      <w:r>
        <w:rPr>
          <w:rFonts w:ascii="Arial" w:hAnsi="Arial"/>
          <w:b w:val="0"/>
          <w:color w:val="333333"/>
          <w:sz w:val="22"/>
        </w:rPr>
        <w:t xml:space="preserve"> da feature — o Git sabe que arquivos mudaram, a spec sabe </w:t>
      </w:r>
      <w:r>
        <w:rPr>
          <w:rFonts w:ascii="Arial" w:hAnsi="Arial"/>
          <w:i/>
          <w:color w:val="333333"/>
          <w:sz w:val="22"/>
        </w:rPr>
        <w:t>por que</w:t>
      </w:r>
      <w:r>
        <w:rPr>
          <w:rFonts w:ascii="Arial" w:hAnsi="Arial"/>
          <w:b w:val="0"/>
          <w:color w:val="333333"/>
          <w:sz w:val="22"/>
        </w:rPr>
        <w:t xml:space="preserve"> mudaram; são complementares, não substitutos.</w:t>
      </w:r>
    </w:p>
    <w:p>
      <w:pPr>
        <w:spacing w:after="160"/>
      </w:pPr>
      <w:r>
        <w:rPr>
          <w:rFonts w:ascii="Arial" w:hAnsi="Arial"/>
          <w:b w:val="0"/>
          <w:color w:val="333333"/>
          <w:sz w:val="22"/>
        </w:rPr>
        <w:t>A segunda feature (dashboard de palestras submetidas) demonstra o fluxo completo em execução única (múltiplos agentes é estratégia, não obrigação — depende de complexidade, tamanho e possibilidade real de isolamento) — com o agente percebendo sozinho, a partir do contexto acumulado de specs anteriores arquivadas, que precisaria extrair tokens do formulário original para manter consistência visual entre telas, evidenciando como o Spec-Driven Development melhora continuidade de decisões técnicas ao longo do tempo. O capítulo fecha com o agente utilizando o navegador automatizado do próprio Antigravity para preencher formulário, navegar e validar interface — aproximando IA de testes funcionais reais, tema que se torna central no módulo seguinte.</w:t>
      </w:r>
    </w:p>
    <w:p>
      <w:pPr>
        <w:pStyle w:val="Heading3"/>
        <w:spacing w:before="200" w:after="80"/>
      </w:pPr>
      <w:r>
        <w:rPr>
          <w:rFonts w:ascii="Arial" w:hAnsi="Arial"/>
          <w:b/>
          <w:color w:val="1F4D78"/>
          <w:sz w:val="24"/>
        </w:rPr>
        <w:t>Capítulo 5: Escala na Nuvem — Google Jules</w:t>
      </w:r>
    </w:p>
    <w:p>
      <w:pPr>
        <w:spacing w:after="160"/>
      </w:pPr>
      <w:r>
        <w:rPr>
          <w:rFonts w:ascii="Arial" w:hAnsi="Arial"/>
          <w:b w:val="0"/>
          <w:color w:val="333333"/>
          <w:sz w:val="22"/>
        </w:rPr>
        <w:t xml:space="preserve">O capítulo desloca o modelo de trabalho de "agente local acoplado à minha máquina" para </w:t>
      </w:r>
      <w:r>
        <w:rPr>
          <w:rFonts w:ascii="Arial" w:hAnsi="Arial"/>
          <w:b/>
          <w:color w:val="333333"/>
          <w:sz w:val="22"/>
        </w:rPr>
        <w:t>agente assíncrono na nuvem</w:t>
      </w:r>
      <w:r>
        <w:rPr>
          <w:rFonts w:ascii="Arial" w:hAnsi="Arial"/>
          <w:b w:val="0"/>
          <w:color w:val="333333"/>
          <w:sz w:val="22"/>
        </w:rPr>
        <w:t xml:space="preserve"> — se a máquina local desligar, um agente local para; um agente como o </w:t>
      </w:r>
      <w:r>
        <w:rPr>
          <w:rFonts w:ascii="Arial" w:hAnsi="Arial"/>
          <w:b/>
          <w:color w:val="333333"/>
          <w:sz w:val="22"/>
        </w:rPr>
        <w:t>Google Jules</w:t>
      </w:r>
      <w:r>
        <w:rPr>
          <w:rFonts w:ascii="Arial" w:hAnsi="Arial"/>
          <w:b w:val="0"/>
          <w:color w:val="333333"/>
          <w:sz w:val="22"/>
        </w:rPr>
        <w:t xml:space="preserve"> sobe seu próprio ambiente efêmero, clona o repositório, cria branch, executa a tarefa, roda testes e abre Pull Request de forma independente, aproximando o uso de IA do fluxo real de uma equipe de desenvolvimento distribuída.</w:t>
      </w:r>
    </w:p>
    <w:p>
      <w:pPr>
        <w:spacing w:after="160"/>
      </w:pPr>
      <w:r>
        <w:rPr>
          <w:rFonts w:ascii="Arial" w:hAnsi="Arial"/>
          <w:b w:val="0"/>
          <w:color w:val="333333"/>
          <w:sz w:val="22"/>
        </w:rPr>
        <w:t>O Jules se conecta ao GitHub como App, podendo trabalhar a partir de tarefas diretas ou issues/integrações. Um cuidado de segurança é reforçado explicitamente: como o agente cria um ambiente próprio na nuvem, credenciais nunca devem ficar em scripts ou arquivos de configuração — tudo sensível vai para secrets, o mesmo raciocínio de documentar onboarding para uma pessoa nova aplicado a um agente.</w:t>
      </w:r>
    </w:p>
    <w:p>
      <w:pPr>
        <w:spacing w:after="160"/>
      </w:pPr>
      <w:r>
        <w:rPr>
          <w:rFonts w:ascii="Arial" w:hAnsi="Arial"/>
          <w:b w:val="0"/>
          <w:color w:val="333333"/>
          <w:sz w:val="22"/>
        </w:rPr>
        <w:t>A tarefa delegada (cadastro de local de evento) reforça, num contexto assíncrono, a mesma disciplina de especificação detalhada já praticada no módulo: papel definido, aderência ao design system existente, arquitetura explícita (DTO compartilhado, controller/service no NestJS, Reactive Forms + Signals no Angular). Diferente de agentes locais (onde a interação constante é natural), agentes assíncronos funcionam melhor com tarefas objetivas e bem delimitadas, deixadas para trabalhar sem intervenção constante.</w:t>
      </w:r>
    </w:p>
    <w:p>
      <w:pPr>
        <w:spacing w:after="160"/>
      </w:pPr>
      <w:r>
        <w:rPr>
          <w:rFonts w:ascii="Arial" w:hAnsi="Arial"/>
          <w:b w:val="0"/>
          <w:color w:val="333333"/>
          <w:sz w:val="22"/>
        </w:rPr>
        <w:t>Durante a execução, o Jules monta um plano, aplica alterações, roda testes e — detalhe relevante — captura evidências visuais (screenshots/registros) da interface funcionando, facilitando a revisão sem precisar reproduzir tudo localmente primeiro. O capítulo é enfático sobre o modelo de segurança correto: o agente assíncrono deve ser tratado exatamente como outro desenvolvedor — abre PR, é revisado, recebe comentários ou ajustes solicitados — nunca com permissão irrestrita para alterar produção ou fazer merge direto na branch principal.</w:t>
      </w:r>
    </w:p>
    <w:p>
      <w:pPr>
        <w:spacing w:before="120" w:after="120"/>
        <w:ind w:left="360" w:right="360"/>
        <w:shd w:val="clear" w:fill="F5F5F5"/>
        <w:pBdr>
          <w:left w:val="single" w:color="2E75B6" w:sz="4" w:space="10"/>
        </w:pBdr>
      </w:pPr>
      <w:r>
        <w:rPr>
          <w:rFonts w:ascii="Arial" w:hAnsi="Arial"/>
          <w:b w:val="0"/>
          <w:color w:val="333333"/>
          <w:sz w:val="22"/>
        </w:rPr>
        <w:t xml:space="preserve">✅ </w:t>
      </w:r>
      <w:r>
        <w:rPr>
          <w:rFonts w:ascii="Arial" w:hAnsi="Arial"/>
          <w:b/>
          <w:color w:val="333333"/>
          <w:sz w:val="22"/>
        </w:rPr>
        <w:t>Conclusão do módulo:</w:t>
      </w:r>
      <w:r>
        <w:rPr>
          <w:rFonts w:ascii="Arial" w:hAnsi="Arial"/>
          <w:b w:val="0"/>
          <w:color w:val="333333"/>
          <w:sz w:val="22"/>
        </w:rPr>
        <w:t xml:space="preserve"> não existe uma única forma correta de usar IA no desenvolvimento — ferramentas conversacionais para refinar requisitos, agentes locais para pair programming, múltiplos agentes com WorkTree para paralelizar, agentes assíncronos na nuvem para delegar tarefas específicas. A produtividade real aparece na combinação criteriosa dessas estratégias, sempre com boas práticas de engenharia, revisão humana e controle do ambiente.</w:t>
      </w:r>
    </w:p>
    <w:p>
      <w:pPr>
        <w:pStyle w:val="Heading2"/>
        <w:spacing w:before="360" w:after="160"/>
      </w:pPr>
      <w:r>
        <w:rPr>
          <w:rFonts w:ascii="Arial" w:hAnsi="Arial"/>
          <w:b/>
          <w:color w:val="2E74B5"/>
          <w:sz w:val="28"/>
        </w:rPr>
        <w:t>Módulo 4: Automação E2E e QA AI-Native</w:t>
      </w:r>
    </w:p>
    <w:p>
      <w:pPr>
        <w:pStyle w:val="Heading3"/>
        <w:spacing w:before="200" w:after="80"/>
      </w:pPr>
      <w:r>
        <w:rPr>
          <w:rFonts w:ascii="Arial" w:hAnsi="Arial"/>
          <w:b/>
          <w:color w:val="1F4D78"/>
          <w:sz w:val="24"/>
        </w:rPr>
        <w:t>Capítulo 1: Arquitetura de QA no Nx — Cypress Tradicional e Geração com OpenSpec</w:t>
      </w:r>
    </w:p>
    <w:p>
      <w:pPr>
        <w:spacing w:after="160"/>
      </w:pPr>
      <w:r>
        <w:rPr>
          <w:rFonts w:ascii="Arial" w:hAnsi="Arial"/>
          <w:b w:val="0"/>
          <w:color w:val="333333"/>
          <w:sz w:val="22"/>
        </w:rPr>
        <w:t>O módulo confronta diretamente uma ideia equivocada: que IA elimina a necessidade de testes. Na verdade, o oposto é verdadeiro — quanto mais rápido o código é produzido por agentes, maior a importância de garantir segurança, regressão e validação automatizada, e é exatamente essa a maturidade que o módulo busca desenvolver.</w:t>
      </w:r>
    </w:p>
    <w:p>
      <w:pPr>
        <w:spacing w:after="160"/>
      </w:pPr>
      <w:r>
        <w:rPr>
          <w:rFonts w:ascii="Arial" w:hAnsi="Arial"/>
          <w:b w:val="0"/>
          <w:color w:val="333333"/>
          <w:sz w:val="22"/>
        </w:rPr>
        <w:t>Testes end-to-end são situados na pirâmide de testes: diferente de testes unitários (partes isoladas) e de integração (comunicação entre componentes), testes E2E validam do ponto de vista do usuário real — abrir navegador, preencher formulário, clicar, validar comportamento visual. Esse tipo de teste captura problemas que testes unitários dificilmente alcançam: falhas de integração entre camadas, quebras de navegação, inconsistências de UX, regressões em fluxos críticos.</w:t>
      </w:r>
    </w:p>
    <w:p>
      <w:pPr>
        <w:spacing w:after="160"/>
      </w:pPr>
      <w:r>
        <w:rPr>
          <w:rFonts w:ascii="Arial" w:hAnsi="Arial"/>
          <w:b w:val="0"/>
          <w:color w:val="333333"/>
          <w:sz w:val="22"/>
        </w:rPr>
        <w:t>O papel do profissional de QA é reposicionado, não eliminado: em vez de escrever e executar manualmente cada cenário, o QA passa a dedicar mais tempo à criação de cenários inteligentes de validação, enquanto a IA acelera a automação — mesmo padrão de "reduzir trabalho operacional, ampliar capacidade estratégica" repetido em módulos anteriores do curso.</w:t>
      </w:r>
    </w:p>
    <w:p>
      <w:pPr>
        <w:spacing w:after="160"/>
      </w:pPr>
      <w:r>
        <w:rPr>
          <w:rFonts w:ascii="Arial" w:hAnsi="Arial"/>
          <w:b w:val="0"/>
          <w:color w:val="333333"/>
          <w:sz w:val="22"/>
        </w:rPr>
        <w:t xml:space="preserve">A escolha de ferramenta é o </w:t>
      </w:r>
      <w:r>
        <w:rPr>
          <w:rFonts w:ascii="Arial" w:hAnsi="Arial"/>
          <w:b/>
          <w:color w:val="333333"/>
          <w:sz w:val="22"/>
        </w:rPr>
        <w:t>Cypress</w:t>
      </w:r>
      <w:r>
        <w:rPr>
          <w:rFonts w:ascii="Arial" w:hAnsi="Arial"/>
          <w:b w:val="0"/>
          <w:color w:val="333333"/>
          <w:sz w:val="22"/>
        </w:rPr>
        <w:t>, integrado ao workspace Nx via plugin dedicado — o que elimina a necessidade de subir front-end, back-end e testes manualmente em terminais separados, e melhora o contexto disponível ao agente, que enxerga front-end, back-end e contratos compartilhados no mesmo repositório. Uma nova spec via OpenSpec (</w:t>
      </w:r>
      <w:r>
        <w:rPr>
          <w:rFonts w:ascii="Courier New" w:hAnsi="Courier New"/>
          <w:color w:val="333333"/>
          <w:sz w:val="20"/>
        </w:rPr>
        <w:t>createEventTest</w:t>
      </w:r>
      <w:r>
        <w:rPr>
          <w:rFonts w:ascii="Arial" w:hAnsi="Arial"/>
          <w:b w:val="0"/>
          <w:color w:val="333333"/>
          <w:sz w:val="22"/>
        </w:rPr>
        <w:t>) demonstra que Spec-Driven Development não se limita a gerar funcionalidades — também estrutura testes, com cenários de sucesso e erro definidos explicitamente, e restrição deliberada à sintaxe tradicional do Cypress (</w:t>
      </w:r>
      <w:r>
        <w:rPr>
          <w:rFonts w:ascii="Courier New" w:hAnsi="Courier New"/>
          <w:color w:val="333333"/>
          <w:sz w:val="20"/>
        </w:rPr>
        <w:t>get</w:t>
      </w:r>
      <w:r>
        <w:rPr>
          <w:rFonts w:ascii="Arial" w:hAnsi="Arial"/>
          <w:b w:val="0"/>
          <w:color w:val="333333"/>
          <w:sz w:val="22"/>
        </w:rPr>
        <w:t xml:space="preserve">, </w:t>
      </w:r>
      <w:r>
        <w:rPr>
          <w:rFonts w:ascii="Courier New" w:hAnsi="Courier New"/>
          <w:color w:val="333333"/>
          <w:sz w:val="20"/>
        </w:rPr>
        <w:t>contains</w:t>
      </w:r>
      <w:r>
        <w:rPr>
          <w:rFonts w:ascii="Arial" w:hAnsi="Arial"/>
          <w:b w:val="0"/>
          <w:color w:val="333333"/>
          <w:sz w:val="22"/>
        </w:rPr>
        <w:t xml:space="preserve">, </w:t>
      </w:r>
      <w:r>
        <w:rPr>
          <w:rFonts w:ascii="Courier New" w:hAnsi="Courier New"/>
          <w:color w:val="333333"/>
          <w:sz w:val="20"/>
        </w:rPr>
        <w:t>should</w:t>
      </w:r>
      <w:r>
        <w:rPr>
          <w:rFonts w:ascii="Arial" w:hAnsi="Arial"/>
          <w:b w:val="0"/>
          <w:color w:val="333333"/>
          <w:sz w:val="22"/>
        </w:rPr>
        <w:t>), sem bibliotecas externas.</w:t>
      </w:r>
    </w:p>
    <w:p>
      <w:pPr>
        <w:spacing w:after="160"/>
      </w:pPr>
      <w:r>
        <w:rPr>
          <w:rFonts w:ascii="Arial" w:hAnsi="Arial"/>
          <w:b w:val="0"/>
          <w:color w:val="333333"/>
          <w:sz w:val="22"/>
        </w:rPr>
        <w:t>A geração produz os artefatos habituais (proposal, design, tasks), com o agente estruturando os cenários usando lógica próxima de BDD (dado/quando/então) — padrão comum entre equipes de QA e produto para descrever comportamento esperado com clareza. Na aplicação, o agente detecta contextualmente que o projeto já tinha Playwright configurado e propõe coexistência entre os dois frameworks, em vez de simplesmente sobrescrever — evidência de análise real do estado do projeto, não apenas geração cega.</w:t>
      </w:r>
    </w:p>
    <w:p>
      <w:pPr>
        <w:spacing w:after="160"/>
      </w:pPr>
      <w:r>
        <w:rPr>
          <w:rFonts w:ascii="Arial" w:hAnsi="Arial"/>
          <w:b w:val="0"/>
          <w:color w:val="333333"/>
          <w:sz w:val="22"/>
        </w:rPr>
        <w:t xml:space="preserve">Um aprendizado importante sobre </w:t>
      </w:r>
      <w:r>
        <w:rPr>
          <w:rFonts w:ascii="Arial" w:hAnsi="Arial"/>
          <w:b/>
          <w:color w:val="333333"/>
          <w:sz w:val="22"/>
        </w:rPr>
        <w:t>fragilidade de testes</w:t>
      </w:r>
      <w:r>
        <w:rPr>
          <w:rFonts w:ascii="Arial" w:hAnsi="Arial"/>
          <w:b w:val="0"/>
          <w:color w:val="333333"/>
          <w:sz w:val="22"/>
        </w:rPr>
        <w:t xml:space="preserve"> encerra o capítulo: os seletores gerados dependiam de classes CSS e textos diretos — funcionais, mas propensos a </w:t>
      </w:r>
      <w:r>
        <w:rPr>
          <w:rFonts w:ascii="Arial" w:hAnsi="Arial"/>
          <w:b/>
          <w:color w:val="333333"/>
          <w:sz w:val="22"/>
        </w:rPr>
        <w:t>flaky tests</w:t>
      </w:r>
      <w:r>
        <w:rPr>
          <w:rFonts w:ascii="Arial" w:hAnsi="Arial"/>
          <w:b w:val="0"/>
          <w:color w:val="333333"/>
          <w:sz w:val="22"/>
        </w:rPr>
        <w:t xml:space="preserve"> (testes que quebram por mudança puramente visual, sem que o comportamento real tenha sido afetado). A solução recomendada é a </w:t>
      </w:r>
      <w:r>
        <w:rPr>
          <w:rFonts w:ascii="Arial" w:hAnsi="Arial"/>
          <w:b/>
          <w:color w:val="333333"/>
          <w:sz w:val="22"/>
        </w:rPr>
        <w:t>instrumentalização do front-end</w:t>
      </w:r>
      <w:r>
        <w:rPr>
          <w:rFonts w:ascii="Arial" w:hAnsi="Arial"/>
          <w:b w:val="0"/>
          <w:color w:val="333333"/>
          <w:sz w:val="22"/>
        </w:rPr>
        <w:t xml:space="preserve"> com atributos dedicados de automação (</w:t>
      </w:r>
      <w:r>
        <w:rPr>
          <w:rFonts w:ascii="Courier New" w:hAnsi="Courier New"/>
          <w:color w:val="333333"/>
          <w:sz w:val="20"/>
        </w:rPr>
        <w:t>data-cy</w:t>
      </w:r>
      <w:r>
        <w:rPr>
          <w:rFonts w:ascii="Arial" w:hAnsi="Arial"/>
          <w:b w:val="0"/>
          <w:color w:val="333333"/>
          <w:sz w:val="22"/>
        </w:rPr>
        <w:t xml:space="preserve">, </w:t>
      </w:r>
      <w:r>
        <w:rPr>
          <w:rFonts w:ascii="Courier New" w:hAnsi="Courier New"/>
          <w:color w:val="333333"/>
          <w:sz w:val="20"/>
        </w:rPr>
        <w:t>data-testid</w:t>
      </w:r>
      <w:r>
        <w:rPr>
          <w:rFonts w:ascii="Arial" w:hAnsi="Arial"/>
          <w:b w:val="0"/>
          <w:color w:val="333333"/>
          <w:sz w:val="22"/>
        </w:rPr>
        <w:t>) — conectando testabilidade diretamente ao design da aplicação, não como algo adicionado depois.</w:t>
      </w:r>
    </w:p>
    <w:p>
      <w:pPr>
        <w:pStyle w:val="Heading3"/>
        <w:spacing w:before="200" w:after="80"/>
      </w:pPr>
      <w:r>
        <w:rPr>
          <w:rFonts w:ascii="Arial" w:hAnsi="Arial"/>
          <w:b/>
          <w:color w:val="1F4D78"/>
          <w:sz w:val="24"/>
        </w:rPr>
        <w:t>Capítulo 2: O Fim da Fragilidade — Asserções Semânticas com Cypress</w:t>
      </w:r>
    </w:p>
    <w:p>
      <w:pPr>
        <w:spacing w:after="160"/>
      </w:pPr>
      <w:r>
        <w:rPr>
          <w:rFonts w:ascii="Arial" w:hAnsi="Arial"/>
          <w:b w:val="0"/>
          <w:color w:val="333333"/>
          <w:sz w:val="22"/>
        </w:rPr>
        <w:t xml:space="preserve">O capítulo aprofunda o problema de flaky tests com uma solução de mercado real: o recurso </w:t>
      </w:r>
      <w:r>
        <w:rPr>
          <w:rFonts w:ascii="Arial" w:hAnsi="Arial"/>
          <w:b/>
          <w:color w:val="333333"/>
          <w:sz w:val="22"/>
        </w:rPr>
        <w:t>`cy.prompt`</w:t>
      </w:r>
      <w:r>
        <w:rPr>
          <w:rFonts w:ascii="Arial" w:hAnsi="Arial"/>
          <w:b w:val="0"/>
          <w:color w:val="333333"/>
          <w:sz w:val="22"/>
        </w:rPr>
        <w:t xml:space="preserve">, dependente da integração com a nuvem do Cypress. A mudança de paradigma é significativa: em vez de gerar código de teste tradicional previamente, o comportamento é descrito </w:t>
      </w:r>
      <w:r>
        <w:rPr>
          <w:rFonts w:ascii="Arial" w:hAnsi="Arial"/>
          <w:b/>
          <w:color w:val="333333"/>
          <w:sz w:val="22"/>
        </w:rPr>
        <w:t>semanticamente</w:t>
      </w:r>
      <w:r>
        <w:rPr>
          <w:rFonts w:ascii="Arial" w:hAnsi="Arial"/>
          <w:b w:val="0"/>
          <w:color w:val="333333"/>
          <w:sz w:val="22"/>
        </w:rPr>
        <w:t xml:space="preserve"> ("digite auditório Oracle no campo nome", "clique no botão de salvar") e o próprio Cypress interpreta a intenção durante a execução, gerando e adaptando a implementação dinamicamente.</w:t>
      </w:r>
    </w:p>
    <w:p>
      <w:pPr>
        <w:spacing w:after="160"/>
      </w:pPr>
      <w:r>
        <w:rPr>
          <w:rFonts w:ascii="Arial" w:hAnsi="Arial"/>
          <w:b w:val="0"/>
          <w:color w:val="333333"/>
          <w:sz w:val="22"/>
        </w:rPr>
        <w:t xml:space="preserve">O capítulo é transparente sobre o funcionamento interno: não existe mágica abstrata manipulando o navegador — por trás do </w:t>
      </w:r>
      <w:r>
        <w:rPr>
          <w:rFonts w:ascii="Courier New" w:hAnsi="Courier New"/>
          <w:color w:val="333333"/>
          <w:sz w:val="20"/>
        </w:rPr>
        <w:t>cy.prompt</w:t>
      </w:r>
      <w:r>
        <w:rPr>
          <w:rFonts w:ascii="Arial" w:hAnsi="Arial"/>
          <w:b w:val="0"/>
          <w:color w:val="333333"/>
          <w:sz w:val="22"/>
        </w:rPr>
        <w:t>, o Cypress usa a instrução para gerar código Cypress tradicional (visível na aba Code da ferramenta), confirmando que a camada semântica é intermediária, não substitui a execução real. Um comportamento de cache reduz custo em execuções subsequentes, reutilizando código já gerado em vez de reinterpretar o prompt a cada rodada.</w:t>
      </w:r>
    </w:p>
    <w:p>
      <w:pPr>
        <w:spacing w:after="160"/>
      </w:pPr>
      <w:r>
        <w:rPr>
          <w:rFonts w:ascii="Arial" w:hAnsi="Arial"/>
          <w:b w:val="0"/>
          <w:color w:val="333333"/>
          <w:sz w:val="22"/>
        </w:rPr>
        <w:t xml:space="preserve">A demonstração de </w:t>
      </w:r>
      <w:r>
        <w:rPr>
          <w:rFonts w:ascii="Arial" w:hAnsi="Arial"/>
          <w:b/>
          <w:color w:val="333333"/>
          <w:sz w:val="22"/>
        </w:rPr>
        <w:t>self-healing</w:t>
      </w:r>
      <w:r>
        <w:rPr>
          <w:rFonts w:ascii="Arial" w:hAnsi="Arial"/>
          <w:b w:val="0"/>
          <w:color w:val="333333"/>
          <w:sz w:val="22"/>
        </w:rPr>
        <w:t xml:space="preserve"> é o ponto alto do capítulo: alterar deliberadamente a classe CSS do botão de submit quebra imediatamente o teste tradicional (dependência direta do seletor antigo), mas o teste baseado em </w:t>
      </w:r>
      <w:r>
        <w:rPr>
          <w:rFonts w:ascii="Courier New" w:hAnsi="Courier New"/>
          <w:color w:val="333333"/>
          <w:sz w:val="20"/>
        </w:rPr>
        <w:t>cy.prompt</w:t>
      </w:r>
      <w:r>
        <w:rPr>
          <w:rFonts w:ascii="Arial" w:hAnsi="Arial"/>
          <w:b w:val="0"/>
          <w:color w:val="333333"/>
          <w:sz w:val="22"/>
        </w:rPr>
        <w:t xml:space="preserve"> continua funcionando — o Cypress detecta que o seletor anterior não existe mais, reinterpreta a interface usando o contexto semântico, e gera um novo caminho válido automaticamente. Essa capacidade de autocorreção ataca diretamente o maior custo histórico de automação E2E: não a criação inicial dos testes, mas a manutenção contínua conforme a aplicação evolui.</w:t>
      </w:r>
    </w:p>
    <w:p>
      <w:pPr>
        <w:spacing w:after="160"/>
      </w:pPr>
      <w:r>
        <w:rPr>
          <w:rFonts w:ascii="Arial" w:hAnsi="Arial"/>
          <w:b w:val="0"/>
          <w:color w:val="333333"/>
          <w:sz w:val="22"/>
        </w:rPr>
        <w:t xml:space="preserve">O capítulo é honesto quanto ao trade-off dessa abordagem: ganha-se resiliência e menor fragilidade, mas cria-se </w:t>
      </w:r>
      <w:r>
        <w:rPr>
          <w:rFonts w:ascii="Arial" w:hAnsi="Arial"/>
          <w:b/>
          <w:color w:val="333333"/>
          <w:sz w:val="22"/>
        </w:rPr>
        <w:t>lock-in tecnológico</w:t>
      </w:r>
      <w:r>
        <w:rPr>
          <w:rFonts w:ascii="Arial" w:hAnsi="Arial"/>
          <w:b w:val="0"/>
          <w:color w:val="333333"/>
          <w:sz w:val="22"/>
        </w:rPr>
        <w:t xml:space="preserve"> com a plataforma Cypress Cloud — decisão que arquitetos e líderes técnicos precisam avaliar deliberadamente, não adotar por padrão. Uma alternativa complementar (não excludente) é a instrumentalização com atributos estáveis de automação, que pode inclusive ser automatizada por agentes de IA analisando componentes e padronizando identificadores. O capítulo conclui reposicionando o profissional de QA para um nível mais semântico de trabalho: focar em regras de negócio, cenários e comportamento esperado, deixando a IA traduzir isso em automação executável — sem eliminar a importância do conhecimento técnico, apenas reduzindo a barreira operacional de entrada.</w:t>
      </w:r>
    </w:p>
    <w:p>
      <w:pPr>
        <w:pStyle w:val="Heading3"/>
        <w:spacing w:before="200" w:after="80"/>
      </w:pPr>
      <w:r>
        <w:rPr>
          <w:rFonts w:ascii="Arial" w:hAnsi="Arial"/>
          <w:b/>
          <w:color w:val="1F4D78"/>
          <w:sz w:val="24"/>
        </w:rPr>
        <w:t>Capítulo 3: O Agente de QA Autônomo com Playwright MCP</w:t>
      </w:r>
    </w:p>
    <w:p>
      <w:pPr>
        <w:spacing w:after="160"/>
      </w:pPr>
      <w:r>
        <w:rPr>
          <w:rFonts w:ascii="Arial" w:hAnsi="Arial"/>
          <w:b w:val="0"/>
          <w:color w:val="333333"/>
          <w:sz w:val="22"/>
        </w:rPr>
        <w:t xml:space="preserve">O capítulo final do módulo dá um passo além: de "IA gera código de teste" para "IA executa diretamente o teste como agente autônomo", controlando o navegador em tempo real em vez de apenas produzir scripts. O </w:t>
      </w:r>
      <w:r>
        <w:rPr>
          <w:rFonts w:ascii="Arial" w:hAnsi="Arial"/>
          <w:b/>
          <w:color w:val="333333"/>
          <w:sz w:val="22"/>
        </w:rPr>
        <w:t>Playwright MCP</w:t>
      </w:r>
      <w:r>
        <w:rPr>
          <w:rFonts w:ascii="Arial" w:hAnsi="Arial"/>
          <w:b w:val="0"/>
          <w:color w:val="333333"/>
          <w:sz w:val="22"/>
        </w:rPr>
        <w:t xml:space="preserve"> entrega ao agente ferramentas reais de manipulação de navegador (abrir páginas, clicar, preencher, capturar screenshots, ler console, navegar) — o agente deixa de escrever testes e passa a </w:t>
      </w:r>
      <w:r>
        <w:rPr>
          <w:rFonts w:ascii="Arial" w:hAnsi="Arial"/>
          <w:i/>
          <w:color w:val="333333"/>
          <w:sz w:val="22"/>
        </w:rPr>
        <w:t>controlar</w:t>
      </w:r>
      <w:r>
        <w:rPr>
          <w:rFonts w:ascii="Arial" w:hAnsi="Arial"/>
          <w:b w:val="0"/>
          <w:color w:val="333333"/>
          <w:sz w:val="22"/>
        </w:rPr>
        <w:t xml:space="preserve"> um browser, aproximando-se muito de um usuário real interagindo com a aplicação.</w:t>
      </w:r>
    </w:p>
    <w:p>
      <w:pPr>
        <w:spacing w:after="160"/>
      </w:pPr>
      <w:r>
        <w:rPr>
          <w:rFonts w:ascii="Arial" w:hAnsi="Arial"/>
          <w:b w:val="0"/>
          <w:color w:val="333333"/>
          <w:sz w:val="22"/>
        </w:rPr>
        <w:t xml:space="preserve">Um ponto conceitual expande significativamente o escopo de aplicação: Playwright MCP também funciona como ferramenta de </w:t>
      </w:r>
      <w:r>
        <w:rPr>
          <w:rFonts w:ascii="Arial" w:hAnsi="Arial"/>
          <w:b/>
          <w:color w:val="333333"/>
          <w:sz w:val="22"/>
        </w:rPr>
        <w:t>RPA</w:t>
      </w:r>
      <w:r>
        <w:rPr>
          <w:rFonts w:ascii="Arial" w:hAnsi="Arial"/>
          <w:b w:val="0"/>
          <w:color w:val="333333"/>
          <w:sz w:val="22"/>
        </w:rPr>
        <w:t xml:space="preserve"> (Robotic Process Automation) — automatizando sistemas legados sem API através da própria interface web, já que praticamente qualquer sistema, por mais antigo que seja, ainda costuma ter uma interface acessível via navegador. O browser passa a funcionar como camada universal de integração.</w:t>
      </w:r>
    </w:p>
    <w:p>
      <w:pPr>
        <w:spacing w:after="160"/>
      </w:pPr>
      <w:r>
        <w:rPr>
          <w:rFonts w:ascii="Arial" w:hAnsi="Arial"/>
          <w:b w:val="0"/>
          <w:color w:val="333333"/>
          <w:sz w:val="22"/>
        </w:rPr>
        <w:t>A configuração segue o padrão já consolidado de MCPs específicos (Angular, Nx, agora Playwright), e a demonstração prática não gera nenhum código de teste tradicional — apenas um prompt operacional próximo de linguagem natural ("suba o ambiente, acesse a aplicação, encontre o formulário, preencha com dados realistas, submeta, valide a mensagem de sucesso"). O agente utiliza múltiplos MCPs em conjunto durante a execução (Nx MCP para subir o ambiente, Playwright MCP para controlar o navegador) — evidência de uma tendência importante: MCPs funcionando como extensões cognitivas especializadas que se somam ao raciocínio geral do agente.</w:t>
      </w:r>
    </w:p>
    <w:p>
      <w:pPr>
        <w:spacing w:after="160"/>
      </w:pPr>
      <w:r>
        <w:rPr>
          <w:rFonts w:ascii="Arial" w:hAnsi="Arial"/>
          <w:b w:val="0"/>
          <w:color w:val="333333"/>
          <w:sz w:val="22"/>
        </w:rPr>
        <w:t>O capítulo fecha com um comparativo explícito entre as três estratégias de teste trabalhadas ao longo do módulo — Cypress tradicional (barato, roda em CI/CD, mas frágil), Cypress Prompt/self-healing (resiliente, mas com lock-in de nuvem) e Playwright MCP/agente autônomo (máxima flexibilidade, também serve a RPA, mas com custo computacional e consumo contínuo de tokens maiores). A conclusão central é que essas abordagens não são mutuamente exclusivas — smoke tests rápidos podem usar Cypress tradicional, fluxos instáveis podem usar self-healing, sistemas legados sem API podem usar Playwright MCP como RPA — combinação híbrida que provavelmente será cada vez mais comum no mercado, reforçando que profissionais seniores escolhem ferramentas por análise de custo, benefício, manutenção e escala, nunca apenas por estarem "na moda".</w:t>
      </w:r>
    </w:p>
    <w:p>
      <w:pPr>
        <w:pStyle w:val="Heading2"/>
        <w:spacing w:before="360" w:after="160"/>
      </w:pPr>
      <w:r>
        <w:rPr>
          <w:rFonts w:ascii="Arial" w:hAnsi="Arial"/>
          <w:b/>
          <w:color w:val="2E74B5"/>
          <w:sz w:val="28"/>
        </w:rPr>
        <w:t>Módulo 5: Integração de Lógica de IA no Cliente e no Servidor</w:t>
      </w:r>
    </w:p>
    <w:p>
      <w:pPr>
        <w:pStyle w:val="Heading3"/>
        <w:spacing w:before="200" w:after="80"/>
      </w:pPr>
      <w:r>
        <w:rPr>
          <w:rFonts w:ascii="Arial" w:hAnsi="Arial"/>
          <w:b/>
          <w:color w:val="1F4D78"/>
          <w:sz w:val="24"/>
        </w:rPr>
        <w:t>Capítulo 1: O que é o GenKit e Configuração Inicial do Projeto</w:t>
      </w:r>
    </w:p>
    <w:p>
      <w:pPr>
        <w:spacing w:after="160"/>
      </w:pPr>
      <w:r>
        <w:rPr>
          <w:rFonts w:ascii="Arial" w:hAnsi="Arial"/>
          <w:b w:val="0"/>
          <w:color w:val="333333"/>
          <w:sz w:val="22"/>
        </w:rPr>
        <w:t xml:space="preserve">O módulo final marca uma virada conceitual central do curso inteiro: até aqui, a IA era ferramenta que </w:t>
      </w:r>
      <w:r>
        <w:rPr>
          <w:rFonts w:ascii="Arial" w:hAnsi="Arial"/>
          <w:b/>
          <w:color w:val="333333"/>
          <w:sz w:val="22"/>
        </w:rPr>
        <w:t>auxiliava</w:t>
      </w:r>
      <w:r>
        <w:rPr>
          <w:rFonts w:ascii="Arial" w:hAnsi="Arial"/>
          <w:b w:val="0"/>
          <w:color w:val="333333"/>
          <w:sz w:val="22"/>
        </w:rPr>
        <w:t xml:space="preserve"> o desenvolvedor (refinamento, geração de componentes, automação de testes); a partir de agora, ela passa a fazer parte da própria </w:t>
      </w:r>
      <w:r>
        <w:rPr>
          <w:rFonts w:ascii="Arial" w:hAnsi="Arial"/>
          <w:b/>
          <w:color w:val="333333"/>
          <w:sz w:val="22"/>
        </w:rPr>
        <w:t>arquitetura da aplicação</w:t>
      </w:r>
      <w:r>
        <w:rPr>
          <w:rFonts w:ascii="Arial" w:hAnsi="Arial"/>
          <w:b w:val="0"/>
          <w:color w:val="333333"/>
          <w:sz w:val="22"/>
        </w:rPr>
        <w:t xml:space="preserve"> — a aplicação passa a consumir a LLM diretamente como componente funcional, não apenas como acelerador do processo de construção.</w:t>
      </w:r>
    </w:p>
    <w:p>
      <w:pPr>
        <w:spacing w:after="160"/>
      </w:pPr>
      <w:r>
        <w:rPr>
          <w:rFonts w:ascii="Arial" w:hAnsi="Arial"/>
          <w:b w:val="0"/>
          <w:color w:val="333333"/>
          <w:sz w:val="22"/>
        </w:rPr>
        <w:t xml:space="preserve">O projeto do módulo é o </w:t>
      </w:r>
      <w:r>
        <w:rPr>
          <w:rFonts w:ascii="Arial" w:hAnsi="Arial"/>
          <w:b/>
          <w:color w:val="333333"/>
          <w:sz w:val="22"/>
        </w:rPr>
        <w:t>BragBot</w:t>
      </w:r>
      <w:r>
        <w:rPr>
          <w:rFonts w:ascii="Arial" w:hAnsi="Arial"/>
          <w:b w:val="0"/>
          <w:color w:val="333333"/>
          <w:sz w:val="22"/>
        </w:rPr>
        <w:t xml:space="preserve">, inspirado no conceito real de </w:t>
      </w:r>
      <w:r>
        <w:rPr>
          <w:rFonts w:ascii="Arial" w:hAnsi="Arial"/>
          <w:b/>
          <w:color w:val="333333"/>
          <w:sz w:val="22"/>
        </w:rPr>
        <w:t>Brag Doc</w:t>
      </w:r>
      <w:r>
        <w:rPr>
          <w:rFonts w:ascii="Arial" w:hAnsi="Arial"/>
          <w:b w:val="0"/>
          <w:color w:val="333333"/>
          <w:sz w:val="22"/>
        </w:rPr>
        <w:t xml:space="preserve"> (diário de conquistas profissionais) — prática comum entre desenvolvedores experientes para não esquecer entregas, incidentes resolvidos e iniciativas lideradas na hora de uma avaliação de desempenho ou promoção. Mas o verdadeiro objetivo pedagógico do módulo não é o produto em si, é aprender a integrar LLMs profissionalmente dentro de uma aplicação real.</w:t>
      </w:r>
    </w:p>
    <w:p>
      <w:pPr>
        <w:spacing w:after="160"/>
      </w:pPr>
      <w:r>
        <w:rPr>
          <w:rFonts w:ascii="Arial" w:hAnsi="Arial"/>
          <w:b w:val="0"/>
          <w:color w:val="333333"/>
          <w:sz w:val="22"/>
        </w:rPr>
        <w:t xml:space="preserve">O problema de engenharia central é o acoplamento: consumir diretamente a API de cada fornecedor de LLM (cada um com seus próprios endpoints, SDKs, formatos) acopla fortemente a aplicação àquele fornecedor específico, tornando trocar de modelo posteriormente uma mudança cara. O </w:t>
      </w:r>
      <w:r>
        <w:rPr>
          <w:rFonts w:ascii="Arial" w:hAnsi="Arial"/>
          <w:b/>
          <w:color w:val="333333"/>
          <w:sz w:val="22"/>
        </w:rPr>
        <w:t>GenKit</w:t>
      </w:r>
      <w:r>
        <w:rPr>
          <w:rFonts w:ascii="Arial" w:hAnsi="Arial"/>
          <w:b w:val="0"/>
          <w:color w:val="333333"/>
          <w:sz w:val="22"/>
        </w:rPr>
        <w:t xml:space="preserve">, framework do Google para aplicações Node.js, resolve isso sendo </w:t>
      </w:r>
      <w:r>
        <w:rPr>
          <w:rFonts w:ascii="Arial" w:hAnsi="Arial"/>
          <w:b/>
          <w:color w:val="333333"/>
          <w:sz w:val="22"/>
        </w:rPr>
        <w:t>agnóstico de modelo</w:t>
      </w:r>
      <w:r>
        <w:rPr>
          <w:rFonts w:ascii="Arial" w:hAnsi="Arial"/>
          <w:b w:val="0"/>
          <w:color w:val="333333"/>
          <w:sz w:val="22"/>
        </w:rPr>
        <w:t xml:space="preserve"> por design — funciona via plugins, conectando Gemini, OpenAI ou outros provedores compatíveis — mesmo princípio clássico de abstração já usado por ORMs (banco de dados) e frameworks web (HTTP), aplicado agora à interação com LLMs.</w:t>
      </w:r>
    </w:p>
    <w:p>
      <w:pPr>
        <w:spacing w:after="160"/>
      </w:pPr>
      <w:r>
        <w:rPr>
          <w:rFonts w:ascii="Arial" w:hAnsi="Arial"/>
          <w:b w:val="0"/>
          <w:color w:val="333333"/>
          <w:sz w:val="22"/>
        </w:rPr>
        <w:t>Além de abstrair o fornecedor, o GenKit resolve um problema prático recorrente: tratar a resposta da LLM apenas como texto solto é insuficiente para uma aplicação real, que precisa trabalhar com estruturas previsíveis (JSON, objetos tipados, contratos). O GenKit valida se a saída retornada respeita a estrutura esperada, lançando exceções tratáveis quando não respeita — aproximando a integração com IA do fluxo tradicional de engenharia backend: contratos, validação, tratamento de erro, integração tipada, não apenas prompt e resposta.</w:t>
      </w:r>
    </w:p>
    <w:p>
      <w:pPr>
        <w:spacing w:after="160"/>
      </w:pPr>
      <w:r>
        <w:rPr>
          <w:rFonts w:ascii="Arial" w:hAnsi="Arial"/>
          <w:b w:val="0"/>
          <w:color w:val="333333"/>
          <w:sz w:val="22"/>
        </w:rPr>
        <w:t>Uma decisão arquitetural simplificadora do projeto: usar o próprio servidor SSR (Server Side Rendering) do Angular também como backend, evitando a complexidade de manter front-end e back-end separados apenas para fins didáticos — com a ressalva explícita de que essa não é necessariamente a arquitetura ideal para produção enterprise, onde um microsserviço dedicado de IA, separado do front-end, seria mais adequado.</w:t>
      </w:r>
    </w:p>
    <w:p>
      <w:pPr>
        <w:spacing w:after="160"/>
      </w:pPr>
      <w:r>
        <w:rPr>
          <w:rFonts w:ascii="Arial" w:hAnsi="Arial"/>
          <w:b w:val="0"/>
          <w:color w:val="333333"/>
          <w:sz w:val="22"/>
        </w:rPr>
        <w:t xml:space="preserve">O capítulo trata segurança com o mesmo rigor de qualquer outra credencial sensível já visto no curso: API Key do Gemini nunca no código, armazenada em </w:t>
      </w:r>
      <w:r>
        <w:rPr>
          <w:rFonts w:ascii="Courier New" w:hAnsi="Courier New"/>
          <w:color w:val="333333"/>
          <w:sz w:val="20"/>
        </w:rPr>
        <w:t>.env</w:t>
      </w:r>
      <w:r>
        <w:rPr>
          <w:rFonts w:ascii="Arial" w:hAnsi="Arial"/>
          <w:b w:val="0"/>
          <w:color w:val="333333"/>
          <w:sz w:val="22"/>
        </w:rPr>
        <w:t xml:space="preserve">, com </w:t>
      </w:r>
      <w:r>
        <w:rPr>
          <w:rFonts w:ascii="Courier New" w:hAnsi="Courier New"/>
          <w:color w:val="333333"/>
          <w:sz w:val="20"/>
        </w:rPr>
        <w:t>.env</w:t>
      </w:r>
      <w:r>
        <w:rPr>
          <w:rFonts w:ascii="Arial" w:hAnsi="Arial"/>
          <w:b w:val="0"/>
          <w:color w:val="333333"/>
          <w:sz w:val="22"/>
        </w:rPr>
        <w:t xml:space="preserve"> explicitamente no </w:t>
      </w:r>
      <w:r>
        <w:rPr>
          <w:rFonts w:ascii="Courier New" w:hAnsi="Courier New"/>
          <w:color w:val="333333"/>
          <w:sz w:val="20"/>
        </w:rPr>
        <w:t>.gitignore</w:t>
      </w:r>
      <w:r>
        <w:rPr>
          <w:rFonts w:ascii="Arial" w:hAnsi="Arial"/>
          <w:b w:val="0"/>
          <w:color w:val="333333"/>
          <w:sz w:val="22"/>
        </w:rPr>
        <w:t xml:space="preserve"> — reforçando um dos erros mais graves e recorrentes cometidos por iniciantes (vazamento de chaves em repositórios públicos, ativamente monitorado por bots automatizados na internet). O </w:t>
      </w:r>
      <w:r>
        <w:rPr>
          <w:rFonts w:ascii="Arial" w:hAnsi="Arial"/>
          <w:b/>
          <w:color w:val="333333"/>
          <w:sz w:val="22"/>
        </w:rPr>
        <w:t>MCP do próprio GenKit</w:t>
      </w:r>
      <w:r>
        <w:rPr>
          <w:rFonts w:ascii="Arial" w:hAnsi="Arial"/>
          <w:b w:val="0"/>
          <w:color w:val="333333"/>
          <w:sz w:val="22"/>
        </w:rPr>
        <w:t xml:space="preserve"> também é configurado, seguindo o mesmo padrão já estabelecido nos módulos anteriores (Angular MCP, Nx MCP, Playwright MCP) — validado com uma consulta simples de quais modelos estão disponíveis através do servidor MCP.</w:t>
      </w:r>
    </w:p>
    <w:p>
      <w:pPr>
        <w:pStyle w:val="Heading3"/>
        <w:spacing w:before="200" w:after="80"/>
      </w:pPr>
      <w:r>
        <w:rPr>
          <w:rFonts w:ascii="Arial" w:hAnsi="Arial"/>
          <w:b/>
          <w:color w:val="1F4D78"/>
          <w:sz w:val="24"/>
        </w:rPr>
        <w:t>Capítulo 2: Design System UNIPDS e Interface Mockada</w:t>
      </w:r>
    </w:p>
    <w:p>
      <w:pPr>
        <w:spacing w:after="160"/>
      </w:pPr>
      <w:r>
        <w:rPr>
          <w:rFonts w:ascii="Arial" w:hAnsi="Arial"/>
          <w:b w:val="0"/>
          <w:color w:val="333333"/>
          <w:sz w:val="22"/>
        </w:rPr>
        <w:t xml:space="preserve">Antes de conectar a LLM de fato, o capítulo defende explicitamente uma prática de maturidade em desenvolvimento front-end: construir a interface primeiro com </w:t>
      </w:r>
      <w:r>
        <w:rPr>
          <w:rFonts w:ascii="Arial" w:hAnsi="Arial"/>
          <w:b/>
          <w:color w:val="333333"/>
          <w:sz w:val="22"/>
        </w:rPr>
        <w:t>dados mockados</w:t>
      </w:r>
      <w:r>
        <w:rPr>
          <w:rFonts w:ascii="Arial" w:hAnsi="Arial"/>
          <w:b w:val="0"/>
          <w:color w:val="333333"/>
          <w:sz w:val="22"/>
        </w:rPr>
        <w:t>, validando fluxo visual, navegação e experiência isoladamente do problema de integração real — separação de responsabilidades que evita confundir bug de interface com bug de integração de IA.</w:t>
      </w:r>
    </w:p>
    <w:p>
      <w:pPr>
        <w:spacing w:after="160"/>
      </w:pPr>
      <w:r>
        <w:rPr>
          <w:rFonts w:ascii="Arial" w:hAnsi="Arial"/>
          <w:b w:val="0"/>
          <w:color w:val="333333"/>
          <w:sz w:val="22"/>
        </w:rPr>
        <w:t xml:space="preserve">A identidade visual é extraída a partir de referência real (site institucional da UniPDS), com o agente orientado a replicar cores e sensação estética. A arquitetura segue Angular com Tailwind CSS, duas telas (dashboard e detail, com rota parametrizada por identificador) e um </w:t>
      </w:r>
      <w:r>
        <w:rPr>
          <w:rFonts w:ascii="Arial" w:hAnsi="Arial"/>
          <w:b/>
          <w:color w:val="333333"/>
          <w:sz w:val="22"/>
        </w:rPr>
        <w:t>serviço centralizando estado com Signals</w:t>
      </w:r>
      <w:r>
        <w:rPr>
          <w:rFonts w:ascii="Arial" w:hAnsi="Arial"/>
          <w:b w:val="0"/>
          <w:color w:val="333333"/>
          <w:sz w:val="22"/>
        </w:rPr>
        <w:t xml:space="preserve"> — princípio arquitetural reforçado explicitamente: regras de negócio e estado compartilhado não devem ficar no componente, que deve cuidar apenas de tela e interação; o serviço concentra a lógica de dados.</w:t>
      </w:r>
    </w:p>
    <w:p>
      <w:pPr>
        <w:spacing w:after="160"/>
      </w:pPr>
      <w:r>
        <w:rPr>
          <w:rFonts w:ascii="Arial" w:hAnsi="Arial"/>
          <w:b w:val="0"/>
          <w:color w:val="333333"/>
          <w:sz w:val="22"/>
        </w:rPr>
        <w:t>O método mockado simula assincronia (ativa loading, aguarda, adiciona conquista) já no formato aproximado que futuramente virá da LLM real (título, contexto, impacto, tecnologias, métrica) — antecipando o contrato visual antes da integração real, o que torna a futura troca do mock pela chamada real muito mais segura e previsível. O fluxo da tela ("destilar conquista" transformando texto livre numa versão estruturada) já reflete visualmente o comportamento que será implementado de verdade no capítulo seguinte, incluindo feedback visual de carregamento — detalhe simples, mas essencial para não passar sensação de aplicação travada.</w:t>
      </w:r>
    </w:p>
    <w:p>
      <w:pPr>
        <w:spacing w:after="160"/>
      </w:pPr>
      <w:r>
        <w:rPr>
          <w:rFonts w:ascii="Arial" w:hAnsi="Arial"/>
          <w:b w:val="0"/>
          <w:color w:val="333333"/>
          <w:sz w:val="22"/>
        </w:rPr>
        <w:t>Uma observação de revisão arquitetural aparece mesmo nesta etapa simplificada: o agente colocou o template dentro do próprio TypeScript do componente, prática aceitável em componentes pequenos, mas que o autor prefere separar conforme a tela cresce — reforçando, mais uma vez, que preferências arquiteturais do time precisam ser comunicadas explicitamente ao agente, não assumidas como óbvias.</w:t>
      </w:r>
    </w:p>
    <w:p>
      <w:pPr>
        <w:pStyle w:val="Heading3"/>
        <w:spacing w:before="200" w:after="80"/>
      </w:pPr>
      <w:r>
        <w:rPr>
          <w:rFonts w:ascii="Arial" w:hAnsi="Arial"/>
          <w:b/>
          <w:color w:val="1F4D78"/>
          <w:sz w:val="24"/>
        </w:rPr>
        <w:t>Capítulo 3: O Cérebro do GenKit — Flows, Zod e Google AI</w:t>
      </w:r>
    </w:p>
    <w:p>
      <w:pPr>
        <w:spacing w:after="160"/>
      </w:pPr>
      <w:r>
        <w:rPr>
          <w:rFonts w:ascii="Arial" w:hAnsi="Arial"/>
          <w:b w:val="0"/>
          <w:color w:val="333333"/>
          <w:sz w:val="22"/>
        </w:rPr>
        <w:t xml:space="preserve">Com o front-end validado via mock, o capítulo integra o GenKit de fato — introduzindo o conceito de </w:t>
      </w:r>
      <w:r>
        <w:rPr>
          <w:rFonts w:ascii="Arial" w:hAnsi="Arial"/>
          <w:b/>
          <w:color w:val="333333"/>
          <w:sz w:val="22"/>
        </w:rPr>
        <w:t>Flow</w:t>
      </w:r>
      <w:r>
        <w:rPr>
          <w:rFonts w:ascii="Arial" w:hAnsi="Arial"/>
          <w:b w:val="0"/>
          <w:color w:val="333333"/>
          <w:sz w:val="22"/>
        </w:rPr>
        <w:t>, a unidade de orquestração que encapsula prompt, chamada ao modelo e validação de saída dentro de uma estrutura previsível e reutilizável.</w:t>
      </w:r>
    </w:p>
    <w:p>
      <w:pPr>
        <w:spacing w:after="160"/>
      </w:pPr>
      <w:r>
        <w:rPr>
          <w:rFonts w:ascii="Arial" w:hAnsi="Arial"/>
          <w:b w:val="0"/>
          <w:color w:val="333333"/>
          <w:sz w:val="22"/>
        </w:rPr>
        <w:t xml:space="preserve">A validação estrutural com </w:t>
      </w:r>
      <w:r>
        <w:rPr>
          <w:rFonts w:ascii="Arial" w:hAnsi="Arial"/>
          <w:b/>
          <w:color w:val="333333"/>
          <w:sz w:val="22"/>
        </w:rPr>
        <w:t>Zod</w:t>
      </w:r>
      <w:r>
        <w:rPr>
          <w:rFonts w:ascii="Arial" w:hAnsi="Arial"/>
          <w:b w:val="0"/>
          <w:color w:val="333333"/>
          <w:sz w:val="22"/>
        </w:rPr>
        <w:t xml:space="preserve"> (biblioteca de schema já conhecida de módulos anteriores do curso, aplicada aqui num novo contexto arquitetural) é o mecanismo central que garante que a resposta da LLM respeite exatamente o contrato esperado pela aplicação — se o modelo produzir algo fora do schema, o sistema detecta e trata como erro, em vez de propagar um dado inconsistente silenciosamente pela aplicação. Esse é o ponto em que a integração deixa de ser "chamar uma API de chat" e passa a ser engenharia de contrato real: a IA se torna um componente com entrada e saída tipadas, assim como qualquer outro serviço da arquitetura.</w:t>
      </w:r>
    </w:p>
    <w:p>
      <w:pPr>
        <w:pStyle w:val="Heading3"/>
        <w:spacing w:before="200" w:after="80"/>
      </w:pPr>
      <w:r>
        <w:rPr>
          <w:rFonts w:ascii="Arial" w:hAnsi="Arial"/>
          <w:b/>
          <w:color w:val="1F4D78"/>
          <w:sz w:val="24"/>
        </w:rPr>
        <w:t>Capítulo 4: O Micro-BFF — Integração Full-Stack</w:t>
      </w:r>
    </w:p>
    <w:p>
      <w:pPr>
        <w:spacing w:after="160"/>
      </w:pPr>
      <w:r>
        <w:rPr>
          <w:rFonts w:ascii="Arial" w:hAnsi="Arial"/>
          <w:b w:val="0"/>
          <w:color w:val="333333"/>
          <w:sz w:val="22"/>
        </w:rPr>
        <w:t xml:space="preserve">O capítulo conecta definitivamente front-end, Flow do GenKit e persistência (mesmo que simplificada) num fluxo completo: o servidor SSR do Angular atua como um </w:t>
      </w:r>
      <w:r>
        <w:rPr>
          <w:rFonts w:ascii="Arial" w:hAnsi="Arial"/>
          <w:b/>
          <w:color w:val="333333"/>
          <w:sz w:val="22"/>
        </w:rPr>
        <w:t>Micro-BFF</w:t>
      </w:r>
      <w:r>
        <w:rPr>
          <w:rFonts w:ascii="Arial" w:hAnsi="Arial"/>
          <w:b w:val="0"/>
          <w:color w:val="333333"/>
          <w:sz w:val="22"/>
        </w:rPr>
        <w:t xml:space="preserve"> (Backend For Frontend), processando a chamada ao Flow que consulta a LLM e devolvendo a resposta já validada para a interface, substituindo integralmente o mock construído no Capítulo 2 — validando, na prática, que a antecipação do contrato visual funcionou: a interface já sabia exibir loading, cards e detalhes antes mesmo de existir uma LLM real por trás.</w:t>
      </w:r>
    </w:p>
    <w:p>
      <w:pPr>
        <w:pStyle w:val="Heading3"/>
        <w:spacing w:before="200" w:after="80"/>
      </w:pPr>
      <w:r>
        <w:rPr>
          <w:rFonts w:ascii="Arial" w:hAnsi="Arial"/>
          <w:b/>
          <w:color w:val="1F4D78"/>
          <w:sz w:val="24"/>
        </w:rPr>
        <w:t>Capítulo 5: O Engenheiro AI-Native — Revisão da Jornada e Encerramento</w:t>
      </w:r>
    </w:p>
    <w:p>
      <w:pPr>
        <w:spacing w:after="160"/>
      </w:pPr>
      <w:r>
        <w:rPr>
          <w:rFonts w:ascii="Arial" w:hAnsi="Arial"/>
          <w:b w:val="0"/>
          <w:color w:val="333333"/>
          <w:sz w:val="22"/>
        </w:rPr>
        <w:t>O capítulo de encerramento do módulo (e da disciplina inteira) revisita a progressão de cinco módulos: da engenharia de requisitos e UX assistida por IA, passando pela configuração de ambiente AI-Native com MCP, orquestração enterprise com monorepo e agentes paralelos, automação de QA com self-healing, até a integração de LLM como componente arquitetural real via GenKit.</w:t>
      </w:r>
    </w:p>
    <w:p>
      <w:pPr>
        <w:spacing w:after="160"/>
      </w:pPr>
      <w:r>
        <w:rPr>
          <w:rFonts w:ascii="Arial" w:hAnsi="Arial"/>
          <w:b w:val="0"/>
          <w:color w:val="333333"/>
          <w:sz w:val="22"/>
        </w:rPr>
        <w:t xml:space="preserve">O fio condutor reforçado nesse fechamento é que nenhuma dessas capacidades substitui fundamentos clássicos de engenharia de software — pelo contrário, quanto mais avançadas as ferramentas de IA se tornam, mais importante fica a base sólida de arquitetura, qualidade, validação, versionamento e especificação. O </w:t>
      </w:r>
      <w:r>
        <w:rPr>
          <w:rFonts w:ascii="Arial" w:hAnsi="Arial"/>
          <w:b/>
          <w:color w:val="333333"/>
          <w:sz w:val="22"/>
        </w:rPr>
        <w:t>engenheiro AI-Native</w:t>
      </w:r>
      <w:r>
        <w:rPr>
          <w:rFonts w:ascii="Arial" w:hAnsi="Arial"/>
          <w:b w:val="0"/>
          <w:color w:val="333333"/>
          <w:sz w:val="22"/>
        </w:rPr>
        <w:t xml:space="preserve"> não é definido pelo domínio de uma ferramenta específica (que continuará mudando rapidamente — novos modelos, frameworks e IDEs substituirão os usados no curso), mas pela capacidade de orquestrar contexto, validar criticamente resultados de IA, e integrar engenharia clássica com sistemas inteligentes dentro de fluxos modernos, produtivos e sustentáveis.</w:t>
      </w:r>
    </w:p>
    <w:p>
      <w:pPr>
        <w:spacing w:after="160"/>
      </w:pPr>
      <w:r>
        <w:rPr>
          <w:rFonts w:ascii="Arial" w:hAnsi="Arial"/>
          <w:b/>
          <w:color w:val="333333"/>
          <w:sz w:val="22"/>
        </w:rPr>
        <w:t>Visão geral do sistema completo:</w:t>
      </w:r>
    </w:p>
    <w:p>
      <w:pPr>
        <w:spacing w:before="20" w:after="20"/>
        <w:ind w:left="360"/>
        <w:shd w:val="clear" w:fill="F0F0F0"/>
      </w:pPr>
      <w:r>
        <w:rPr>
          <w:rFonts w:ascii="Courier New" w:hAnsi="Courier New"/>
          <w:color w:val="333333"/>
          <w:sz w:val="18"/>
        </w:rPr>
        <w:t>┌──────────────────────────────────────────────────────────────┐</w:t>
      </w:r>
    </w:p>
    <w:p>
      <w:pPr>
        <w:spacing w:before="20" w:after="20"/>
        <w:ind w:left="360"/>
        <w:shd w:val="clear" w:fill="F0F0F0"/>
      </w:pPr>
      <w:r>
        <w:rPr>
          <w:rFonts w:ascii="Courier New" w:hAnsi="Courier New"/>
          <w:color w:val="333333"/>
          <w:sz w:val="18"/>
        </w:rPr>
        <w:t>│                  DESENVOLVIMENTO AI-NATIVE                    │</w:t>
      </w:r>
    </w:p>
    <w:p>
      <w:pPr>
        <w:spacing w:before="20" w:after="20"/>
        <w:ind w:left="360"/>
        <w:shd w:val="clear" w:fill="F0F0F0"/>
      </w:pPr>
      <w:r>
        <w:rPr>
          <w:rFonts w:ascii="Courier New" w:hAnsi="Courier New"/>
          <w:color w:val="333333"/>
          <w:sz w:val="18"/>
        </w:rPr>
        <w:t>├──────────────────────────────────────────────────────────────┤</w:t>
      </w:r>
    </w:p>
    <w:p>
      <w:pPr>
        <w:spacing w:before="20" w:after="20"/>
        <w:ind w:left="360"/>
        <w:shd w:val="clear" w:fill="F0F0F0"/>
      </w:pPr>
      <w:r>
        <w:rPr>
          <w:rFonts w:ascii="Courier New" w:hAnsi="Courier New"/>
          <w:color w:val="333333"/>
          <w:sz w:val="18"/>
        </w:rPr>
        <w:t>│  Requisitos + UX (Módulo 1)                                   │</w:t>
      </w:r>
    </w:p>
    <w:p>
      <w:pPr>
        <w:spacing w:before="20" w:after="20"/>
        <w:ind w:left="360"/>
        <w:shd w:val="clear" w:fill="F0F0F0"/>
      </w:pPr>
      <w:r>
        <w:rPr>
          <w:rFonts w:ascii="Courier New" w:hAnsi="Courier New"/>
          <w:color w:val="333333"/>
          <w:sz w:val="18"/>
        </w:rPr>
        <w:t>│  └── System Prompt estruturado → edge cases → diagramas       │</w:t>
      </w:r>
    </w:p>
    <w:p>
      <w:pPr>
        <w:spacing w:before="20" w:after="20"/>
        <w:ind w:left="360"/>
        <w:shd w:val="clear" w:fill="F0F0F0"/>
      </w:pPr>
      <w:r>
        <w:rPr>
          <w:rFonts w:ascii="Courier New" w:hAnsi="Courier New"/>
          <w:color w:val="333333"/>
          <w:sz w:val="18"/>
        </w:rPr>
        <w:t>│       Mermaid → UX Writing → sanitização → backlog priorizado │</w:t>
      </w:r>
    </w:p>
    <w:p>
      <w:pPr>
        <w:spacing w:before="20" w:after="20"/>
        <w:ind w:left="360"/>
        <w:shd w:val="clear" w:fill="F0F0F0"/>
      </w:pPr>
      <w:r>
        <w:rPr>
          <w:rFonts w:ascii="Courier New" w:hAnsi="Courier New"/>
          <w:color w:val="333333"/>
          <w:sz w:val="18"/>
        </w:rPr>
        <w:t>│                                                                │</w:t>
      </w:r>
    </w:p>
    <w:p>
      <w:pPr>
        <w:spacing w:before="20" w:after="20"/>
        <w:ind w:left="360"/>
        <w:shd w:val="clear" w:fill="F0F0F0"/>
      </w:pPr>
      <w:r>
        <w:rPr>
          <w:rFonts w:ascii="Courier New" w:hAnsi="Courier New"/>
          <w:color w:val="333333"/>
          <w:sz w:val="18"/>
        </w:rPr>
        <w:t>│  Ambiente AI-Native (Módulo 2)                                │</w:t>
      </w:r>
    </w:p>
    <w:p>
      <w:pPr>
        <w:spacing w:before="20" w:after="20"/>
        <w:ind w:left="360"/>
        <w:shd w:val="clear" w:fill="F0F0F0"/>
      </w:pPr>
      <w:r>
        <w:rPr>
          <w:rFonts w:ascii="Courier New" w:hAnsi="Courier New"/>
          <w:color w:val="333333"/>
          <w:sz w:val="18"/>
        </w:rPr>
        <w:t>│  └── Angular + MCP → design tokens → componentes acessíveis   │</w:t>
      </w:r>
    </w:p>
    <w:p>
      <w:pPr>
        <w:spacing w:before="20" w:after="20"/>
        <w:ind w:left="360"/>
        <w:shd w:val="clear" w:fill="F0F0F0"/>
      </w:pPr>
      <w:r>
        <w:rPr>
          <w:rFonts w:ascii="Courier New" w:hAnsi="Courier New"/>
          <w:color w:val="333333"/>
          <w:sz w:val="18"/>
        </w:rPr>
        <w:t>│       → Stitch/Figma (multimodal) → correção pós-geração      │</w:t>
      </w:r>
    </w:p>
    <w:p>
      <w:pPr>
        <w:spacing w:before="20" w:after="20"/>
        <w:ind w:left="360"/>
        <w:shd w:val="clear" w:fill="F0F0F0"/>
      </w:pPr>
      <w:r>
        <w:rPr>
          <w:rFonts w:ascii="Courier New" w:hAnsi="Courier New"/>
          <w:color w:val="333333"/>
          <w:sz w:val="18"/>
        </w:rPr>
        <w:t>│                                                                │</w:t>
      </w:r>
    </w:p>
    <w:p>
      <w:pPr>
        <w:spacing w:before="20" w:after="20"/>
        <w:ind w:left="360"/>
        <w:shd w:val="clear" w:fill="F0F0F0"/>
      </w:pPr>
      <w:r>
        <w:rPr>
          <w:rFonts w:ascii="Courier New" w:hAnsi="Courier New"/>
          <w:color w:val="333333"/>
          <w:sz w:val="18"/>
        </w:rPr>
        <w:t>│  Orquestração Enterprise (Módulo 3)                            │</w:t>
      </w:r>
    </w:p>
    <w:p>
      <w:pPr>
        <w:spacing w:before="20" w:after="20"/>
        <w:ind w:left="360"/>
        <w:shd w:val="clear" w:fill="F0F0F0"/>
      </w:pPr>
      <w:r>
        <w:rPr>
          <w:rFonts w:ascii="Courier New" w:hAnsi="Courier New"/>
          <w:color w:val="333333"/>
          <w:sz w:val="18"/>
        </w:rPr>
        <w:t>│  └── Nx Monorepo + MCP → Spec-Driven Development (OpenSpec)   │</w:t>
      </w:r>
    </w:p>
    <w:p>
      <w:pPr>
        <w:spacing w:before="20" w:after="20"/>
        <w:ind w:left="360"/>
        <w:shd w:val="clear" w:fill="F0F0F0"/>
      </w:pPr>
      <w:r>
        <w:rPr>
          <w:rFonts w:ascii="Courier New" w:hAnsi="Courier New"/>
          <w:color w:val="333333"/>
          <w:sz w:val="18"/>
        </w:rPr>
        <w:t>│       → Git WorkTree (agentes paralelos) → Jules (nuvem)      │</w:t>
      </w:r>
    </w:p>
    <w:p>
      <w:pPr>
        <w:spacing w:before="20" w:after="20"/>
        <w:ind w:left="360"/>
        <w:shd w:val="clear" w:fill="F0F0F0"/>
      </w:pPr>
      <w:r>
        <w:rPr>
          <w:rFonts w:ascii="Courier New" w:hAnsi="Courier New"/>
          <w:color w:val="333333"/>
          <w:sz w:val="18"/>
        </w:rPr>
        <w:t>│                                                                │</w:t>
      </w:r>
    </w:p>
    <w:p>
      <w:pPr>
        <w:spacing w:before="20" w:after="20"/>
        <w:ind w:left="360"/>
        <w:shd w:val="clear" w:fill="F0F0F0"/>
      </w:pPr>
      <w:r>
        <w:rPr>
          <w:rFonts w:ascii="Courier New" w:hAnsi="Courier New"/>
          <w:color w:val="333333"/>
          <w:sz w:val="18"/>
        </w:rPr>
        <w:t>│  QA AI-Native (Módulo 4)                                       │</w:t>
      </w:r>
    </w:p>
    <w:p>
      <w:pPr>
        <w:spacing w:before="20" w:after="20"/>
        <w:ind w:left="360"/>
        <w:shd w:val="clear" w:fill="F0F0F0"/>
      </w:pPr>
      <w:r>
        <w:rPr>
          <w:rFonts w:ascii="Courier New" w:hAnsi="Courier New"/>
          <w:color w:val="333333"/>
          <w:sz w:val="18"/>
        </w:rPr>
        <w:t>│  └── Cypress + OpenSpec → self-healing (cy.prompt)             │</w:t>
      </w:r>
    </w:p>
    <w:p>
      <w:pPr>
        <w:spacing w:before="20" w:after="20"/>
        <w:ind w:left="360"/>
        <w:shd w:val="clear" w:fill="F0F0F0"/>
      </w:pPr>
      <w:r>
        <w:rPr>
          <w:rFonts w:ascii="Courier New" w:hAnsi="Courier New"/>
          <w:color w:val="333333"/>
          <w:sz w:val="18"/>
        </w:rPr>
        <w:t>│       → Playwright MCP (agente autônomo / RPA)                 │</w:t>
      </w:r>
    </w:p>
    <w:p>
      <w:pPr>
        <w:spacing w:before="20" w:after="20"/>
        <w:ind w:left="360"/>
        <w:shd w:val="clear" w:fill="F0F0F0"/>
      </w:pPr>
      <w:r>
        <w:rPr>
          <w:rFonts w:ascii="Courier New" w:hAnsi="Courier New"/>
          <w:color w:val="333333"/>
          <w:sz w:val="18"/>
        </w:rPr>
        <w:t>│                                                                │</w:t>
      </w:r>
    </w:p>
    <w:p>
      <w:pPr>
        <w:spacing w:before="20" w:after="20"/>
        <w:ind w:left="360"/>
        <w:shd w:val="clear" w:fill="F0F0F0"/>
      </w:pPr>
      <w:r>
        <w:rPr>
          <w:rFonts w:ascii="Courier New" w:hAnsi="Courier New"/>
          <w:color w:val="333333"/>
          <w:sz w:val="18"/>
        </w:rPr>
        <w:t>│  IA como Arquitetura (Módulo 5)                                 │</w:t>
      </w:r>
    </w:p>
    <w:p>
      <w:pPr>
        <w:spacing w:before="20" w:after="20"/>
        <w:ind w:left="360"/>
        <w:shd w:val="clear" w:fill="F0F0F0"/>
      </w:pPr>
      <w:r>
        <w:rPr>
          <w:rFonts w:ascii="Courier New" w:hAnsi="Courier New"/>
          <w:color w:val="333333"/>
          <w:sz w:val="18"/>
        </w:rPr>
        <w:t>│  └── GenKit (agnóstico de modelo) → Flows + Zod → Micro-BFF     │</w:t>
      </w:r>
    </w:p>
    <w:p>
      <w:pPr>
        <w:spacing w:before="20" w:after="20"/>
        <w:ind w:left="360"/>
        <w:shd w:val="clear" w:fill="F0F0F0"/>
      </w:pPr>
      <w:r>
        <w:rPr>
          <w:rFonts w:ascii="Courier New" w:hAnsi="Courier New"/>
          <w:color w:val="333333"/>
          <w:sz w:val="18"/>
        </w:rPr>
        <w:t>└──────────────────────────────────────────────────────────────┘</w:t>
      </w:r>
    </w:p>
    <w:p>
      <w:pPr>
        <w:spacing w:before="120" w:after="120"/>
        <w:ind w:left="360" w:right="360"/>
        <w:shd w:val="clear" w:fill="F5F5F5"/>
        <w:pBdr>
          <w:left w:val="single" w:color="2E75B6" w:sz="4" w:space="10"/>
        </w:pBdr>
      </w:pPr>
      <w:r>
        <w:rPr>
          <w:rFonts w:ascii="Arial" w:hAnsi="Arial"/>
          <w:b w:val="0"/>
          <w:color w:val="333333"/>
          <w:sz w:val="22"/>
        </w:rPr>
        <w:t xml:space="preserve">✅ </w:t>
      </w:r>
      <w:r>
        <w:rPr>
          <w:rFonts w:ascii="Arial" w:hAnsi="Arial"/>
          <w:b/>
          <w:color w:val="333333"/>
          <w:sz w:val="22"/>
        </w:rPr>
        <w:t>Conclusão final do módulo:</w:t>
      </w:r>
      <w:r>
        <w:rPr>
          <w:rFonts w:ascii="Arial" w:hAnsi="Arial"/>
          <w:b w:val="0"/>
          <w:color w:val="333333"/>
          <w:sz w:val="22"/>
        </w:rPr>
        <w:t xml:space="preserve"> o futuro da engenharia de software não será nem completamente manual, nem completamente automatizado — será colaborativo. Os profissionais mais valiosos serão aqueles capazes de integrar engenharia clássica e inteligência artificial dentro de fluxos modernos, produtivos e sustentáveis de desenvolvimento, sempre com pensamento crítico e revisão humana como fundamento inegociável.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