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2E74B5"/>
          <w:sz w:val="40"/>
        </w:rPr>
        <w:t>Ferramentas de IA para UX &amp; UI</w:t>
      </w:r>
    </w:p>
    <w:p>
      <w:pPr>
        <w:spacing w:after="40"/>
      </w:pPr>
      <w:r>
        <w:rPr>
          <w:rFonts w:ascii="Arial" w:hAnsi="Arial"/>
          <w:b/>
          <w:color w:val="2E74B5"/>
          <w:sz w:val="24"/>
        </w:rPr>
        <w:t>Pós-Graduação em Engenharia de Software com IA Aplicada — UNIPDS</w:t>
      </w:r>
    </w:p>
    <w:p>
      <w:pPr>
        <w:spacing w:after="40"/>
      </w:pPr>
      <w:r>
        <w:rPr>
          <w:rFonts w:ascii="Arial" w:hAnsi="Arial"/>
          <w:i/>
          <w:color w:val="555555"/>
          <w:sz w:val="20"/>
        </w:rPr>
        <w:t>Álvaro Camillo Neto · Rafael Mattos Moreira — Resumo de estudo técnico · 2026</w:t>
      </w:r>
    </w:p>
    <w:p>
      <w:pPr>
        <w:spacing w:after="120"/>
      </w:pP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1. Visão Geral do Módulo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módulo constrói, em cinco frentes progressivas, uma visão completa de desenvolvimento </w:t>
      </w:r>
      <w:r>
        <w:rPr>
          <w:rFonts w:ascii="Arial" w:hAnsi="Arial"/>
          <w:b/>
          <w:color w:val="333333"/>
          <w:sz w:val="22"/>
        </w:rPr>
        <w:t>AI-Native</w:t>
      </w:r>
      <w:r>
        <w:rPr>
          <w:rFonts w:ascii="Arial" w:hAnsi="Arial"/>
          <w:b w:val="0"/>
          <w:color w:val="333333"/>
          <w:sz w:val="22"/>
        </w:rPr>
        <w:t xml:space="preserve">: da engenharia de requisitos e UX assistida por IA (Módulo 1), passando pela configuração de um ambiente front-end Angular orientado a agentes com MCP (Módulo 2), até orquestração enterprise com monorepo, especificação estruturada e múltiplos agentes em paralelo (Módulo 3), automação de QA com self-healing (Módulo 4) e, por fim, a integração de uma LLM como componente arquitetural real da aplicação usando GenKit (Módulo 5). O fio condutor de dois projetos práticos — o </w:t>
      </w:r>
      <w:r>
        <w:rPr>
          <w:rFonts w:ascii="Arial" w:hAnsi="Arial"/>
          <w:b/>
          <w:color w:val="333333"/>
          <w:sz w:val="22"/>
        </w:rPr>
        <w:t>PixApp</w:t>
      </w:r>
      <w:r>
        <w:rPr>
          <w:rFonts w:ascii="Arial" w:hAnsi="Arial"/>
          <w:b w:val="0"/>
          <w:color w:val="333333"/>
          <w:sz w:val="22"/>
        </w:rPr>
        <w:t xml:space="preserve"> (fluxo de PIX agendado) e a </w:t>
      </w:r>
      <w:r>
        <w:rPr>
          <w:rFonts w:ascii="Arial" w:hAnsi="Arial"/>
          <w:b/>
          <w:color w:val="333333"/>
          <w:sz w:val="22"/>
        </w:rPr>
        <w:t>plataforma CFP</w:t>
      </w:r>
      <w:r>
        <w:rPr>
          <w:rFonts w:ascii="Arial" w:hAnsi="Arial"/>
          <w:b w:val="0"/>
          <w:color w:val="333333"/>
          <w:sz w:val="22"/>
        </w:rPr>
        <w:t xml:space="preserve"> (Call for Papers, evoluindo depois para o </w:t>
      </w:r>
      <w:r>
        <w:rPr>
          <w:rFonts w:ascii="Arial" w:hAnsi="Arial"/>
          <w:b/>
          <w:color w:val="333333"/>
          <w:sz w:val="22"/>
        </w:rPr>
        <w:t>BragBot</w:t>
      </w:r>
      <w:r>
        <w:rPr>
          <w:rFonts w:ascii="Arial" w:hAnsi="Arial"/>
          <w:b w:val="0"/>
          <w:color w:val="333333"/>
          <w:sz w:val="22"/>
        </w:rPr>
        <w:t>) — evidencia uma tese central repetida em todos os capítulos: IA não substitui engenharia de software, ela potencializa quem já domina os fundamentos — arquitetura, especificação, validação e revisão crítica continuam sendo trabalho humano.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2. Conceitos Fundamentais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Engenharia de Requisitos e UX com IA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Conceito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Definição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System Prompt estruturado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Papel + objetivo + regras + formato de saída — padrão repetido em praticamente todo prompt profissional do curso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Edge Case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Cenário extremo ou pouco óbvio que impacta o comportamento do sistema (ex.: agendamento de PIX às 23h59 durante virada de dia)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UX Writing / Microcopy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Comunicação projetada da interface — cada mensagem exibida precisa ter intenção, clareza e contexto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Sanitização de Datasets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Remoção de PII e ruído de feedbacks reais preservando valor analítico — camada semântica que filtros tradicionais (regex) não alcançam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Prompt as Code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Tratar prompts como ativos versionados do projeto, com a mesma disciplina aplicada a código-fonte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</w:t>
      </w:r>
      <w:r>
        <w:rPr>
          <w:rFonts w:ascii="Arial" w:hAnsi="Arial"/>
          <w:b/>
          <w:color w:val="333333"/>
          <w:sz w:val="22"/>
        </w:rPr>
        <w:t>Regra fundamental:</w:t>
      </w:r>
      <w:r>
        <w:rPr>
          <w:rFonts w:ascii="Arial" w:hAnsi="Arial"/>
          <w:b w:val="0"/>
          <w:color w:val="333333"/>
          <w:sz w:val="22"/>
        </w:rPr>
        <w:t xml:space="preserve"> uma boa mensagem de erro não culpa o usuário ("dados inválidos") — ela orienta ("verifique os dados informados"). Esse princípio de UX Writing se conecta diretamente a acessibilidade: comunicação clara reduz carga cognitiva para qualquer perfil de usuário, não só para quem usa tecnologia assistiva.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Ambiente AI-Native no Frontend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Conceito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Definição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MCP (neste contexto)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Conexão do agente a um servidor especializado (ex.: MCP do Angular) que fornece documentação e boas práticas atualizadas, reduzindo o risco de código baseado em padrões desatualizados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Design Tokens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Menor unidade reutilizável do sistema visual (cor, fonte, espaçamento) — nomeada semanticamente (</w:t>
            </w:r>
            <w:r>
              <w:rPr>
                <w:rFonts w:ascii="Courier New" w:hAnsi="Courier New"/>
                <w:color w:val="333333"/>
                <w:sz w:val="20"/>
              </w:rPr>
              <w:t>cor-primaria</w:t>
            </w:r>
            <w:r>
              <w:rPr>
                <w:rFonts w:ascii="Arial" w:hAnsi="Arial"/>
                <w:b w:val="0"/>
                <w:color w:val="333333"/>
                <w:sz w:val="22"/>
              </w:rPr>
              <w:t>), não pelo valor literal (</w:t>
            </w:r>
            <w:r>
              <w:rPr>
                <w:rFonts w:ascii="Courier New" w:hAnsi="Courier New"/>
                <w:color w:val="333333"/>
                <w:sz w:val="20"/>
              </w:rPr>
              <w:t>azul</w:t>
            </w:r>
            <w:r>
              <w:rPr>
                <w:rFonts w:ascii="Arial" w:hAnsi="Arial"/>
                <w:b w:val="0"/>
                <w:color w:val="333333"/>
                <w:sz w:val="22"/>
              </w:rPr>
              <w:t>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Componente Acessível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Nasce com atributos ARIA, navegação por teclado e gerenciamento de foco desde a criação — corrigir depois é sempre mais caro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Prompt Garden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Biblioteca versionada de prompts especializados reutilizáveis pela equipe (geração de componente, UX Writing, sanitização etc.)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Multimodalidade (imagem → código)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Modelo interpreta uma imagem de Figma/Stitch e gera componente real, adaptado à arquitetura existente — não é cópia literal, é adaptação contextual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🎯 </w:t>
      </w:r>
      <w:r>
        <w:rPr>
          <w:rFonts w:ascii="Arial" w:hAnsi="Arial"/>
          <w:b/>
          <w:color w:val="333333"/>
          <w:sz w:val="22"/>
        </w:rPr>
        <w:t>Mentalidade correta:</w:t>
      </w:r>
      <w:r>
        <w:rPr>
          <w:rFonts w:ascii="Arial" w:hAnsi="Arial"/>
          <w:b w:val="0"/>
          <w:color w:val="333333"/>
          <w:sz w:val="22"/>
        </w:rPr>
        <w:t xml:space="preserve"> restringir escopo é uma das habilidades mais importantes ao trabalhar com agentes de codificação. Proibir explicitamente CSS solto, cores hexadecimais absolutas ou estilo inline evita que o agente "resolva visualmente" a tarefa da forma mais direta, quebrando o design system.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Orquestração de Agentes — Local, Paralela e em Nuvem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Conceito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Definição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Spec-Driven Development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Especificação estruturada (proposal, design, tasks) como artefato central antes de qualquer geração de código — contrato operacional entre pessoas e agentes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OpenSpec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Ferramenta agnóstica de fornecedor que instala "skills" (arquivos Markdown) orientando o agente por fase (exploração, proposta, design, aplicação)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Git WorkTree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Múltiplos workspaces físicos apontando para branches diferentes do mesmo repositório — isolamento sem duplicar o projeto inteiro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Agente síncrono vs. assíncrono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Local = copiloto acoplado à máquina do desenvolvedor; assíncrono (ex.: Google Jules) = ambiente efêmero na nuvem que clona, implementa, testa e abre PR de forma independente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Archive de especificação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Spec implementada vira baseline histórica — futuras specs herdam automaticamente decisões e padrões já estabelecidos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</w:t>
      </w:r>
      <w:r>
        <w:rPr>
          <w:rFonts w:ascii="Arial" w:hAnsi="Arial"/>
          <w:b/>
          <w:color w:val="333333"/>
          <w:sz w:val="22"/>
        </w:rPr>
        <w:t>Regra fundamental:</w:t>
      </w:r>
      <w:r>
        <w:rPr>
          <w:rFonts w:ascii="Arial" w:hAnsi="Arial"/>
          <w:b w:val="0"/>
          <w:color w:val="333333"/>
          <w:sz w:val="22"/>
        </w:rPr>
        <w:t xml:space="preserve"> especificação genérica ("crie um sistema de eventos") aumenta alucinação, inconsistência arquitetural e desperdício de tokens. Uma boa spec descreve também o que </w:t>
      </w:r>
      <w:r>
        <w:rPr>
          <w:rFonts w:ascii="Arial" w:hAnsi="Arial"/>
          <w:b/>
          <w:color w:val="333333"/>
          <w:sz w:val="22"/>
        </w:rPr>
        <w:t>não</w:t>
      </w:r>
      <w:r>
        <w:rPr>
          <w:rFonts w:ascii="Arial" w:hAnsi="Arial"/>
          <w:b w:val="0"/>
          <w:color w:val="333333"/>
          <w:sz w:val="22"/>
        </w:rPr>
        <w:t xml:space="preserve"> fazer — sem essa restrição explícita, o agente tende a inventar requisitos adicionais.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QA AI-Native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Estratégia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Vantagem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Trade-off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OpenSpec + Cypress tradicional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Barata, roda em CI/CD sem dependência contínua de IA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Frágil a mudanças estruturais (flaky tests)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Cypress </w:t>
            </w:r>
            <w:r>
              <w:rPr>
                <w:rFonts w:ascii="Courier New" w:hAnsi="Courier New"/>
                <w:color w:val="333333"/>
                <w:sz w:val="20"/>
              </w:rPr>
              <w:t>cy.prompt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(self-healing)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Automação semântica, autocorreção quando seletor muda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Lock-in na nuvem do Cypress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Playwright MCP (agente autônomo)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Máxima flexibilidade, funciona também como RPA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Custo computacional e consumo contínuo de tokens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⚡ </w:t>
      </w:r>
      <w:r>
        <w:rPr>
          <w:rFonts w:ascii="Arial" w:hAnsi="Arial"/>
          <w:b/>
          <w:color w:val="333333"/>
          <w:sz w:val="22"/>
        </w:rPr>
        <w:t>Performance/Custo:</w:t>
      </w:r>
      <w:r>
        <w:rPr>
          <w:rFonts w:ascii="Arial" w:hAnsi="Arial"/>
          <w:b w:val="0"/>
          <w:color w:val="333333"/>
          <w:sz w:val="22"/>
        </w:rPr>
        <w:t xml:space="preserve"> não existe solução universal — smoke tests rápidos usam Cypress tradicional, fluxos frágeis usam self-healing, sistemas legados sem API usam Playwright MCP como RPA. A combinação híbrida das três estratégias é citada como caminho mais provável para o mercado.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IA como Componente Arquitetural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Conceito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Definição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GenKit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Framework do Google, agnóstico de modelo (funciona via plugins — Gemini, OpenAI, outros), que abstrai chamadas a LLMs dentro de uma aplicação Node.js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Flow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Unidade de orquestração do GenKit — encapsula prompt, chamada ao modelo e validação de saída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Validação estrutural com Zod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Schema que garante que a resposta da LLM respeita um contrato — se não respeitar, lança exceção tratável, tirando a IA do reino do "texto solto"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Micro-BFF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Backend For Frontend simplificado (aqui, o próprio servidor SSR do Angular) que processa chamadas à LLM junto com a renderização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🔍 </w:t>
      </w:r>
      <w:r>
        <w:rPr>
          <w:rFonts w:ascii="Arial" w:hAnsi="Arial"/>
          <w:b/>
          <w:color w:val="333333"/>
          <w:sz w:val="22"/>
        </w:rPr>
        <w:t>Exemplo detalhado:</w:t>
      </w:r>
      <w:r>
        <w:rPr>
          <w:rFonts w:ascii="Arial" w:hAnsi="Arial"/>
          <w:b w:val="0"/>
          <w:color w:val="333333"/>
          <w:sz w:val="22"/>
        </w:rPr>
        <w:t xml:space="preserve"> sem GenKit, a aplicação chama diretamente a API de um único fornecedor, acoplando toda a arquitetura àquele provedor. Com GenKit, trocar de modelo é uma mudança de plugin, não uma reescrita — o mesmo raciocínio de abstração usado por ORMs para banco de dados, aplicado a LLMs.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3. Detalhes de Implementação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 Requirements Copilot para UX — PixApp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modelo, configurado como arquiteto/analista/UX sênior conforme o contexto, expande um requisito simples de PIX agendado em edge cases reais: validação de saldo no agendamento versus na execução, comportamento se a chave PIX for removida após o agendamento, tratamento da virada de dia às 23h59. O mesmo exercício mapeia estados de interface frequentemente esquecidos — carregamento, vazio, erro — que impactam diretamente a percepção de qualidade do usuário.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3.2 Diagramas Mermaid como Documentação Viva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Fluxos de jornada gerados em Mermaid (texto → diagrama) a partir do refinamento anterior, versionáveis no Git e renderizáveis nativamente em GitHub/VS Code — resolvendo o problema histórico de diagramas desatualizados por serem custosos de editar manualmente. O ciclo é iterativo: a IA gera um primeiro fluxo, o time discute, novos cenários aparecem, o diagrama evolui.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3.3 UX Writing Estruturado e Reutilizável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Em vez de textos soltos no código (hardcoded), o agente (perfil UX Writer) gera mensagens já no formato de arquivo de internacionalização (JSON) consumido pela aplicação — cobrindo sucesso, erro de saldo, limite excedido, timeout, cancelamento. Princípios aplicados: não culpar o usuário, orientar a próxima ação, manter terminologia consistente (nunca alternar "transferência"/"envio"/"remessa" para o mesmo conceito).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3.4 Sanitização de Datasets com Compliance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Agente configurado como "engenheiro de dados sênior + especialista em LGPD" processa feedbacks reais (reviews, tickets) removendo PII (CPF, telefone, e-mail) via substituição por marcadores neutros — preservando o valor analítico do relato (ex.: "trava ao agendar PIX no dia 31 no iPhone" mantém toda informação técnica útil mesmo após a sanitização). Saída estruturada em JSON alimenta pipelines de analytics e geração automática de tickets.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3.5 Structured Prompts — De Feedback a Backlog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Com o agente atuando como Tech Lead + Product Manager simultaneamente, feedbacks sanitizados são classificados por categoria (bug crítico, melhoria de UX, nova funcionalidade) e severidade, com agrupamento semântico de relatos equivalentes escritos com palavras diferentes ("travou", "tela branca", "fechou sozinho" → mesmo bug). Cada item gera ação proposta (ex.: erro de calendário → validação no DatePicker + tratamento de exceção no backend).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3.6 Setup Angular + MCP — PixApp no Antigravity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Ambiente configurado com Angular CLI + IDE agêntica (Antigravity, fork do VS Code) conectada ao </w:t>
      </w:r>
      <w:r>
        <w:rPr>
          <w:rFonts w:ascii="Arial" w:hAnsi="Arial"/>
          <w:b/>
          <w:color w:val="333333"/>
          <w:sz w:val="22"/>
        </w:rPr>
        <w:t>MCP do Angular</w:t>
      </w:r>
      <w:r>
        <w:rPr>
          <w:rFonts w:ascii="Arial" w:hAnsi="Arial"/>
          <w:b w:val="0"/>
          <w:color w:val="333333"/>
          <w:sz w:val="22"/>
        </w:rPr>
        <w:t>, garantindo que o agente use sintaxe atualizada (standalone components, signals) em vez de padrões desatualizados aprendidos no treinamento genérico do modelo. Primeira geração é deliberadamente restrita — HTML puro, sem CSS — para separar estrutura de estilização.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3.7 Design Tokens e Componentes Acessíveis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Briefing de marca (azul noturno, verde neon, tipografia Montserrat/Inter) convertido em variáveis CSS nativas nomeadas semanticamente. Modal de erro gerado com ARIA completo, fechamento via ESC e gerenciamento de foco, seguindo diretrizes W3C WCAG — construído via </w:t>
      </w:r>
      <w:r>
        <w:rPr>
          <w:rFonts w:ascii="Arial" w:hAnsi="Arial"/>
          <w:b/>
          <w:color w:val="333333"/>
          <w:sz w:val="22"/>
        </w:rPr>
        <w:t>Prompt Garden</w:t>
      </w:r>
      <w:r>
        <w:rPr>
          <w:rFonts w:ascii="Arial" w:hAnsi="Arial"/>
          <w:b w:val="0"/>
          <w:color w:val="333333"/>
          <w:sz w:val="22"/>
        </w:rPr>
        <w:t xml:space="preserve"> (arquivo de prompt versionado especificamente para geração de componentes acessíveis).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3.8 Do Stitch ao Angular — Comprovante PIX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Ferramenta Stitch (Google) gera protótipo visual completo (HTML + Tailwind) a partir de descrição textual. Como o projeto não usa Tailwind, um segundo agente refatora o protótipo para standalone component Angular consumindo os design tokens já existentes — demonstrando combinação de ferramentas especializadas em etapas diferentes do fluxo, não uma ferramenta única resolvendo tudo.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3.9 Handoff Figma → Angular — Extrato PIX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Modelo multimodal recebe imagem de alta fidelidade do Figma + especificações estruturais (Dev Mode) e gera componente Angular adaptado ao design system já existente — não uma cópia literal, mas integração arquitetural. Erro real de integração (import de biblioteca de ícones esquecido) reforça que revisão humana continua obrigatória mesmo em fluxos avançados.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3.10 Correção Pós-Geração — Contraste e Responsividade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Bug de acessibilidade real (texto escuro sobre fundo escuro no comprovante) corrigido com instrução pontual reutilizando token já existente (</w:t>
      </w:r>
      <w:r>
        <w:rPr>
          <w:rFonts w:ascii="Courier New" w:hAnsi="Courier New"/>
          <w:color w:val="333333"/>
          <w:sz w:val="20"/>
        </w:rPr>
        <w:t>varColorTextLight</w:t>
      </w:r>
      <w:r>
        <w:rPr>
          <w:rFonts w:ascii="Arial" w:hAnsi="Arial"/>
          <w:b w:val="0"/>
          <w:color w:val="333333"/>
          <w:sz w:val="22"/>
        </w:rPr>
        <w:t>) — sem necessidade de novo System Prompt complexo. Problemas de responsividade mobile (menu esmagando a tela) corrigidos com Signal de estado (</w:t>
      </w:r>
      <w:r>
        <w:rPr>
          <w:rFonts w:ascii="Courier New" w:hAnsi="Courier New"/>
          <w:color w:val="333333"/>
          <w:sz w:val="20"/>
        </w:rPr>
        <w:t>isMenuOpen</w:t>
      </w:r>
      <w:r>
        <w:rPr>
          <w:rFonts w:ascii="Arial" w:hAnsi="Arial"/>
          <w:b w:val="0"/>
          <w:color w:val="333333"/>
          <w:sz w:val="22"/>
        </w:rPr>
        <w:t>) e media queries, reforçando que front-end assistido por IA exige tanta ou mais validação visual manual (DevTools) quanto desenvolvimento tradicional.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3.11 Monorepo Nx — Plataforma CFP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Workspace Nx unificando Angular (front-end), NestJS (back-end) e uma biblioteca compartilhada de tipos — contratos definidos uma vez (</w:t>
      </w:r>
      <w:r>
        <w:rPr>
          <w:rFonts w:ascii="Courier New" w:hAnsi="Courier New"/>
          <w:color w:val="333333"/>
          <w:sz w:val="20"/>
        </w:rPr>
        <w:t>SpeakerDTO</w:t>
      </w:r>
      <w:r>
        <w:rPr>
          <w:rFonts w:ascii="Arial" w:hAnsi="Arial"/>
          <w:b w:val="0"/>
          <w:color w:val="333333"/>
          <w:sz w:val="22"/>
        </w:rPr>
        <w:t>) e consumidos por ambas as camadas, eliminando duplicação e divergência silenciosa. MCP do Nx melhora a assertividade do agente sobre a estrutura do workspace, reduzindo tentativa e erro (e, por consequência, consumo de tokens).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3.12 Spec-Driven Development com OpenSpec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Especificação da feature de submissão de palestras gerada com contexto detalhado (frameworks obrigatórios, uso de Signals, ARIA, testes) e restrições explícitas do que evitar (sem autenticação desnecessária, sem upload sem necessidade). Três artefatos resultantes — </w:t>
      </w:r>
      <w:r>
        <w:rPr>
          <w:rFonts w:ascii="Courier New" w:hAnsi="Courier New"/>
          <w:color w:val="333333"/>
          <w:sz w:val="20"/>
        </w:rPr>
        <w:t>proposal.md</w:t>
      </w:r>
      <w:r>
        <w:rPr>
          <w:rFonts w:ascii="Arial" w:hAnsi="Arial"/>
          <w:b w:val="0"/>
          <w:color w:val="333333"/>
          <w:sz w:val="22"/>
        </w:rPr>
        <w:t xml:space="preserve"> (o quê), </w:t>
      </w:r>
      <w:r>
        <w:rPr>
          <w:rFonts w:ascii="Courier New" w:hAnsi="Courier New"/>
          <w:color w:val="333333"/>
          <w:sz w:val="20"/>
        </w:rPr>
        <w:t>design.md</w:t>
      </w:r>
      <w:r>
        <w:rPr>
          <w:rFonts w:ascii="Arial" w:hAnsi="Arial"/>
          <w:b w:val="0"/>
          <w:color w:val="333333"/>
          <w:sz w:val="22"/>
        </w:rPr>
        <w:t xml:space="preserve"> (como), </w:t>
      </w:r>
      <w:r>
        <w:rPr>
          <w:rFonts w:ascii="Courier New" w:hAnsi="Courier New"/>
          <w:color w:val="333333"/>
          <w:sz w:val="20"/>
        </w:rPr>
        <w:t>tasks.md</w:t>
      </w:r>
      <w:r>
        <w:rPr>
          <w:rFonts w:ascii="Arial" w:hAnsi="Arial"/>
          <w:b w:val="0"/>
          <w:color w:val="333333"/>
          <w:sz w:val="22"/>
        </w:rPr>
        <w:t xml:space="preserve"> (plano operacional dividido por front-end/back-end/integração) — versionados no repositório como Prompt as Code.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3.13 Orquestração Paralela com Git WorkTree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Dois WorkTrees (branches isoladas para API e UI) permitem que dois agentes trabalhem simultaneamente sem colisão de arquivos, cada um aplicando apenas seu subconjunto de tasks via </w:t>
      </w:r>
      <w:r>
        <w:rPr>
          <w:rFonts w:ascii="Courier New" w:hAnsi="Courier New"/>
          <w:color w:val="333333"/>
          <w:sz w:val="20"/>
        </w:rPr>
        <w:t>openspec apply</w:t>
      </w:r>
      <w:r>
        <w:rPr>
          <w:rFonts w:ascii="Arial" w:hAnsi="Arial"/>
          <w:b w:val="0"/>
          <w:color w:val="333333"/>
          <w:sz w:val="22"/>
        </w:rPr>
        <w:t>. Estratégia de modelo diferenciada por complexidade de tarefa (modelo mais forte para raciocínio/planejamento, mais barato para execução repetitiva) e validação automática (agente abre navegador, testa rotas) complementam o fluxo — sempre sob supervisão humana antes do merge final.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3.14 Agente Assíncrono na Nuvem — Google Jules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Tarefa delegada a um ambiente efêmero que clona o repositório, implementa (DTO compartilhado, endpoint NestJS, formulário Angular com Reactive Forms), roda testes, captura evidências visuais e abre Pull Request — tratado exatamente como contribuição de outro desenvolvedor: revisão, comentário, aprovação e merge, nunca acesso irrestrito a produção ou branch principal.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3.15 QA — Cypress no Nx via OpenSpec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Spec </w:t>
      </w:r>
      <w:r>
        <w:rPr>
          <w:rFonts w:ascii="Courier New" w:hAnsi="Courier New"/>
          <w:color w:val="333333"/>
          <w:sz w:val="20"/>
        </w:rPr>
        <w:t>createEventTest</w:t>
      </w:r>
      <w:r>
        <w:rPr>
          <w:rFonts w:ascii="Arial" w:hAnsi="Arial"/>
          <w:b w:val="0"/>
          <w:color w:val="333333"/>
          <w:sz w:val="22"/>
        </w:rPr>
        <w:t xml:space="preserve"> gera cenários de sucesso e erro para o formulário de cadastro de eventos, restringindo explicitamente a sintaxe tradicional do Cypress (</w:t>
      </w:r>
      <w:r>
        <w:rPr>
          <w:rFonts w:ascii="Courier New" w:hAnsi="Courier New"/>
          <w:color w:val="333333"/>
          <w:sz w:val="20"/>
        </w:rPr>
        <w:t>get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contains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should</w:t>
      </w:r>
      <w:r>
        <w:rPr>
          <w:rFonts w:ascii="Arial" w:hAnsi="Arial"/>
          <w:b w:val="0"/>
          <w:color w:val="333333"/>
          <w:sz w:val="22"/>
        </w:rPr>
        <w:t>), sem bibliotecas externas. O agente identifica sozinho a coexistência necessária com Playwright já configurado no workspace — evidência de análise contextual, não apenas geração cega de código.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 xml:space="preserve">3.16 Self-Healing com </w:t>
      </w:r>
      <w:r>
        <w:rPr>
          <w:rFonts w:ascii="Courier New" w:hAnsi="Courier New"/>
          <w:color w:val="1F4D78"/>
          <w:sz w:val="22"/>
        </w:rPr>
        <w:t>cy.prompt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Reescrita do mesmo teste usando instruções semânticas ("clique no botão de salvar", "verifique mensagem de sucesso") em vez de seletores técnicos. Ao alterar deliberadamente a classe CSS do botão, o teste tradicional quebra imediatamente; o teste baseado em </w:t>
      </w:r>
      <w:r>
        <w:rPr>
          <w:rFonts w:ascii="Courier New" w:hAnsi="Courier New"/>
          <w:color w:val="333333"/>
          <w:sz w:val="20"/>
        </w:rPr>
        <w:t>cy.prompt</w:t>
      </w:r>
      <w:r>
        <w:rPr>
          <w:rFonts w:ascii="Arial" w:hAnsi="Arial"/>
          <w:b w:val="0"/>
          <w:color w:val="333333"/>
          <w:sz w:val="22"/>
        </w:rPr>
        <w:t xml:space="preserve"> se autocorrige, reinterpretando a interface e gerando novo caminho válido — trade-off explícito: menos fragilidade, mais dependência da nuvem proprietária do Cypress.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3.17 Playwright MCP como Agente Autônomo de QA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Sem escrever nenhum código de teste tradicional, um prompt operacional ("suba o ambiente, preencha o formulário com dados realistas, valide a mensagem de sucesso") é executado diretamente pelo agente controlando o navegador via MCP — o mesmo padrão citado como aplicável a RPA (automação de sistemas legados sem API, através da interface web).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3.18 GenKit e o BragBot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Projeto final (diário de conquistas profissionais) usa Angular SSR também como backend simplificado, com GenKit + plugin Google AI configurados, API Key protegida via </w:t>
      </w:r>
      <w:r>
        <w:rPr>
          <w:rFonts w:ascii="Courier New" w:hAnsi="Courier New"/>
          <w:color w:val="333333"/>
          <w:sz w:val="20"/>
        </w:rPr>
        <w:t>.env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.gitignore</w:t>
      </w:r>
      <w:r>
        <w:rPr>
          <w:rFonts w:ascii="Arial" w:hAnsi="Arial"/>
          <w:b w:val="0"/>
          <w:color w:val="333333"/>
          <w:sz w:val="22"/>
        </w:rPr>
        <w:t>, e MCP do GenKit validando a comunicação com os modelos disponíveis. Interface inicial construída com dados mockados (Signals para lista de conquistas e estado de loading) antes de qualquer integração real — validando fluxo visual isoladamente do backend de IA.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4. Analogias Java/Spring Boot e Go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Conceito Front-end + IA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Equivalente Java/Spring Boot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Equivalente Go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System Prompt estruturado (papel/objetivo/regras/saída)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Contrato de interface + Javadoc explicando pré-condições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Comentário de pacote (</w:t>
            </w:r>
            <w:r>
              <w:rPr>
                <w:rFonts w:ascii="Courier New" w:hAnsi="Courier New"/>
                <w:color w:val="333333"/>
                <w:sz w:val="20"/>
              </w:rPr>
              <w:t>// Package x faz...</w:t>
            </w:r>
            <w:r>
              <w:rPr>
                <w:rFonts w:ascii="Arial" w:hAnsi="Arial"/>
                <w:b w:val="0"/>
                <w:color w:val="333333"/>
                <w:sz w:val="22"/>
              </w:rPr>
              <w:t>) + assinatura de função explícita como contrato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MCP do Angular/Nx orientando o agente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Starter do Spring Boot injetando convenções via auto-configuração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go generate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+ linters (</w:t>
            </w:r>
            <w:r>
              <w:rPr>
                <w:rFonts w:ascii="Courier New" w:hAnsi="Courier New"/>
                <w:color w:val="333333"/>
                <w:sz w:val="20"/>
              </w:rPr>
              <w:t>golangci-lint</w:t>
            </w:r>
            <w:r>
              <w:rPr>
                <w:rFonts w:ascii="Arial" w:hAnsi="Arial"/>
                <w:b w:val="0"/>
                <w:color w:val="333333"/>
                <w:sz w:val="22"/>
              </w:rPr>
              <w:t>) aplicando convenções do time automaticamente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Design Tokens (variáveis semânticas)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application.yml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com propriedades nomeadas por função (</w:t>
            </w:r>
            <w:r>
              <w:rPr>
                <w:rFonts w:ascii="Courier New" w:hAnsi="Courier New"/>
                <w:color w:val="333333"/>
                <w:sz w:val="20"/>
              </w:rPr>
              <w:t>app.color.primary</w:t>
            </w:r>
            <w:r>
              <w:rPr>
                <w:rFonts w:ascii="Arial" w:hAnsi="Arial"/>
                <w:b w:val="0"/>
                <w:color w:val="333333"/>
                <w:sz w:val="22"/>
              </w:rPr>
              <w:t>), não por valor literal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Pacote </w:t>
            </w:r>
            <w:r>
              <w:rPr>
                <w:rFonts w:ascii="Courier New" w:hAnsi="Courier New"/>
                <w:color w:val="333333"/>
                <w:sz w:val="20"/>
              </w:rPr>
              <w:t>config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centralizando constantes nomeadas por função, nunca "magic values" espalhados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Prompt as Code (versionado no repositório)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Arquivo de configuração do Spring versionado junto ao código-fonte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Arquivo </w:t>
            </w:r>
            <w:r>
              <w:rPr>
                <w:rFonts w:ascii="Courier New" w:hAnsi="Courier New"/>
                <w:color w:val="333333"/>
                <w:sz w:val="20"/>
              </w:rPr>
              <w:t>.go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de configuração versionado no mesmo módulo, sem segredos hardcoded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Spec-Driven Development (proposal/design/tasks)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Documento de RFC/ADR (Architecture Decision Record) antes da implementação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Design doc estilo Go proposal (padrão usado pelo próprio time da linguagem) antes de codificar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Git WorkTree para agentes paralelos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Múltiplos workspaces de IDE apontando para branches Git distintas de um monorepo Maven/Gradle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Courier New" w:hAnsi="Courier New"/>
                <w:color w:val="333333"/>
                <w:sz w:val="20"/>
              </w:rPr>
              <w:t>go.work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(workspace mode) referenciando múltiplos módulos em paralelo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Validação Zod da resposta da LLM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Bean Validation (</w:t>
            </w:r>
            <w:r>
              <w:rPr>
                <w:rFonts w:ascii="Courier New" w:hAnsi="Courier New"/>
                <w:color w:val="333333"/>
                <w:sz w:val="20"/>
              </w:rPr>
              <w:t>@Valid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, </w:t>
            </w:r>
            <w:r>
              <w:rPr>
                <w:rFonts w:ascii="Courier New" w:hAnsi="Courier New"/>
                <w:color w:val="333333"/>
                <w:sz w:val="20"/>
              </w:rPr>
              <w:t>@NotNull</w:t>
            </w:r>
            <w:r>
              <w:rPr>
                <w:rFonts w:ascii="Arial" w:hAnsi="Arial"/>
                <w:b w:val="0"/>
                <w:color w:val="333333"/>
                <w:sz w:val="22"/>
              </w:rPr>
              <w:t>) rejeitando objeto malformado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Struct tags + validação explícita (</w:t>
            </w:r>
            <w:r>
              <w:rPr>
                <w:rFonts w:ascii="Courier New" w:hAnsi="Courier New"/>
                <w:color w:val="333333"/>
                <w:sz w:val="20"/>
              </w:rPr>
              <w:t>validator.Struct()</w:t>
            </w:r>
            <w:r>
              <w:rPr>
                <w:rFonts w:ascii="Arial" w:hAnsi="Arial"/>
                <w:b w:val="0"/>
                <w:color w:val="333333"/>
                <w:sz w:val="22"/>
              </w:rPr>
              <w:t>) rejeitando payload fora do contrato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GenKit abstraindo o fornecedor de LLM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Interface </w:t>
            </w:r>
            <w:r>
              <w:rPr>
                <w:rFonts w:ascii="Courier New" w:hAnsi="Courier New"/>
                <w:color w:val="333333"/>
                <w:sz w:val="20"/>
              </w:rPr>
              <w:t>PaymentGateway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com implementações trocáveis via </w:t>
            </w:r>
            <w:r>
              <w:rPr>
                <w:rFonts w:ascii="Courier New" w:hAnsi="Courier New"/>
                <w:color w:val="333333"/>
                <w:sz w:val="20"/>
              </w:rPr>
              <w:t>@Qualifier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Interface Go implementada por múltiplos providers, injetada por composição, sem acoplamento ao pacote concreto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Self-healing do Cypress (</w:t>
            </w:r>
            <w:r>
              <w:rPr>
                <w:rFonts w:ascii="Courier New" w:hAnsi="Courier New"/>
                <w:color w:val="333333"/>
                <w:sz w:val="20"/>
              </w:rPr>
              <w:t>cy.prompt</w:t>
            </w:r>
            <w:r>
              <w:rPr>
                <w:rFonts w:ascii="Arial" w:hAnsi="Arial"/>
                <w:b w:val="0"/>
                <w:color w:val="333333"/>
                <w:sz w:val="22"/>
              </w:rPr>
              <w:t>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Teste de contrato (Pact) tolerante a mudança de implementação, desde que o contrato se mantenha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Teste de integração em Go usando </w:t>
            </w:r>
            <w:r>
              <w:rPr>
                <w:rFonts w:ascii="Courier New" w:hAnsi="Courier New"/>
                <w:color w:val="333333"/>
                <w:sz w:val="20"/>
              </w:rPr>
              <w:t>httptest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com asserção por comportamento, não por string exata de resposta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💡 </w:t>
      </w:r>
      <w:r>
        <w:rPr>
          <w:rFonts w:ascii="Arial" w:hAnsi="Arial"/>
          <w:b/>
          <w:color w:val="333333"/>
          <w:sz w:val="22"/>
        </w:rPr>
        <w:t>Analogia arquitetural completa:</w:t>
      </w:r>
      <w:r>
        <w:rPr>
          <w:rFonts w:ascii="Arial" w:hAnsi="Arial"/>
          <w:b w:val="0"/>
          <w:color w:val="333333"/>
          <w:sz w:val="22"/>
        </w:rPr>
        <w:t xml:space="preserve"> o par Stitch (protótipo) → Antigravity com MCP (refatoração para a stack real) se comporta como um DTO externo sendo mapeado para uma entidade de domínio — em Java, via </w:t>
      </w:r>
      <w:r>
        <w:rPr>
          <w:rFonts w:ascii="Courier New" w:hAnsi="Courier New"/>
          <w:color w:val="333333"/>
          <w:sz w:val="20"/>
        </w:rPr>
        <w:t>ModelMapper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MapStruct</w:t>
      </w:r>
      <w:r>
        <w:rPr>
          <w:rFonts w:ascii="Arial" w:hAnsi="Arial"/>
          <w:b w:val="0"/>
          <w:color w:val="333333"/>
          <w:sz w:val="22"/>
        </w:rPr>
        <w:t xml:space="preserve">; em Go, via uma função explícita </w:t>
      </w:r>
      <w:r>
        <w:rPr>
          <w:rFonts w:ascii="Courier New" w:hAnsi="Courier New"/>
          <w:color w:val="333333"/>
          <w:sz w:val="20"/>
        </w:rPr>
        <w:t>func FromDTO(d DTO) Domain</w:t>
      </w:r>
      <w:r>
        <w:rPr>
          <w:rFonts w:ascii="Arial" w:hAnsi="Arial"/>
          <w:b w:val="0"/>
          <w:color w:val="333333"/>
          <w:sz w:val="22"/>
        </w:rPr>
        <w:t>. Em nenhum dos dois mundos aceitamos o formato externo "cru" dentro da arquitetura interna sem adaptação.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5. Escalabilidade e Produção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Limitações do Approach Didático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Simplificação do curso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Prática recomendada em produção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Um único agente local por vez (maior parte do módulo 1-2)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Em times maiores, WorkTree + orquestração paralela desde o início evita gargalo de agente único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Credenciais de exemplo em </w:t>
            </w:r>
            <w:r>
              <w:rPr>
                <w:rFonts w:ascii="Courier New" w:hAnsi="Courier New"/>
                <w:color w:val="333333"/>
                <w:sz w:val="20"/>
              </w:rPr>
              <w:t>.env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local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Cofre de segredos (Vault/Secrets Manager) + rotação, nunca </w:t>
            </w:r>
            <w:r>
              <w:rPr>
                <w:rFonts w:ascii="Courier New" w:hAnsi="Courier New"/>
                <w:color w:val="333333"/>
                <w:sz w:val="20"/>
              </w:rPr>
              <w:t>.env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em ambientes compartilhados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Cypress Cloud / Playwright MCP com custo não detalhado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Medir consumo de tokens/execução antes de adotar em escala — CI/CD com centenas de execuções diárias multiplica custo rapidamente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GenKit + Angular SSR como "backend simplificado"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Em arquitetura enterprise real, separar microsserviço de IA dedicado, com observabilidade e escala independentes do front-end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Segurança e Governança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⚡ </w:t>
      </w:r>
      <w:r>
        <w:rPr>
          <w:rFonts w:ascii="Arial" w:hAnsi="Arial"/>
          <w:b/>
          <w:color w:val="333333"/>
          <w:sz w:val="22"/>
        </w:rPr>
        <w:t>Dica de produção:</w:t>
      </w:r>
      <w:r>
        <w:rPr>
          <w:rFonts w:ascii="Arial" w:hAnsi="Arial"/>
          <w:b w:val="0"/>
          <w:color w:val="333333"/>
          <w:sz w:val="22"/>
        </w:rPr>
        <w:t xml:space="preserve"> nunca conceder a um agente de codificação acesso irrestrito ao workspace sem escopo, restrições e revisão antes da execução — o padrão "o agente propõe, o desenvolvedor aprova" (plano antes da aplicação) citado repetidamente no módulo é o que diferencia um copiloto de uma automação cega e arriscada.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Recomendações para Escalar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Trate agentes assíncronos (Google Jules e equivalentes) exatamente como outro desenvolvedor: nunca merge direto na branch principal sem Pull Request revisado.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Combine estratégias de teste conforme o cenário (Cypress tradicional para smoke test barato, self-healing para fluxos instáveis, Playwright MCP para RPA de sistemas legados) em vez de escolher uma única abordagem para tudo.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Instrumente o front-end com atributos estáveis de automação (</w:t>
      </w:r>
      <w:r>
        <w:rPr>
          <w:rFonts w:ascii="Courier New" w:hAnsi="Courier New"/>
          <w:color w:val="333333"/>
          <w:sz w:val="20"/>
        </w:rPr>
        <w:t>data-cy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data-testid</w:t>
      </w:r>
      <w:r>
        <w:rPr>
          <w:rFonts w:ascii="Arial" w:hAnsi="Arial"/>
          <w:b w:val="0"/>
          <w:color w:val="333333"/>
          <w:sz w:val="22"/>
        </w:rPr>
        <w:t>) desde o design do componente — testabilidade é decisão arquitetural, não um retrofit.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6. Conexões entre Módulos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Módulo do curso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Como se conecta com Ferramentas de IA para UX &amp; UI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Fundamentos de IA e LLMs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Multimodalidade (imagem → código) e prompt engineering estrutural sustentam toda a trilha de Stitch/Figma até Angular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APIs de IA Generativa e Prompt Engineering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RAG (contexto do design system injetado no prompt) e Structured Output (JSON de UX Writing/backlog) reaparecem aqui aplicados a front-end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Model Context Protocol (MCP)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MCP do Angular/Nx/Playwright/GenKit é a mesma arquitetura de exposição de ferramentas ao agente estudada naquele módulo, agora aplicada a frameworks front-end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Criação de Agentes Autônomos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Orquestração multiagente com WorkTree e agente manager equivalem à hierarquia de agentes vista naquele módulo, aplicada a desenvolvimento paralelo de features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Ferramentas de IA para DevOps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 padrão "plano antes da execução" e Human in the Loop reaparecem aqui como "o agente propõe, o desenvolvedor aprova" antes de qualquer alteração de código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Glossário do Módulo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Termo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Definição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Edge Case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Cenário extremo ou incomum que precisa ser tratado explicitamente na especificação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UX Writing / Microcopy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Comunicação textual projetada da interface — tom, clareza, orientação de ação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PII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Personally Identifiable Information — dado que permite identificar um indivíduo, alvo de sanitização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Prompt as Code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Prática de versionar e organizar prompts como qualquer outro artefato técnico do projeto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MCP (Model Context Protocol)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Protocolo que conecta agentes a servidores especializados de ferramentas e documentação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Design Token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Menor unidade reutilizável de um sistema visual, nomeada semanticamente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ARIA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Conjunto de atributos HTML que enriquece semanticamente a interface para tecnologias assistivas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WCAG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Diretrizes de acessibilidade web da W3C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Prompt Garden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Biblioteca versionada de prompts especializados e reutilizáveis da equipe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Spec-Driven Development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Desenvolvimento guiado por especificação estruturada (proposal/design/tasks) antes da geração de código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OpenSpec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Ferramenta open source e agnóstica de fornecedor para Spec-Driven Development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Git WorkTree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Múltiplos workspaces físicos vinculados a branches diferentes do mesmo repositório Git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Agente Síncrono / Assíncrono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Copiloto local acoplado à máquina vs. agente autônomo executando em ambiente de nuvem efêmero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Flaky Test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Teste automatizado frágil que quebra por mudanças não funcionais (CSS, texto)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Self-Healing (testes)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Capacidade de um teste se adaptar automaticamente quando a interface muda estruturalmente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RPA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Robotic Process Automation — automação de tarefas repetitivas via manipulação de interface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GenKit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Framework do Google para orquestração de LLMs em aplicações Node.js, agnóstico de modelo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Flow (GenKit)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Unidade de orquestração que encapsula prompt, chamada ao modelo e validação de saída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SSR (Server Side Rendering)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Renderização no servidor — usada no módulo final também como camada de processamento de IA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Resumo unificado: livro + laboratórios práticos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Álvaro Camillo Neto • UNIPDS • Rafael Mattos Moreira •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