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2E74B5"/>
          <w:sz w:val="40"/>
        </w:rPr>
        <w:t>Model Context Protocol (MCP)</w:t>
      </w:r>
    </w:p>
    <w:p>
      <w:pPr>
        <w:spacing w:after="40"/>
      </w:pPr>
      <w:r>
        <w:rPr>
          <w:rFonts w:ascii="Arial" w:hAnsi="Arial"/>
          <w:b/>
          <w:color w:val="2E74B5"/>
          <w:sz w:val="24"/>
        </w:rPr>
        <w:t>Pós-Graduação em Engenharia de Software com IA Aplicada — UNIPDS</w:t>
      </w:r>
    </w:p>
    <w:p>
      <w:pPr>
        <w:spacing w:after="40"/>
      </w:pPr>
      <w:r>
        <w:rPr>
          <w:rFonts w:ascii="Arial" w:hAnsi="Arial"/>
          <w:i/>
          <w:color w:val="555555"/>
          <w:sz w:val="20"/>
        </w:rPr>
        <w:t>Erick Wendel · Rafael Mattos Moreira — Resumo de estudo técnico · 2026</w:t>
      </w:r>
    </w:p>
    <w:p>
      <w:pPr>
        <w:spacing w:after="120"/>
      </w:pPr>
    </w:p>
    <w:p>
      <w:pPr>
        <w:pStyle w:val="Heading2"/>
        <w:spacing w:before="360" w:after="160"/>
      </w:pPr>
      <w:r>
        <w:rPr>
          <w:rFonts w:ascii="Arial" w:hAnsi="Arial"/>
          <w:b/>
          <w:color w:val="2E74B5"/>
          <w:sz w:val="28"/>
        </w:rPr>
        <w:t>1. Visão Geral do Módulo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 xml:space="preserve">O módulo de MCP apresenta o Model Context Protocol como a camada de integração entre modelos de linguagem e sistemas reais (legados ou modernos). O aluno aprende a criar servidores MCP do zero, expondo </w:t>
      </w:r>
      <w:r>
        <w:rPr>
          <w:rFonts w:ascii="Arial" w:hAnsi="Arial"/>
          <w:b/>
          <w:color w:val="333333"/>
          <w:sz w:val="22"/>
        </w:rPr>
        <w:t>tools</w:t>
      </w:r>
      <w:r>
        <w:rPr>
          <w:rFonts w:ascii="Arial" w:hAnsi="Arial"/>
          <w:b w:val="0"/>
          <w:color w:val="333333"/>
          <w:sz w:val="22"/>
        </w:rPr>
        <w:t xml:space="preserve">, </w:t>
      </w:r>
      <w:r>
        <w:rPr>
          <w:rFonts w:ascii="Arial" w:hAnsi="Arial"/>
          <w:b/>
          <w:color w:val="333333"/>
          <w:sz w:val="22"/>
        </w:rPr>
        <w:t>resources</w:t>
      </w:r>
      <w:r>
        <w:rPr>
          <w:rFonts w:ascii="Arial" w:hAnsi="Arial"/>
          <w:b w:val="0"/>
          <w:color w:val="333333"/>
          <w:sz w:val="22"/>
        </w:rPr>
        <w:t xml:space="preserve"> e </w:t>
      </w:r>
      <w:r>
        <w:rPr>
          <w:rFonts w:ascii="Arial" w:hAnsi="Arial"/>
          <w:b/>
          <w:color w:val="333333"/>
          <w:sz w:val="22"/>
        </w:rPr>
        <w:t>prompts</w:t>
      </w:r>
      <w:r>
        <w:rPr>
          <w:rFonts w:ascii="Arial" w:hAnsi="Arial"/>
          <w:b w:val="0"/>
          <w:color w:val="333333"/>
          <w:sz w:val="22"/>
        </w:rPr>
        <w:t xml:space="preserve"> para que LLMs possam interagir com APIs, bancos de dados e sistemas internos de forma segura, versionada e governada. O módulo cobre desde a teoria de abstração de domínio até a publicação em NPM público/privado e integração com LangChain.js.</w:t>
      </w:r>
    </w:p>
    <w:p>
      <w:pPr>
        <w:pStyle w:val="Heading2"/>
        <w:spacing w:before="360" w:after="160"/>
      </w:pPr>
      <w:r>
        <w:rPr>
          <w:rFonts w:ascii="Arial" w:hAnsi="Arial"/>
          <w:b/>
          <w:color w:val="2E74B5"/>
          <w:sz w:val="28"/>
        </w:rPr>
        <w:t>2. Conceitos Fundamentais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1F4D78"/>
          <w:sz w:val="24"/>
        </w:rPr>
        <w:t>O Problema de Integração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6E4F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333333"/>
                <w:sz w:val="22"/>
              </w:rPr>
              <w:t>Modelo</w:t>
            </w:r>
          </w:p>
        </w:tc>
        <w:tc>
          <w:tcPr>
            <w:tcW w:type="dxa" w:w="2880"/>
            <w:shd w:val="clear" w:fill="D6E4F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333333"/>
                <w:sz w:val="22"/>
              </w:rPr>
              <w:t>Descrição</w:t>
            </w:r>
          </w:p>
        </w:tc>
        <w:tc>
          <w:tcPr>
            <w:tcW w:type="dxa" w:w="2880"/>
            <w:shd w:val="clear" w:fill="D6E4F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333333"/>
                <w:sz w:val="22"/>
              </w:rPr>
              <w:t>Limitação</w:t>
            </w:r>
          </w:p>
        </w:tc>
      </w:tr>
      <w:tr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333333"/>
                <w:sz w:val="22"/>
              </w:rPr>
              <w:t>Plugins ChatGPT</w:t>
            </w:r>
            <w:r>
              <w:rPr>
                <w:rFonts w:ascii="Arial" w:hAnsi="Arial"/>
                <w:b w:val="0"/>
                <w:color w:val="333333"/>
                <w:sz w:val="22"/>
              </w:rPr>
              <w:t xml:space="preserve"> (mar/2023)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Integrações acopladas à interface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Difícil de escalar e versionar</w:t>
            </w:r>
          </w:p>
        </w:tc>
      </w:tr>
      <w:tr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333333"/>
                <w:sz w:val="22"/>
              </w:rPr>
              <w:t>Function Calling</w:t>
            </w:r>
            <w:r>
              <w:rPr>
                <w:rFonts w:ascii="Arial" w:hAnsi="Arial"/>
                <w:b w:val="0"/>
                <w:color w:val="333333"/>
                <w:sz w:val="22"/>
              </w:rPr>
              <w:t xml:space="preserve"> (jun/2023)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Funções descritas ao modelo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Descoberta manual, sem contexto amplo</w:t>
            </w:r>
          </w:p>
        </w:tc>
      </w:tr>
      <w:tr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333333"/>
                <w:sz w:val="22"/>
              </w:rPr>
              <w:t>MCP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Protocolo cliente-servidor com tools, resources e prompts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Exige engenharia bem-feita</w:t>
            </w:r>
          </w:p>
        </w:tc>
      </w:tr>
    </w:tbl>
    <w:p>
      <w:pPr>
        <w:spacing w:after="80"/>
      </w:pPr>
    </w:p>
    <w:p>
      <w:pPr>
        <w:spacing w:before="120" w:after="120"/>
        <w:ind w:left="360" w:right="360"/>
        <w:shd w:val="clear" w:fill="F5F5F5"/>
        <w:pBdr>
          <w:left w:val="single" w:color="2E75B6" w:sz="4" w:space="10"/>
        </w:pBdr>
      </w:pPr>
      <w:r>
        <w:rPr>
          <w:rFonts w:ascii="Arial" w:hAnsi="Arial"/>
          <w:b w:val="0"/>
          <w:color w:val="333333"/>
          <w:sz w:val="22"/>
        </w:rPr>
        <w:t xml:space="preserve">🔑 </w:t>
      </w:r>
      <w:r>
        <w:rPr>
          <w:rFonts w:ascii="Arial" w:hAnsi="Arial"/>
          <w:b/>
          <w:color w:val="333333"/>
          <w:sz w:val="22"/>
        </w:rPr>
        <w:t>Regra fundamental:</w:t>
      </w:r>
      <w:r>
        <w:rPr>
          <w:rFonts w:ascii="Arial" w:hAnsi="Arial"/>
          <w:b w:val="0"/>
          <w:color w:val="333333"/>
          <w:sz w:val="22"/>
        </w:rPr>
        <w:t xml:space="preserve"> MCP não substitui APIs nem elimina sistemas legados. Ele cria uma </w:t>
      </w:r>
      <w:r>
        <w:rPr>
          <w:rFonts w:ascii="Arial" w:hAnsi="Arial"/>
          <w:b/>
          <w:color w:val="333333"/>
          <w:sz w:val="22"/>
        </w:rPr>
        <w:t>camada de adaptação</w:t>
      </w:r>
      <w:r>
        <w:rPr>
          <w:rFonts w:ascii="Arial" w:hAnsi="Arial"/>
          <w:b w:val="0"/>
          <w:color w:val="333333"/>
          <w:sz w:val="22"/>
        </w:rPr>
        <w:t xml:space="preserve"> que permite ao modelo compreender contexto, explorar capacidades e tomar decisões informadas antes de executar ações.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1F4D78"/>
          <w:sz w:val="24"/>
        </w:rPr>
        <w:t>Os Três Pilares do MCP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6E4F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333333"/>
                <w:sz w:val="22"/>
              </w:rPr>
              <w:t>Pilar</w:t>
            </w:r>
          </w:p>
        </w:tc>
        <w:tc>
          <w:tcPr>
            <w:tcW w:type="dxa" w:w="2880"/>
            <w:shd w:val="clear" w:fill="D6E4F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333333"/>
                <w:sz w:val="22"/>
              </w:rPr>
              <w:t>Função</w:t>
            </w:r>
          </w:p>
        </w:tc>
        <w:tc>
          <w:tcPr>
            <w:tcW w:type="dxa" w:w="2880"/>
            <w:shd w:val="clear" w:fill="D6E4F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333333"/>
                <w:sz w:val="22"/>
              </w:rPr>
              <w:t>Analogia Java</w:t>
            </w:r>
          </w:p>
        </w:tc>
      </w:tr>
      <w:tr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333333"/>
                <w:sz w:val="22"/>
              </w:rPr>
              <w:t>Tools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Ações executáveis (o que o servidor FAZ)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Courier New" w:hAnsi="Courier New"/>
                <w:color w:val="333333"/>
                <w:sz w:val="20"/>
              </w:rPr>
              <w:t>@Service</w:t>
            </w:r>
            <w:r>
              <w:rPr>
                <w:rFonts w:ascii="Arial" w:hAnsi="Arial"/>
                <w:b w:val="0"/>
                <w:color w:val="333333"/>
                <w:sz w:val="22"/>
              </w:rPr>
              <w:t xml:space="preserve"> methods com </w:t>
            </w:r>
            <w:r>
              <w:rPr>
                <w:rFonts w:ascii="Courier New" w:hAnsi="Courier New"/>
                <w:color w:val="333333"/>
                <w:sz w:val="20"/>
              </w:rPr>
              <w:t>@Transactional</w:t>
            </w:r>
          </w:p>
        </w:tc>
      </w:tr>
      <w:tr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333333"/>
                <w:sz w:val="22"/>
              </w:rPr>
              <w:t>Resources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Documentação/contexto embutido (o que o servidor É)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Swagger/OpenAPI Specification</w:t>
            </w:r>
          </w:p>
        </w:tc>
      </w:tr>
      <w:tr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333333"/>
                <w:sz w:val="22"/>
              </w:rPr>
              <w:t>Prompts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Templates de uso guiado (como USAR o servidor)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Courier New" w:hAnsi="Courier New"/>
                <w:color w:val="333333"/>
                <w:sz w:val="20"/>
              </w:rPr>
              <w:t>@ExceptionHandler</w:t>
            </w:r>
            <w:r>
              <w:rPr>
                <w:rFonts w:ascii="Arial" w:hAnsi="Arial"/>
                <w:b w:val="0"/>
                <w:color w:val="333333"/>
                <w:sz w:val="22"/>
              </w:rPr>
              <w:t xml:space="preserve"> com mensagens claras</w:t>
            </w:r>
          </w:p>
        </w:tc>
      </w:tr>
    </w:tbl>
    <w:p>
      <w:pPr>
        <w:spacing w:after="80"/>
      </w:pPr>
    </w:p>
    <w:p>
      <w:pPr>
        <w:spacing w:before="120" w:after="120"/>
        <w:ind w:left="360" w:right="360"/>
        <w:shd w:val="clear" w:fill="F5F5F5"/>
        <w:pBdr>
          <w:left w:val="single" w:color="2E75B6" w:sz="4" w:space="10"/>
        </w:pBdr>
      </w:pPr>
      <w:r>
        <w:rPr>
          <w:rFonts w:ascii="Arial" w:hAnsi="Arial"/>
          <w:b w:val="0"/>
          <w:color w:val="333333"/>
          <w:sz w:val="22"/>
        </w:rPr>
        <w:t xml:space="preserve">💡 </w:t>
      </w:r>
      <w:r>
        <w:rPr>
          <w:rFonts w:ascii="Arial" w:hAnsi="Arial"/>
          <w:b/>
          <w:color w:val="333333"/>
          <w:sz w:val="22"/>
        </w:rPr>
        <w:t>Analogia:</w:t>
      </w:r>
      <w:r>
        <w:rPr>
          <w:rFonts w:ascii="Arial" w:hAnsi="Arial"/>
          <w:b w:val="0"/>
          <w:color w:val="333333"/>
          <w:sz w:val="22"/>
        </w:rPr>
        <w:t xml:space="preserve"> Tools ↔ endpoints REST. Resources ↔ Swagger doc. Prompts ↔ collection Postman pré-configurada.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1F4D78"/>
          <w:sz w:val="24"/>
        </w:rPr>
        <w:t>Transporte e Protocolos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6E4F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333333"/>
                <w:sz w:val="22"/>
              </w:rPr>
              <w:t>Transporte</w:t>
            </w:r>
          </w:p>
        </w:tc>
        <w:tc>
          <w:tcPr>
            <w:tcW w:type="dxa" w:w="2880"/>
            <w:shd w:val="clear" w:fill="D6E4F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333333"/>
                <w:sz w:val="22"/>
              </w:rPr>
              <w:t>Uso ideal</w:t>
            </w:r>
          </w:p>
        </w:tc>
        <w:tc>
          <w:tcPr>
            <w:tcW w:type="dxa" w:w="2880"/>
            <w:shd w:val="clear" w:fill="D6E4F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333333"/>
                <w:sz w:val="22"/>
              </w:rPr>
              <w:t>Exemplo</w:t>
            </w:r>
          </w:p>
        </w:tc>
      </w:tr>
      <w:tr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333333"/>
                <w:sz w:val="22"/>
              </w:rPr>
              <w:t>STDIO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Execução local, distribuição via NPM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Claude Code, VS Code extensions</w:t>
            </w:r>
          </w:p>
        </w:tc>
      </w:tr>
      <w:tr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333333"/>
                <w:sz w:val="22"/>
              </w:rPr>
              <w:t>HTTP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Serviço centralizado, múltiplos clientes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Gateway corporativo</w:t>
            </w:r>
          </w:p>
        </w:tc>
      </w:tr>
      <w:tr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333333"/>
                <w:sz w:val="22"/>
              </w:rPr>
              <w:t>SSE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Tempo real, eventos contínuos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Monitoramento, notificações</w:t>
            </w:r>
          </w:p>
        </w:tc>
      </w:tr>
    </w:tbl>
    <w:p>
      <w:pPr>
        <w:spacing w:after="80"/>
      </w:pPr>
    </w:p>
    <w:p>
      <w:pPr>
        <w:spacing w:before="120" w:after="120"/>
        <w:ind w:left="360" w:right="360"/>
        <w:shd w:val="clear" w:fill="F5F5F5"/>
        <w:pBdr>
          <w:left w:val="single" w:color="2E75B6" w:sz="4" w:space="10"/>
        </w:pBdr>
      </w:pPr>
      <w:r>
        <w:rPr>
          <w:rFonts w:ascii="Arial" w:hAnsi="Arial"/>
          <w:b w:val="0"/>
          <w:color w:val="333333"/>
          <w:sz w:val="22"/>
        </w:rPr>
        <w:t xml:space="preserve">⚡ </w:t>
      </w:r>
      <w:r>
        <w:rPr>
          <w:rFonts w:ascii="Arial" w:hAnsi="Arial"/>
          <w:b/>
          <w:color w:val="333333"/>
          <w:sz w:val="22"/>
        </w:rPr>
        <w:t>Performance:</w:t>
      </w:r>
      <w:r>
        <w:rPr>
          <w:rFonts w:ascii="Arial" w:hAnsi="Arial"/>
          <w:b w:val="0"/>
          <w:color w:val="333333"/>
          <w:sz w:val="22"/>
        </w:rPr>
        <w:t xml:space="preserve"> STDIO é o padrão pois elimina overhead de rede — o servidor roda como processo local e se comunica via stdin/stdout.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1F4D78"/>
          <w:sz w:val="24"/>
        </w:rPr>
        <w:t>MCP vs REST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6E4F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333333"/>
                <w:sz w:val="22"/>
              </w:rPr>
              <w:t>Aspecto</w:t>
            </w:r>
          </w:p>
        </w:tc>
        <w:tc>
          <w:tcPr>
            <w:tcW w:type="dxa" w:w="2880"/>
            <w:shd w:val="clear" w:fill="D6E4F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333333"/>
                <w:sz w:val="22"/>
              </w:rPr>
              <w:t>REST tradicional</w:t>
            </w:r>
          </w:p>
        </w:tc>
        <w:tc>
          <w:tcPr>
            <w:tcW w:type="dxa" w:w="2880"/>
            <w:shd w:val="clear" w:fill="D6E4F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333333"/>
                <w:sz w:val="22"/>
              </w:rPr>
              <w:t>MCP</w:t>
            </w:r>
          </w:p>
        </w:tc>
      </w:tr>
      <w:tr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Descoberta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Manual (Swagger)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Automática (protocol negotiation)</w:t>
            </w:r>
          </w:p>
        </w:tc>
      </w:tr>
      <w:tr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Contexto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Ausente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Resources embutidos</w:t>
            </w:r>
          </w:p>
        </w:tc>
      </w:tr>
      <w:tr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Orientação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Endpoints técnicos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Ações de domínio</w:t>
            </w:r>
          </w:p>
        </w:tc>
      </w:tr>
      <w:tr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Custo tokens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Alto (enviar spec inteira)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Baixo (sob demanda)</w:t>
            </w:r>
          </w:p>
        </w:tc>
      </w:tr>
      <w:tr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Exemplo de ação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Courier New" w:hAnsi="Courier New"/>
                <w:color w:val="333333"/>
                <w:sz w:val="20"/>
              </w:rPr>
              <w:t>GET /customers?name=X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Courier New" w:hAnsi="Courier New"/>
                <w:color w:val="333333"/>
                <w:sz w:val="20"/>
              </w:rPr>
              <w:t>searchCustomer({ name: "X" })</w:t>
            </w:r>
          </w:p>
        </w:tc>
      </w:tr>
    </w:tbl>
    <w:p>
      <w:pPr>
        <w:spacing w:after="80"/>
      </w:pPr>
    </w:p>
    <w:p>
      <w:pPr>
        <w:spacing w:before="120" w:after="120"/>
        <w:ind w:left="360" w:right="360"/>
        <w:shd w:val="clear" w:fill="F5F5F5"/>
        <w:pBdr>
          <w:left w:val="single" w:color="2E75B6" w:sz="4" w:space="10"/>
        </w:pBdr>
      </w:pPr>
      <w:r>
        <w:rPr>
          <w:rFonts w:ascii="Arial" w:hAnsi="Arial"/>
          <w:b w:val="0"/>
          <w:color w:val="333333"/>
          <w:sz w:val="22"/>
        </w:rPr>
        <w:t xml:space="preserve">🔑 </w:t>
      </w:r>
      <w:r>
        <w:rPr>
          <w:rFonts w:ascii="Arial" w:hAnsi="Arial"/>
          <w:b/>
          <w:color w:val="333333"/>
          <w:sz w:val="22"/>
        </w:rPr>
        <w:t>Regra fundamental:</w:t>
      </w:r>
      <w:r>
        <w:rPr>
          <w:rFonts w:ascii="Arial" w:hAnsi="Arial"/>
          <w:b w:val="0"/>
          <w:color w:val="333333"/>
          <w:sz w:val="22"/>
        </w:rPr>
        <w:t xml:space="preserve"> Não mapeie endpoints diretamente para tools. Uma tool MCP deve representar uma </w:t>
      </w:r>
      <w:r>
        <w:rPr>
          <w:rFonts w:ascii="Arial" w:hAnsi="Arial"/>
          <w:b/>
          <w:color w:val="333333"/>
          <w:sz w:val="22"/>
        </w:rPr>
        <w:t>intenção de negócio</w:t>
      </w:r>
      <w:r>
        <w:rPr>
          <w:rFonts w:ascii="Arial" w:hAnsi="Arial"/>
          <w:b w:val="0"/>
          <w:color w:val="333333"/>
          <w:sz w:val="22"/>
        </w:rPr>
        <w:t>, não uma rota HTTP.</w:t>
      </w:r>
    </w:p>
    <w:p>
      <w:pPr>
        <w:pStyle w:val="Heading2"/>
        <w:spacing w:before="360" w:after="160"/>
      </w:pPr>
      <w:r>
        <w:rPr>
          <w:rFonts w:ascii="Arial" w:hAnsi="Arial"/>
          <w:b/>
          <w:color w:val="2E74B5"/>
          <w:sz w:val="28"/>
        </w:rPr>
        <w:t>3. Detalhes de Implementação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1F4D78"/>
          <w:sz w:val="24"/>
        </w:rPr>
        <w:t>3.1 Projeto: Servidor MCP do Zero (CypherSuite)</w:t>
      </w:r>
    </w:p>
    <w:p>
      <w:pPr>
        <w:spacing w:after="160"/>
      </w:pPr>
      <w:r>
        <w:rPr>
          <w:rFonts w:ascii="Arial" w:hAnsi="Arial"/>
          <w:b/>
          <w:color w:val="333333"/>
          <w:sz w:val="22"/>
        </w:rPr>
        <w:t>O que faz:</w:t>
      </w:r>
      <w:r>
        <w:rPr>
          <w:rFonts w:ascii="Arial" w:hAnsi="Arial"/>
          <w:b w:val="0"/>
          <w:color w:val="333333"/>
          <w:sz w:val="22"/>
        </w:rPr>
        <w:t xml:space="preserve"> Criptografa e descriptografa mensagens via tools MCP com testes TDD, resources descritivos e prompts guiados.</w:t>
      </w:r>
    </w:p>
    <w:p>
      <w:pPr>
        <w:spacing w:after="160"/>
      </w:pPr>
      <w:r>
        <w:rPr>
          <w:rFonts w:ascii="Arial" w:hAnsi="Arial"/>
          <w:b/>
          <w:color w:val="333333"/>
          <w:sz w:val="22"/>
        </w:rPr>
        <w:t>Fluxo de dados: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Cliente MCP (editor/LangChain)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→ Tool: encrypt({ message, key })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→ CipherService.encrypt(message, key)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→ retorna { ciphertext: string }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→ Tool: decrypt({ ciphertext, key })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→ CipherService.decrypt(ciphertext, key)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→ retorna { plaintext: string }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→ Resource: info://cipher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→ Documentação do algoritmo, requisitos da chave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→ Prompt: encrypt-message({ message, key })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→ Template de instrução para o modelo</w:t>
      </w:r>
    </w:p>
    <w:p>
      <w:pPr>
        <w:spacing w:after="160"/>
      </w:pPr>
      <w:r>
        <w:rPr>
          <w:rFonts w:ascii="Arial" w:hAnsi="Arial"/>
          <w:b/>
          <w:color w:val="333333"/>
          <w:sz w:val="22"/>
        </w:rPr>
        <w:t>Arquivos principais:</w:t>
      </w:r>
    </w:p>
    <w:p>
      <w:pPr>
        <w:pStyle w:val="ListBullet"/>
        <w:spacing w:after="80"/>
      </w:pPr>
      <w:r>
        <w:rPr>
          <w:rFonts w:ascii="Courier New" w:hAnsi="Courier New"/>
          <w:color w:val="333333"/>
          <w:sz w:val="20"/>
        </w:rPr>
        <w:t>server.ts</w:t>
      </w:r>
      <w:r>
        <w:rPr>
          <w:rFonts w:ascii="Arial" w:hAnsi="Arial"/>
          <w:b w:val="0"/>
          <w:color w:val="333333"/>
          <w:sz w:val="22"/>
        </w:rPr>
        <w:t xml:space="preserve"> — instancia </w:t>
      </w:r>
      <w:r>
        <w:rPr>
          <w:rFonts w:ascii="Courier New" w:hAnsi="Courier New"/>
          <w:color w:val="333333"/>
          <w:sz w:val="20"/>
        </w:rPr>
        <w:t>McpServer</w:t>
      </w:r>
      <w:r>
        <w:rPr>
          <w:rFonts w:ascii="Arial" w:hAnsi="Arial"/>
          <w:b w:val="0"/>
          <w:color w:val="333333"/>
          <w:sz w:val="22"/>
        </w:rPr>
        <w:t>, define transporte STDIO</w:t>
      </w:r>
    </w:p>
    <w:p>
      <w:pPr>
        <w:pStyle w:val="ListBullet"/>
        <w:spacing w:after="80"/>
      </w:pPr>
      <w:r>
        <w:rPr>
          <w:rFonts w:ascii="Courier New" w:hAnsi="Courier New"/>
          <w:color w:val="333333"/>
          <w:sz w:val="20"/>
        </w:rPr>
        <w:t>tools/</w:t>
      </w:r>
      <w:r>
        <w:rPr>
          <w:rFonts w:ascii="Arial" w:hAnsi="Arial"/>
          <w:b w:val="0"/>
          <w:color w:val="333333"/>
          <w:sz w:val="22"/>
        </w:rPr>
        <w:t xml:space="preserve"> — registra </w:t>
      </w:r>
      <w:r>
        <w:rPr>
          <w:rFonts w:ascii="Courier New" w:hAnsi="Courier New"/>
          <w:color w:val="333333"/>
          <w:sz w:val="20"/>
        </w:rPr>
        <w:t>encrypt</w:t>
      </w:r>
      <w:r>
        <w:rPr>
          <w:rFonts w:ascii="Arial" w:hAnsi="Arial"/>
          <w:b w:val="0"/>
          <w:color w:val="333333"/>
          <w:sz w:val="22"/>
        </w:rPr>
        <w:t xml:space="preserve"> e </w:t>
      </w:r>
      <w:r>
        <w:rPr>
          <w:rFonts w:ascii="Courier New" w:hAnsi="Courier New"/>
          <w:color w:val="333333"/>
          <w:sz w:val="20"/>
        </w:rPr>
        <w:t>decrypt</w:t>
      </w:r>
      <w:r>
        <w:rPr>
          <w:rFonts w:ascii="Arial" w:hAnsi="Arial"/>
          <w:b w:val="0"/>
          <w:color w:val="333333"/>
          <w:sz w:val="22"/>
        </w:rPr>
        <w:t xml:space="preserve"> com schemas Zod</w:t>
      </w:r>
    </w:p>
    <w:p>
      <w:pPr>
        <w:pStyle w:val="ListBullet"/>
        <w:spacing w:after="80"/>
      </w:pPr>
      <w:r>
        <w:rPr>
          <w:rFonts w:ascii="Courier New" w:hAnsi="Courier New"/>
          <w:color w:val="333333"/>
          <w:sz w:val="20"/>
        </w:rPr>
        <w:t>resources/</w:t>
      </w:r>
      <w:r>
        <w:rPr>
          <w:rFonts w:ascii="Arial" w:hAnsi="Arial"/>
          <w:b w:val="0"/>
          <w:color w:val="333333"/>
          <w:sz w:val="22"/>
        </w:rPr>
        <w:t xml:space="preserve"> — expõe documentação técnica via URI</w:t>
      </w:r>
    </w:p>
    <w:p>
      <w:pPr>
        <w:pStyle w:val="ListBullet"/>
        <w:spacing w:after="80"/>
      </w:pPr>
      <w:r>
        <w:rPr>
          <w:rFonts w:ascii="Courier New" w:hAnsi="Courier New"/>
          <w:color w:val="333333"/>
          <w:sz w:val="20"/>
        </w:rPr>
        <w:t>prompts/</w:t>
      </w:r>
      <w:r>
        <w:rPr>
          <w:rFonts w:ascii="Arial" w:hAnsi="Arial"/>
          <w:b w:val="0"/>
          <w:color w:val="333333"/>
          <w:sz w:val="22"/>
        </w:rPr>
        <w:t xml:space="preserve"> — templates parametrizados</w:t>
      </w:r>
    </w:p>
    <w:p>
      <w:pPr>
        <w:pStyle w:val="ListBullet"/>
        <w:spacing w:after="80"/>
      </w:pPr>
      <w:r>
        <w:rPr>
          <w:rFonts w:ascii="Courier New" w:hAnsi="Courier New"/>
          <w:color w:val="333333"/>
          <w:sz w:val="20"/>
        </w:rPr>
        <w:t>tests/</w:t>
      </w:r>
      <w:r>
        <w:rPr>
          <w:rFonts w:ascii="Arial" w:hAnsi="Arial"/>
          <w:b w:val="0"/>
          <w:color w:val="333333"/>
          <w:sz w:val="22"/>
        </w:rPr>
        <w:t xml:space="preserve"> — cliente MCP em processo separado para testes de integração real</w:t>
      </w:r>
    </w:p>
    <w:p>
      <w:pPr>
        <w:spacing w:before="120" w:after="120"/>
        <w:ind w:left="360" w:right="360"/>
        <w:shd w:val="clear" w:fill="F5F5F5"/>
        <w:pBdr>
          <w:left w:val="single" w:color="2E75B6" w:sz="4" w:space="10"/>
        </w:pBdr>
      </w:pPr>
      <w:r>
        <w:rPr>
          <w:rFonts w:ascii="Arial" w:hAnsi="Arial"/>
          <w:b w:val="0"/>
          <w:color w:val="333333"/>
          <w:sz w:val="22"/>
        </w:rPr>
        <w:t xml:space="preserve">🔑 </w:t>
      </w:r>
      <w:r>
        <w:rPr>
          <w:rFonts w:ascii="Arial" w:hAnsi="Arial"/>
          <w:b/>
          <w:color w:val="333333"/>
          <w:sz w:val="22"/>
        </w:rPr>
        <w:t>TDD em MCP:</w:t>
      </w:r>
      <w:r>
        <w:rPr>
          <w:rFonts w:ascii="Arial" w:hAnsi="Arial"/>
          <w:b w:val="0"/>
          <w:color w:val="333333"/>
          <w:sz w:val="22"/>
        </w:rPr>
        <w:t xml:space="preserve"> O teste cria um cliente real que se conecta ao servidor em processo separado — não é mock. Se a tool não existe, o teste falha com </w:t>
      </w:r>
      <w:r>
        <w:rPr>
          <w:rFonts w:ascii="Courier New" w:hAnsi="Courier New"/>
          <w:color w:val="333333"/>
          <w:sz w:val="20"/>
        </w:rPr>
        <w:t>tool not found</w:t>
      </w:r>
      <w:r>
        <w:rPr>
          <w:rFonts w:ascii="Arial" w:hAnsi="Arial"/>
          <w:b w:val="0"/>
          <w:color w:val="333333"/>
          <w:sz w:val="22"/>
        </w:rPr>
        <w:t>.</w:t>
      </w:r>
    </w:p>
    <w:p>
      <w:pPr>
        <w:spacing w:after="160"/>
      </w:pPr>
      <w:r>
        <w:rPr>
          <w:rFonts w:ascii="Arial" w:hAnsi="Arial"/>
          <w:b/>
          <w:color w:val="333333"/>
          <w:sz w:val="22"/>
        </w:rPr>
        <w:t>Código-chave — registro de tool com schema: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server.tool(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"encrypt",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"Encrypts a message using the provided key (AES-256)",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{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message: z.string().describe("Plaintext message to encrypt"),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key: z.string().min(32).describe("32-char encryption key"),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},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async ({ message, key }) =&gt; {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const result = await cipherService.encrypt(message, key);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return {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content: [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{ type: "text", text: `Encrypted: ${result.ciphertext}` },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{ type: "resource", resource: { mimeType: "application/json", text: JSON.stringify(result) } }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]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};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}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);</w:t>
      </w:r>
    </w:p>
    <w:p>
      <w:pPr>
        <w:spacing w:before="120" w:after="120"/>
        <w:ind w:left="360" w:right="360"/>
        <w:shd w:val="clear" w:fill="F5F5F5"/>
        <w:pBdr>
          <w:left w:val="single" w:color="2E75B6" w:sz="4" w:space="10"/>
        </w:pBdr>
      </w:pPr>
      <w:r>
        <w:rPr>
          <w:rFonts w:ascii="Arial" w:hAnsi="Arial"/>
          <w:b w:val="0"/>
          <w:color w:val="333333"/>
          <w:sz w:val="22"/>
        </w:rPr>
        <w:t xml:space="preserve">💡 </w:t>
      </w:r>
      <w:r>
        <w:rPr>
          <w:rFonts w:ascii="Arial" w:hAnsi="Arial"/>
          <w:b/>
          <w:color w:val="333333"/>
          <w:sz w:val="22"/>
        </w:rPr>
        <w:t>Analogia Java:</w:t>
      </w:r>
      <w:r>
        <w:rPr>
          <w:rFonts w:ascii="Arial" w:hAnsi="Arial"/>
          <w:b w:val="0"/>
          <w:color w:val="333333"/>
          <w:sz w:val="22"/>
        </w:rPr>
        <w:t xml:space="preserve"> </w:t>
      </w:r>
      <w:r>
        <w:rPr>
          <w:rFonts w:ascii="Courier New" w:hAnsi="Courier New"/>
          <w:color w:val="333333"/>
          <w:sz w:val="20"/>
        </w:rPr>
        <w:t>server.tool(name, description, schema, handler)</w:t>
      </w:r>
      <w:r>
        <w:rPr>
          <w:rFonts w:ascii="Arial" w:hAnsi="Arial"/>
          <w:b w:val="0"/>
          <w:color w:val="333333"/>
          <w:sz w:val="22"/>
        </w:rPr>
        <w:t xml:space="preserve"> ↔ </w:t>
      </w:r>
      <w:r>
        <w:rPr>
          <w:rFonts w:ascii="Courier New" w:hAnsi="Courier New"/>
          <w:color w:val="333333"/>
          <w:sz w:val="20"/>
        </w:rPr>
        <w:t>@PostMapping</w:t>
      </w:r>
      <w:r>
        <w:rPr>
          <w:rFonts w:ascii="Arial" w:hAnsi="Arial"/>
          <w:b w:val="0"/>
          <w:color w:val="333333"/>
          <w:sz w:val="22"/>
        </w:rPr>
        <w:t xml:space="preserve"> com </w:t>
      </w:r>
      <w:r>
        <w:rPr>
          <w:rFonts w:ascii="Courier New" w:hAnsi="Courier New"/>
          <w:color w:val="333333"/>
          <w:sz w:val="20"/>
        </w:rPr>
        <w:t>@RequestBody</w:t>
      </w:r>
      <w:r>
        <w:rPr>
          <w:rFonts w:ascii="Arial" w:hAnsi="Arial"/>
          <w:b w:val="0"/>
          <w:color w:val="333333"/>
          <w:sz w:val="22"/>
        </w:rPr>
        <w:t xml:space="preserve"> validado por </w:t>
      </w:r>
      <w:r>
        <w:rPr>
          <w:rFonts w:ascii="Courier New" w:hAnsi="Courier New"/>
          <w:color w:val="333333"/>
          <w:sz w:val="20"/>
        </w:rPr>
        <w:t>@Valid</w:t>
      </w:r>
      <w:r>
        <w:rPr>
          <w:rFonts w:ascii="Arial" w:hAnsi="Arial"/>
          <w:b w:val="0"/>
          <w:color w:val="333333"/>
          <w:sz w:val="22"/>
        </w:rPr>
        <w:t xml:space="preserve"> + Bean Validation.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1F4D78"/>
          <w:sz w:val="24"/>
        </w:rPr>
        <w:t>3.2 Projeto: Transformando Empresa em Servidor MCP (Customers API)</w:t>
      </w:r>
    </w:p>
    <w:p>
      <w:pPr>
        <w:spacing w:after="160"/>
      </w:pPr>
      <w:r>
        <w:rPr>
          <w:rFonts w:ascii="Arial" w:hAnsi="Arial"/>
          <w:b/>
          <w:color w:val="333333"/>
          <w:sz w:val="22"/>
        </w:rPr>
        <w:t>O que faz:</w:t>
      </w:r>
      <w:r>
        <w:rPr>
          <w:rFonts w:ascii="Arial" w:hAnsi="Arial"/>
          <w:b w:val="0"/>
          <w:color w:val="333333"/>
          <w:sz w:val="22"/>
        </w:rPr>
        <w:t xml:space="preserve"> Expõe uma API CRUD legada como servidor MCP, adicionando busca por múltiplos critérios, autenticação JWT+RBAC, service tokens e rate limiting.</w:t>
      </w:r>
    </w:p>
    <w:p>
      <w:pPr>
        <w:spacing w:after="160"/>
      </w:pPr>
      <w:r>
        <w:rPr>
          <w:rFonts w:ascii="Arial" w:hAnsi="Arial"/>
          <w:b/>
          <w:color w:val="333333"/>
          <w:sz w:val="22"/>
        </w:rPr>
        <w:t>Fluxo completo: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LLM / Editor (VSCode)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→ Service Token (env var)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→ MCP Server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→ Tool: listCustomers() → HTTP Client → GET /customers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→ Tool: createCustomer({name, phone}) → HTTP Client → POST /customers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→ Tool: searchCustomer({id?, name?, phone?}) → Service (filtro em memória)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→ Tool: updateCustomer({id, name, phone}) → HTTP Client → PUT /customers/:id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→ Tool: deleteCustomer({id}) → HTTP Client → DELETE /customers/:id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→ Resource: info://api → Documentação da API legada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→ Fastify API (legada)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→ onRequest hook: verifica JWT ou Service Token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→ preHandler: RBAC (member=leitura, admin=escrita)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→ Rate limiter: 90 req/min por token</w:t>
      </w:r>
    </w:p>
    <w:p>
      <w:pPr>
        <w:spacing w:after="160"/>
      </w:pPr>
      <w:r>
        <w:rPr>
          <w:rFonts w:ascii="Arial" w:hAnsi="Arial"/>
          <w:b/>
          <w:color w:val="333333"/>
          <w:sz w:val="22"/>
        </w:rPr>
        <w:t>Camadas da arquitetura MCP: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contratos (toolbox.md, skills.md)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↓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MCP Server (server.ts)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↓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Service Layer (customerService.ts)   ← regras de negócio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↓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HTTP Client (apiClient.ts)           ← infraestrutura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↓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API Legada (Fastify + PostgreSQL)</w:t>
      </w:r>
    </w:p>
    <w:p>
      <w:pPr>
        <w:spacing w:before="120" w:after="120"/>
        <w:ind w:left="360" w:right="360"/>
        <w:shd w:val="clear" w:fill="F5F5F5"/>
        <w:pBdr>
          <w:left w:val="single" w:color="2E75B6" w:sz="4" w:space="10"/>
        </w:pBdr>
      </w:pPr>
      <w:r>
        <w:rPr>
          <w:rFonts w:ascii="Arial" w:hAnsi="Arial"/>
          <w:b w:val="0"/>
          <w:color w:val="333333"/>
          <w:sz w:val="22"/>
        </w:rPr>
        <w:t xml:space="preserve">💡 </w:t>
      </w:r>
      <w:r>
        <w:rPr>
          <w:rFonts w:ascii="Arial" w:hAnsi="Arial"/>
          <w:b/>
          <w:color w:val="333333"/>
          <w:sz w:val="22"/>
        </w:rPr>
        <w:t>Analogia Spring Boot:</w:t>
      </w:r>
      <w:r>
        <w:rPr>
          <w:rFonts w:ascii="Arial" w:hAnsi="Arial"/>
          <w:b w:val="0"/>
          <w:color w:val="333333"/>
          <w:sz w:val="22"/>
        </w:rPr>
        <w:t xml:space="preserve"> HTTP Client ↔ </w:t>
      </w:r>
      <w:r>
        <w:rPr>
          <w:rFonts w:ascii="Courier New" w:hAnsi="Courier New"/>
          <w:color w:val="333333"/>
          <w:sz w:val="20"/>
        </w:rPr>
        <w:t>@FeignClient</w:t>
      </w:r>
      <w:r>
        <w:rPr>
          <w:rFonts w:ascii="Arial" w:hAnsi="Arial"/>
          <w:b w:val="0"/>
          <w:color w:val="333333"/>
          <w:sz w:val="22"/>
        </w:rPr>
        <w:t xml:space="preserve"> ou </w:t>
      </w:r>
      <w:r>
        <w:rPr>
          <w:rFonts w:ascii="Courier New" w:hAnsi="Courier New"/>
          <w:color w:val="333333"/>
          <w:sz w:val="20"/>
        </w:rPr>
        <w:t>RestTemplate</w:t>
      </w:r>
      <w:r>
        <w:rPr>
          <w:rFonts w:ascii="Arial" w:hAnsi="Arial"/>
          <w:b w:val="0"/>
          <w:color w:val="333333"/>
          <w:sz w:val="22"/>
        </w:rPr>
        <w:t xml:space="preserve">. Service ↔ </w:t>
      </w:r>
      <w:r>
        <w:rPr>
          <w:rFonts w:ascii="Courier New" w:hAnsi="Courier New"/>
          <w:color w:val="333333"/>
          <w:sz w:val="20"/>
        </w:rPr>
        <w:t>@Service</w:t>
      </w:r>
      <w:r>
        <w:rPr>
          <w:rFonts w:ascii="Arial" w:hAnsi="Arial"/>
          <w:b w:val="0"/>
          <w:color w:val="333333"/>
          <w:sz w:val="22"/>
        </w:rPr>
        <w:t xml:space="preserve">. MCP Server ↔ </w:t>
      </w:r>
      <w:r>
        <w:rPr>
          <w:rFonts w:ascii="Courier New" w:hAnsi="Courier New"/>
          <w:color w:val="333333"/>
          <w:sz w:val="20"/>
        </w:rPr>
        <w:t>@RestController</w:t>
      </w:r>
      <w:r>
        <w:rPr>
          <w:rFonts w:ascii="Arial" w:hAnsi="Arial"/>
          <w:b w:val="0"/>
          <w:color w:val="333333"/>
          <w:sz w:val="22"/>
        </w:rPr>
        <w:t xml:space="preserve"> mas voltado para LLMs, não humanos.</w:t>
      </w:r>
    </w:p>
    <w:p>
      <w:pPr>
        <w:spacing w:after="160"/>
      </w:pPr>
      <w:r>
        <w:rPr>
          <w:rFonts w:ascii="Arial" w:hAnsi="Arial"/>
          <w:b/>
          <w:color w:val="333333"/>
          <w:sz w:val="22"/>
        </w:rPr>
        <w:t>Código-chave — autenticação dupla (JWT + Service Token):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fastify.addHook("onRequest", async (req, reply) =&gt; {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const path = req.routerPath;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if (PUBLIC_ROUTES.includes(path)) return; // login, health, service-token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const token = req.headers.authorization?.replace("Bearer ", "");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// Service Token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const serviceAuth = serviceTokens.get(token);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if (serviceAuth) {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req.user = serviceAuth;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return;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}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// JWT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try {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req.user = await fastify.jwt.verify(token);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} catch {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reply.status(401).send({ error: "Unauthorized" });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}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});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1F4D78"/>
          <w:sz w:val="24"/>
        </w:rPr>
        <w:t>3.3 Projeto: Múltiplos MCPs com LangChain.js (Análise de Vendas)</w:t>
      </w:r>
    </w:p>
    <w:p>
      <w:pPr>
        <w:spacing w:after="160"/>
      </w:pPr>
      <w:r>
        <w:rPr>
          <w:rFonts w:ascii="Arial" w:hAnsi="Arial"/>
          <w:b/>
          <w:color w:val="333333"/>
          <w:sz w:val="22"/>
        </w:rPr>
        <w:t>O que faz:</w:t>
      </w:r>
      <w:r>
        <w:rPr>
          <w:rFonts w:ascii="Arial" w:hAnsi="Arial"/>
          <w:b w:val="0"/>
          <w:color w:val="333333"/>
          <w:sz w:val="22"/>
        </w:rPr>
        <w:t xml:space="preserve"> Agente autônomo que recebe dados CSV/JSON, identifica intenção, converte formato, persiste no MongoDB e gera relatório — usando 3 MCPs em paralelo.</w:t>
      </w:r>
    </w:p>
    <w:p>
      <w:pPr>
        <w:spacing w:after="160"/>
      </w:pPr>
      <w:r>
        <w:rPr>
          <w:rFonts w:ascii="Arial" w:hAnsi="Arial"/>
          <w:b/>
          <w:color w:val="333333"/>
          <w:sz w:val="22"/>
        </w:rPr>
        <w:t>Pipeline completo: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Usuário: { question: "rank produtos mais vendidos", data: "..." }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↓ Agente de Intenção (structured output)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→ { intent, fileType, content, fileName }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↓ (se fileType === "csv")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→ Tool customizada: csvToJson(csvContent)    ← biblioteca determinística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↓ Agente Executor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→ MongoDB MCP: dropCollection, insertMany, aggregate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→ File System MCP: writeFile(report.txt)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→ retorna relatório final</w:t>
      </w:r>
    </w:p>
    <w:p>
      <w:pPr>
        <w:spacing w:after="160"/>
      </w:pPr>
      <w:r>
        <w:rPr>
          <w:rFonts w:ascii="Arial" w:hAnsi="Arial"/>
          <w:b/>
          <w:color w:val="333333"/>
          <w:sz w:val="22"/>
        </w:rPr>
        <w:t>Ferramentas disponíveis: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6E4F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333333"/>
                <w:sz w:val="22"/>
              </w:rPr>
              <w:t>Ferramenta</w:t>
            </w:r>
          </w:p>
        </w:tc>
        <w:tc>
          <w:tcPr>
            <w:tcW w:type="dxa" w:w="2880"/>
            <w:shd w:val="clear" w:fill="D6E4F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333333"/>
                <w:sz w:val="22"/>
              </w:rPr>
              <w:t>Tipo</w:t>
            </w:r>
          </w:p>
        </w:tc>
        <w:tc>
          <w:tcPr>
            <w:tcW w:type="dxa" w:w="2880"/>
            <w:shd w:val="clear" w:fill="D6E4F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333333"/>
                <w:sz w:val="22"/>
              </w:rPr>
              <w:t>Responsabilidade</w:t>
            </w:r>
          </w:p>
        </w:tc>
      </w:tr>
      <w:tr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Courier New" w:hAnsi="Courier New"/>
                <w:color w:val="333333"/>
                <w:sz w:val="20"/>
              </w:rPr>
              <w:t>csvToJson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Custom LangChain Tool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Conversão determinística CSV→JSON</w:t>
            </w:r>
          </w:p>
        </w:tc>
      </w:tr>
      <w:tr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MongoDB MCP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Servidor MCP externo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CRUD + Aggregation</w:t>
            </w:r>
          </w:p>
        </w:tc>
      </w:tr>
      <w:tr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File System MCP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Servidor MCP externo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Leitura/escrita de arquivos</w:t>
            </w:r>
          </w:p>
        </w:tc>
      </w:tr>
    </w:tbl>
    <w:p>
      <w:pPr>
        <w:spacing w:after="80"/>
      </w:pPr>
    </w:p>
    <w:p>
      <w:pPr>
        <w:spacing w:before="120" w:after="120"/>
        <w:ind w:left="360" w:right="360"/>
        <w:shd w:val="clear" w:fill="F5F5F5"/>
        <w:pBdr>
          <w:left w:val="single" w:color="2E75B6" w:sz="4" w:space="10"/>
        </w:pBdr>
      </w:pPr>
      <w:r>
        <w:rPr>
          <w:rFonts w:ascii="Arial" w:hAnsi="Arial"/>
          <w:b w:val="0"/>
          <w:color w:val="333333"/>
          <w:sz w:val="22"/>
        </w:rPr>
        <w:t xml:space="preserve">🎯 </w:t>
      </w:r>
      <w:r>
        <w:rPr>
          <w:rFonts w:ascii="Arial" w:hAnsi="Arial"/>
          <w:b/>
          <w:color w:val="333333"/>
          <w:sz w:val="22"/>
        </w:rPr>
        <w:t>Mentalidade:</w:t>
      </w:r>
      <w:r>
        <w:rPr>
          <w:rFonts w:ascii="Arial" w:hAnsi="Arial"/>
          <w:b w:val="0"/>
          <w:color w:val="333333"/>
          <w:sz w:val="22"/>
        </w:rPr>
        <w:t xml:space="preserve"> Tarefas determinísticas (converter CSV) → tool customizada. Operações externas (banco, arquivo) → MCP padronizado. Não deixe a LLM executar cálculos que código faz melhor.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1F4D78"/>
          <w:sz w:val="24"/>
        </w:rPr>
        <w:t>3.4 Projeto: Google Trends como Tool (Services como Tools)</w:t>
      </w:r>
    </w:p>
    <w:p>
      <w:pPr>
        <w:spacing w:after="160"/>
      </w:pPr>
      <w:r>
        <w:rPr>
          <w:rFonts w:ascii="Arial" w:hAnsi="Arial"/>
          <w:b/>
          <w:color w:val="333333"/>
          <w:sz w:val="22"/>
        </w:rPr>
        <w:t>O que faz:</w:t>
      </w:r>
      <w:r>
        <w:rPr>
          <w:rFonts w:ascii="Arial" w:hAnsi="Arial"/>
          <w:b w:val="0"/>
          <w:color w:val="333333"/>
          <w:sz w:val="22"/>
        </w:rPr>
        <w:t xml:space="preserve"> Demonstra o padrão de expor services existentes como tools LangChain, enriquecendo respostas com dados reais de tendências.</w:t>
      </w:r>
    </w:p>
    <w:p>
      <w:pPr>
        <w:spacing w:after="160"/>
      </w:pPr>
      <w:r>
        <w:rPr>
          <w:rFonts w:ascii="Arial" w:hAnsi="Arial"/>
          <w:b/>
          <w:color w:val="333333"/>
          <w:sz w:val="22"/>
        </w:rPr>
        <w:t>Fluxo: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Usuário: "sugestões de títulos sobre Node.js performance"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→ Nó pesquisa (LLM com Google Trends tool)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→ extrai keywords: ["Node.js performance", "V8 optimization"]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→ chama 1x (apenas!) GoogleTrendsService.getTrends(keywords)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→ retorna tópicos em alta, queries relacionadas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→ Nó resposta (LLM sem tools)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→ usa dados de tendência para gerar títulos relevantes</w:t>
      </w:r>
    </w:p>
    <w:p>
      <w:pPr>
        <w:spacing w:before="120" w:after="120"/>
        <w:ind w:left="360" w:right="360"/>
        <w:shd w:val="clear" w:fill="F5F5F5"/>
        <w:pBdr>
          <w:left w:val="single" w:color="2E75B6" w:sz="4" w:space="10"/>
        </w:pBdr>
      </w:pPr>
      <w:r>
        <w:rPr>
          <w:rFonts w:ascii="Arial" w:hAnsi="Arial"/>
          <w:b w:val="0"/>
          <w:color w:val="333333"/>
          <w:sz w:val="22"/>
        </w:rPr>
        <w:t xml:space="preserve">⚡ </w:t>
      </w:r>
      <w:r>
        <w:rPr>
          <w:rFonts w:ascii="Arial" w:hAnsi="Arial"/>
          <w:b/>
          <w:color w:val="333333"/>
          <w:sz w:val="22"/>
        </w:rPr>
        <w:t>Performance:</w:t>
      </w:r>
      <w:r>
        <w:rPr>
          <w:rFonts w:ascii="Arial" w:hAnsi="Arial"/>
          <w:b w:val="0"/>
          <w:color w:val="333333"/>
          <w:sz w:val="22"/>
        </w:rPr>
        <w:t xml:space="preserve"> Forçar 1 chamada via prompt evita exploração excessiva em APIs pagas — padrão crítico em produção.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1F4D78"/>
          <w:sz w:val="24"/>
        </w:rPr>
        <w:t>3.5 Projeto: Publicação MCP (NPM + Verdaccio)</w:t>
      </w:r>
    </w:p>
    <w:p>
      <w:pPr>
        <w:spacing w:after="160"/>
      </w:pPr>
      <w:r>
        <w:rPr>
          <w:rFonts w:ascii="Arial" w:hAnsi="Arial"/>
          <w:b/>
          <w:color w:val="333333"/>
          <w:sz w:val="22"/>
        </w:rPr>
        <w:t>O que faz:</w:t>
      </w:r>
      <w:r>
        <w:rPr>
          <w:rFonts w:ascii="Arial" w:hAnsi="Arial"/>
          <w:b w:val="0"/>
          <w:color w:val="333333"/>
          <w:sz w:val="22"/>
        </w:rPr>
        <w:t xml:space="preserve"> Empacota e distribui o servidor MCP como pacote NPM, primeiro em registry privado (Verdaccio) para testes, depois no NPM público.</w:t>
      </w:r>
    </w:p>
    <w:p>
      <w:pPr>
        <w:spacing w:after="160"/>
      </w:pPr>
      <w:r>
        <w:rPr>
          <w:rFonts w:ascii="Arial" w:hAnsi="Arial"/>
          <w:b/>
          <w:color w:val="333333"/>
          <w:sz w:val="22"/>
        </w:rPr>
        <w:t>Configuração binário: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// package.json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{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"bin": { "customers-mcp": "./src/server.ts" },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"scripts": { "publish:private": "npm publish --registry http://localhost:4873" }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}</w:t>
      </w:r>
    </w:p>
    <w:p>
      <w:pPr>
        <w:spacing w:after="160"/>
      </w:pPr>
      <w:r>
        <w:rPr>
          <w:rFonts w:ascii="Arial" w:hAnsi="Arial"/>
          <w:b/>
          <w:color w:val="333333"/>
          <w:sz w:val="22"/>
        </w:rPr>
        <w:t>Uso após publicação: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// .vscode/mcp.json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{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"servers": {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"customers": {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"command": "npx",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"args": ["-y", "customers-mcp-server"],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"env": { "API_SERVICE_TOKEN": "${env:CUSTOMERS_TOKEN}" }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}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}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}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1F4D78"/>
          <w:sz w:val="24"/>
        </w:rPr>
        <w:t>3.6 Projeto: MCP + LangChain.js (Agente Completo)</w:t>
      </w:r>
    </w:p>
    <w:p>
      <w:pPr>
        <w:spacing w:after="160"/>
      </w:pPr>
      <w:r>
        <w:rPr>
          <w:rFonts w:ascii="Arial" w:hAnsi="Arial"/>
          <w:b/>
          <w:color w:val="333333"/>
          <w:sz w:val="22"/>
        </w:rPr>
        <w:t>O que faz:</w:t>
      </w:r>
      <w:r>
        <w:rPr>
          <w:rFonts w:ascii="Arial" w:hAnsi="Arial"/>
          <w:b w:val="0"/>
          <w:color w:val="333333"/>
          <w:sz w:val="22"/>
        </w:rPr>
        <w:t xml:space="preserve"> Integra o Customers MCP publicado em uma aplicação LangChain.js como dependência real — o agente gerencia clientes via linguagem natural.</w:t>
      </w:r>
    </w:p>
    <w:p>
      <w:pPr>
        <w:spacing w:after="160"/>
      </w:pPr>
      <w:r>
        <w:rPr>
          <w:rFonts w:ascii="Arial" w:hAnsi="Arial"/>
          <w:b/>
          <w:color w:val="333333"/>
          <w:sz w:val="22"/>
        </w:rPr>
        <w:t>Fluxo: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"criar 3 clientes de teste e salvar em arquivo"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→ LangChain Agent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→ Customers MCP (createCustomer × 3)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→ File System MCP (writeFile customers.json)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→ listCustomers() → retorno consolidado</w:t>
      </w:r>
    </w:p>
    <w:p>
      <w:pPr>
        <w:spacing w:before="120" w:after="120"/>
        <w:ind w:left="360" w:right="360"/>
        <w:shd w:val="clear" w:fill="F5F5F5"/>
        <w:pBdr>
          <w:left w:val="single" w:color="2E75B6" w:sz="4" w:space="10"/>
        </w:pBdr>
      </w:pPr>
      <w:r>
        <w:rPr>
          <w:rFonts w:ascii="Arial" w:hAnsi="Arial"/>
          <w:b w:val="0"/>
          <w:color w:val="333333"/>
          <w:sz w:val="22"/>
        </w:rPr>
        <w:t xml:space="preserve">✅ </w:t>
      </w:r>
      <w:r>
        <w:rPr>
          <w:rFonts w:ascii="Arial" w:hAnsi="Arial"/>
          <w:b/>
          <w:color w:val="333333"/>
          <w:sz w:val="22"/>
        </w:rPr>
        <w:t>Resultado:</w:t>
      </w:r>
      <w:r>
        <w:rPr>
          <w:rFonts w:ascii="Arial" w:hAnsi="Arial"/>
          <w:b w:val="0"/>
          <w:color w:val="333333"/>
          <w:sz w:val="22"/>
        </w:rPr>
        <w:t xml:space="preserve"> O MCP deixa de ser protótipo e se torna dependência versionada reutilizável em qualquer aplicação.</w:t>
      </w:r>
    </w:p>
    <w:p>
      <w:pPr>
        <w:pStyle w:val="Heading2"/>
        <w:spacing w:before="360" w:after="160"/>
      </w:pPr>
      <w:r>
        <w:rPr>
          <w:rFonts w:ascii="Arial" w:hAnsi="Arial"/>
          <w:b/>
          <w:color w:val="2E74B5"/>
          <w:sz w:val="28"/>
        </w:rPr>
        <w:t>4. Analogias Java/Spring Boot e Go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6E4F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333333"/>
                <w:sz w:val="22"/>
              </w:rPr>
              <w:t>Conceito MCP</w:t>
            </w:r>
          </w:p>
        </w:tc>
        <w:tc>
          <w:tcPr>
            <w:tcW w:type="dxa" w:w="2880"/>
            <w:shd w:val="clear" w:fill="D6E4F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333333"/>
                <w:sz w:val="22"/>
              </w:rPr>
              <w:t>Equivalente Java/Spring Boot</w:t>
            </w:r>
          </w:p>
        </w:tc>
        <w:tc>
          <w:tcPr>
            <w:tcW w:type="dxa" w:w="2880"/>
            <w:shd w:val="clear" w:fill="D6E4F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333333"/>
                <w:sz w:val="22"/>
              </w:rPr>
              <w:t>Equivalente Go</w:t>
            </w:r>
          </w:p>
        </w:tc>
      </w:tr>
      <w:tr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Courier New" w:hAnsi="Courier New"/>
                <w:color w:val="333333"/>
                <w:sz w:val="20"/>
              </w:rPr>
              <w:t>server.tool()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Courier New" w:hAnsi="Courier New"/>
                <w:color w:val="333333"/>
                <w:sz w:val="20"/>
              </w:rPr>
              <w:t>@PostMapping</w:t>
            </w:r>
            <w:r>
              <w:rPr>
                <w:rFonts w:ascii="Arial" w:hAnsi="Arial"/>
                <w:b w:val="0"/>
                <w:color w:val="333333"/>
                <w:sz w:val="22"/>
              </w:rPr>
              <w:t xml:space="preserve"> + </w:t>
            </w:r>
            <w:r>
              <w:rPr>
                <w:rFonts w:ascii="Courier New" w:hAnsi="Courier New"/>
                <w:color w:val="333333"/>
                <w:sz w:val="20"/>
              </w:rPr>
              <w:t>@RequestBody @Valid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 xml:space="preserve">Handler HTTP + validação explícita do payload (schema Zod ↔ Bean Validation ↔ </w:t>
            </w:r>
            <w:r>
              <w:rPr>
                <w:rFonts w:ascii="Courier New" w:hAnsi="Courier New"/>
                <w:color w:val="333333"/>
                <w:sz w:val="20"/>
              </w:rPr>
              <w:t>validator.Struct()</w:t>
            </w:r>
            <w:r>
              <w:rPr>
                <w:rFonts w:ascii="Arial" w:hAnsi="Arial"/>
                <w:b w:val="0"/>
                <w:color w:val="333333"/>
                <w:sz w:val="22"/>
              </w:rPr>
              <w:t>)</w:t>
            </w:r>
          </w:p>
        </w:tc>
      </w:tr>
      <w:tr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Courier New" w:hAnsi="Courier New"/>
                <w:color w:val="333333"/>
                <w:sz w:val="20"/>
              </w:rPr>
              <w:t>server.resource()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Courier New" w:hAnsi="Courier New"/>
                <w:color w:val="333333"/>
                <w:sz w:val="20"/>
              </w:rPr>
              <w:t>@GetMapping</w:t>
            </w:r>
            <w:r>
              <w:rPr>
                <w:rFonts w:ascii="Arial" w:hAnsi="Arial"/>
                <w:b w:val="0"/>
                <w:color w:val="333333"/>
                <w:sz w:val="22"/>
              </w:rPr>
              <w:t xml:space="preserve"> + Swagger </w:t>
            </w:r>
            <w:r>
              <w:rPr>
                <w:rFonts w:ascii="Courier New" w:hAnsi="Courier New"/>
                <w:color w:val="333333"/>
                <w:sz w:val="20"/>
              </w:rPr>
              <w:t>@ApiResponse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 xml:space="preserve">Handler HTTP GET + documentação via </w:t>
            </w:r>
            <w:r>
              <w:rPr>
                <w:rFonts w:ascii="Courier New" w:hAnsi="Courier New"/>
                <w:color w:val="333333"/>
                <w:sz w:val="20"/>
              </w:rPr>
              <w:t>swaggo/swag</w:t>
            </w:r>
          </w:p>
        </w:tc>
      </w:tr>
      <w:tr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Courier New" w:hAnsi="Courier New"/>
                <w:color w:val="333333"/>
                <w:sz w:val="20"/>
              </w:rPr>
              <w:t>server.prompt()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Postman Collection compartilhada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Mesmo princípio — arquivo de template versionado no repositório</w:t>
            </w:r>
          </w:p>
        </w:tc>
      </w:tr>
      <w:tr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STDIO transport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Process fork (</w:t>
            </w:r>
            <w:r>
              <w:rPr>
                <w:rFonts w:ascii="Courier New" w:hAnsi="Courier New"/>
                <w:color w:val="333333"/>
                <w:sz w:val="20"/>
              </w:rPr>
              <w:t>ProcessBuilder</w:t>
            </w:r>
            <w:r>
              <w:rPr>
                <w:rFonts w:ascii="Arial" w:hAnsi="Arial"/>
                <w:b w:val="0"/>
                <w:color w:val="333333"/>
                <w:sz w:val="22"/>
              </w:rPr>
              <w:t>)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Courier New" w:hAnsi="Courier New"/>
                <w:color w:val="333333"/>
                <w:sz w:val="20"/>
              </w:rPr>
              <w:t>os/exec</w:t>
            </w:r>
            <w:r>
              <w:rPr>
                <w:rFonts w:ascii="Arial" w:hAnsi="Arial"/>
                <w:b w:val="0"/>
                <w:color w:val="333333"/>
                <w:sz w:val="22"/>
              </w:rPr>
              <w:t xml:space="preserve"> com </w:t>
            </w:r>
            <w:r>
              <w:rPr>
                <w:rFonts w:ascii="Courier New" w:hAnsi="Courier New"/>
                <w:color w:val="333333"/>
                <w:sz w:val="20"/>
              </w:rPr>
              <w:t>cmd.Stdin</w:t>
            </w:r>
            <w:r>
              <w:rPr>
                <w:rFonts w:ascii="Arial" w:hAnsi="Arial"/>
                <w:b w:val="0"/>
                <w:color w:val="333333"/>
                <w:sz w:val="22"/>
              </w:rPr>
              <w:t>/</w:t>
            </w:r>
            <w:r>
              <w:rPr>
                <w:rFonts w:ascii="Courier New" w:hAnsi="Courier New"/>
                <w:color w:val="333333"/>
                <w:sz w:val="20"/>
              </w:rPr>
              <w:t>cmd.Stdout</w:t>
            </w:r>
            <w:r>
              <w:rPr>
                <w:rFonts w:ascii="Arial" w:hAnsi="Arial"/>
                <w:b w:val="0"/>
                <w:color w:val="333333"/>
                <w:sz w:val="22"/>
              </w:rPr>
              <w:t xml:space="preserve"> conectados a pipes</w:t>
            </w:r>
          </w:p>
        </w:tc>
      </w:tr>
      <w:tr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HTTP transport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Courier New" w:hAnsi="Courier New"/>
                <w:color w:val="333333"/>
                <w:sz w:val="20"/>
              </w:rPr>
              <w:t>@RestController</w:t>
            </w:r>
            <w:r>
              <w:rPr>
                <w:rFonts w:ascii="Arial" w:hAnsi="Arial"/>
                <w:b w:val="0"/>
                <w:color w:val="333333"/>
                <w:sz w:val="22"/>
              </w:rPr>
              <w:t xml:space="preserve"> exposto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 xml:space="preserve">Handler </w:t>
            </w:r>
            <w:r>
              <w:rPr>
                <w:rFonts w:ascii="Courier New" w:hAnsi="Courier New"/>
                <w:color w:val="333333"/>
                <w:sz w:val="20"/>
              </w:rPr>
              <w:t>net/http</w:t>
            </w:r>
            <w:r>
              <w:rPr>
                <w:rFonts w:ascii="Arial" w:hAnsi="Arial"/>
                <w:b w:val="0"/>
                <w:color w:val="333333"/>
                <w:sz w:val="22"/>
              </w:rPr>
              <w:t xml:space="preserve"> exposto normalmente</w:t>
            </w:r>
          </w:p>
        </w:tc>
      </w:tr>
      <w:tr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Service Token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Courier New" w:hAnsi="Courier New"/>
                <w:color w:val="333333"/>
                <w:sz w:val="20"/>
              </w:rPr>
              <w:t>@PreAuthorize</w:t>
            </w:r>
            <w:r>
              <w:rPr>
                <w:rFonts w:ascii="Arial" w:hAnsi="Arial"/>
                <w:b w:val="0"/>
                <w:color w:val="333333"/>
                <w:sz w:val="22"/>
              </w:rPr>
              <w:t xml:space="preserve"> + JWT custom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Middleware de autenticação validando token de longa duração</w:t>
            </w:r>
          </w:p>
        </w:tc>
      </w:tr>
      <w:tr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Rate Limiting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Courier New" w:hAnsi="Courier New"/>
                <w:color w:val="333333"/>
                <w:sz w:val="20"/>
              </w:rPr>
              <w:t>@RateLimiter</w:t>
            </w:r>
            <w:r>
              <w:rPr>
                <w:rFonts w:ascii="Arial" w:hAnsi="Arial"/>
                <w:b w:val="0"/>
                <w:color w:val="333333"/>
                <w:sz w:val="22"/>
              </w:rPr>
              <w:t xml:space="preserve"> (Resilience4j)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Courier New" w:hAnsi="Courier New"/>
                <w:color w:val="333333"/>
                <w:sz w:val="20"/>
              </w:rPr>
              <w:t>golang.org/x/time/rate</w:t>
            </w:r>
            <w:r>
              <w:rPr>
                <w:rFonts w:ascii="Arial" w:hAnsi="Arial"/>
                <w:b w:val="0"/>
                <w:color w:val="333333"/>
                <w:sz w:val="22"/>
              </w:rPr>
              <w:t xml:space="preserve"> retornando </w:t>
            </w:r>
            <w:r>
              <w:rPr>
                <w:rFonts w:ascii="Courier New" w:hAnsi="Courier New"/>
                <w:color w:val="333333"/>
                <w:sz w:val="20"/>
              </w:rPr>
              <w:t>429 Too Many Requests</w:t>
            </w:r>
          </w:p>
        </w:tc>
      </w:tr>
      <w:tr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RBAC (member/admin)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Courier New" w:hAnsi="Courier New"/>
                <w:color w:val="333333"/>
                <w:sz w:val="20"/>
              </w:rPr>
              <w:t>@Secured({"ROLE_ADMIN"})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Middleware de autorização checando role antes do handler</w:t>
            </w:r>
          </w:p>
        </w:tc>
      </w:tr>
      <w:tr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Courier New" w:hAnsi="Courier New"/>
                <w:color w:val="333333"/>
                <w:sz w:val="20"/>
              </w:rPr>
              <w:t>onRequest</w:t>
            </w:r>
            <w:r>
              <w:rPr>
                <w:rFonts w:ascii="Arial" w:hAnsi="Arial"/>
                <w:b w:val="0"/>
                <w:color w:val="333333"/>
                <w:sz w:val="22"/>
              </w:rPr>
              <w:t xml:space="preserve"> hook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Courier New" w:hAnsi="Courier New"/>
                <w:color w:val="333333"/>
                <w:sz w:val="20"/>
              </w:rPr>
              <w:t>HandlerInterceptor.preHandle()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 xml:space="preserve">Middleware </w:t>
            </w:r>
            <w:r>
              <w:rPr>
                <w:rFonts w:ascii="Courier New" w:hAnsi="Courier New"/>
                <w:color w:val="333333"/>
                <w:sz w:val="20"/>
              </w:rPr>
              <w:t>net/http</w:t>
            </w:r>
            <w:r>
              <w:rPr>
                <w:rFonts w:ascii="Arial" w:hAnsi="Arial"/>
                <w:b w:val="0"/>
                <w:color w:val="333333"/>
                <w:sz w:val="22"/>
              </w:rPr>
              <w:t xml:space="preserve"> executado antes do handler (</w:t>
            </w:r>
            <w:r>
              <w:rPr>
                <w:rFonts w:ascii="Courier New" w:hAnsi="Courier New"/>
                <w:color w:val="333333"/>
                <w:sz w:val="20"/>
              </w:rPr>
              <w:t>http.Handler</w:t>
            </w:r>
            <w:r>
              <w:rPr>
                <w:rFonts w:ascii="Arial" w:hAnsi="Arial"/>
                <w:b w:val="0"/>
                <w:color w:val="333333"/>
                <w:sz w:val="22"/>
              </w:rPr>
              <w:t xml:space="preserve"> encadeado)</w:t>
            </w:r>
          </w:p>
        </w:tc>
      </w:tr>
      <w:tr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Zod schema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Courier New" w:hAnsi="Courier New"/>
                <w:color w:val="333333"/>
                <w:sz w:val="20"/>
              </w:rPr>
              <w:t>javax.validation</w:t>
            </w:r>
            <w:r>
              <w:rPr>
                <w:rFonts w:ascii="Arial" w:hAnsi="Arial"/>
                <w:b w:val="0"/>
                <w:color w:val="333333"/>
                <w:sz w:val="22"/>
              </w:rPr>
              <w:t xml:space="preserve"> annotations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 xml:space="preserve">Struct tags + </w:t>
            </w:r>
            <w:r>
              <w:rPr>
                <w:rFonts w:ascii="Courier New" w:hAnsi="Courier New"/>
                <w:color w:val="333333"/>
                <w:sz w:val="20"/>
              </w:rPr>
              <w:t>validator.Struct()</w:t>
            </w:r>
          </w:p>
        </w:tc>
      </w:tr>
    </w:tbl>
    <w:p>
      <w:pPr>
        <w:spacing w:after="80"/>
      </w:pPr>
    </w:p>
    <w:p>
      <w:pPr>
        <w:spacing w:before="120" w:after="120"/>
        <w:ind w:left="360" w:right="360"/>
        <w:shd w:val="clear" w:fill="F5F5F5"/>
        <w:pBdr>
          <w:left w:val="single" w:color="2E75B6" w:sz="4" w:space="10"/>
        </w:pBdr>
      </w:pPr>
      <w:r>
        <w:rPr>
          <w:rFonts w:ascii="Arial" w:hAnsi="Arial"/>
          <w:b w:val="0"/>
          <w:color w:val="333333"/>
          <w:sz w:val="22"/>
        </w:rPr>
        <w:t xml:space="preserve">💡 </w:t>
      </w:r>
      <w:r>
        <w:rPr>
          <w:rFonts w:ascii="Arial" w:hAnsi="Arial"/>
          <w:b/>
          <w:color w:val="333333"/>
          <w:sz w:val="22"/>
        </w:rPr>
        <w:t>Analogia-chave:</w:t>
      </w:r>
      <w:r>
        <w:rPr>
          <w:rFonts w:ascii="Arial" w:hAnsi="Arial"/>
          <w:b w:val="0"/>
          <w:color w:val="333333"/>
          <w:sz w:val="22"/>
        </w:rPr>
        <w:t xml:space="preserve"> Um servidor MCP completo (tools + resources + prompts) equivale, em Java, a um </w:t>
      </w:r>
      <w:r>
        <w:rPr>
          <w:rFonts w:ascii="Courier New" w:hAnsi="Courier New"/>
          <w:color w:val="333333"/>
          <w:sz w:val="20"/>
        </w:rPr>
        <w:t>@RestController</w:t>
      </w:r>
      <w:r>
        <w:rPr>
          <w:rFonts w:ascii="Arial" w:hAnsi="Arial"/>
          <w:b w:val="0"/>
          <w:color w:val="333333"/>
          <w:sz w:val="22"/>
        </w:rPr>
        <w:t xml:space="preserve"> com Swagger bem documentado; em Go, a um conjunto de handlers </w:t>
      </w:r>
      <w:r>
        <w:rPr>
          <w:rFonts w:ascii="Courier New" w:hAnsi="Courier New"/>
          <w:color w:val="333333"/>
          <w:sz w:val="20"/>
        </w:rPr>
        <w:t>net/http</w:t>
      </w:r>
      <w:r>
        <w:rPr>
          <w:rFonts w:ascii="Arial" w:hAnsi="Arial"/>
          <w:b w:val="0"/>
          <w:color w:val="333333"/>
          <w:sz w:val="22"/>
        </w:rPr>
        <w:t xml:space="preserve"> com middleware de auth e um arquivo de documentação/collection versionado. Em ambos os casos, a diferença central é que o consumidor é uma LLM, não um humano.</w:t>
      </w:r>
    </w:p>
    <w:p>
      <w:pPr>
        <w:pStyle w:val="Heading2"/>
        <w:spacing w:before="360" w:after="160"/>
      </w:pPr>
      <w:r>
        <w:rPr>
          <w:rFonts w:ascii="Arial" w:hAnsi="Arial"/>
          <w:b/>
          <w:color w:val="2E74B5"/>
          <w:sz w:val="28"/>
        </w:rPr>
        <w:t>5. Escalabilidade e Produção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1F4D78"/>
          <w:sz w:val="24"/>
        </w:rPr>
        <w:t>Limitações do Approach Didático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6E4F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333333"/>
                <w:sz w:val="22"/>
              </w:rPr>
              <w:t>Aspecto</w:t>
            </w:r>
          </w:p>
        </w:tc>
        <w:tc>
          <w:tcPr>
            <w:tcW w:type="dxa" w:w="2880"/>
            <w:shd w:val="clear" w:fill="D6E4F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333333"/>
                <w:sz w:val="22"/>
              </w:rPr>
              <w:t>Didático</w:t>
            </w:r>
          </w:p>
        </w:tc>
        <w:tc>
          <w:tcPr>
            <w:tcW w:type="dxa" w:w="2880"/>
            <w:shd w:val="clear" w:fill="D6E4F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333333"/>
                <w:sz w:val="22"/>
              </w:rPr>
              <w:t>Produção</w:t>
            </w:r>
          </w:p>
        </w:tc>
      </w:tr>
      <w:tr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Service Tokens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Armazenados em memória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Redis/banco persistente</w:t>
            </w:r>
          </w:p>
        </w:tc>
      </w:tr>
      <w:tr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Rate limiting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Por token apenas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Token + IP</w:t>
            </w:r>
          </w:p>
        </w:tc>
      </w:tr>
      <w:tr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Autenticação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Usuários em memória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Identity Provider (Keycloak, Auth0)</w:t>
            </w:r>
          </w:p>
        </w:tc>
      </w:tr>
      <w:tr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Secrets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Courier New" w:hAnsi="Courier New"/>
                <w:color w:val="333333"/>
                <w:sz w:val="20"/>
              </w:rPr>
              <w:t>.env</w:t>
            </w:r>
            <w:r>
              <w:rPr>
                <w:rFonts w:ascii="Arial" w:hAnsi="Arial"/>
                <w:b w:val="0"/>
                <w:color w:val="333333"/>
                <w:sz w:val="22"/>
              </w:rPr>
              <w:t xml:space="preserve"> local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Vault, AWS Secrets Manager</w:t>
            </w:r>
          </w:p>
        </w:tc>
      </w:tr>
      <w:tr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MCP transport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STDIO local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HTTP + TLS para múltiplos clientes</w:t>
            </w:r>
          </w:p>
        </w:tc>
      </w:tr>
    </w:tbl>
    <w:p>
      <w:pPr>
        <w:spacing w:after="80"/>
      </w:pPr>
    </w:p>
    <w:p>
      <w:pPr>
        <w:pStyle w:val="Heading3"/>
        <w:spacing w:before="200" w:after="80"/>
      </w:pPr>
      <w:r>
        <w:rPr>
          <w:rFonts w:ascii="Arial" w:hAnsi="Arial"/>
          <w:b/>
          <w:color w:val="1F4D78"/>
          <w:sz w:val="24"/>
        </w:rPr>
        <w:t>Segurança em MCPs Públicos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✅ SEMPRE FAZER: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- Validar inputs com schema (Zod/Joi)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- Service Tokens via env vars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- Rate limiting por token E por IP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- Apenas operações read-only em dados críticos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- Repositórios oficiais para MCPs de terceiros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❌ NUNCA FAZER: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- Hardcode de secrets no código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- Mapeamento 1:1 endpoint→tool (vaza estrutura interna)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- Sem rate limiting em APIs pagas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- MCPs sem autenticação em produção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1F4D78"/>
          <w:sz w:val="24"/>
        </w:rPr>
        <w:t>Padrão de Rate Limiting em MCP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// Identificação por token (auth) ou IP (fallback)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keyGenerator: (req) =&gt; {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const token = req.headers.authorization?.replace("Bearer ", "");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return token || req.ip;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}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// Resposta padrão: 429 + Retry-After header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1F4D78"/>
          <w:sz w:val="24"/>
        </w:rPr>
        <w:t>Recomendações para Scale</w:t>
      </w:r>
    </w:p>
    <w:p>
      <w:pPr>
        <w:pStyle w:val="ListBullet"/>
        <w:spacing w:after="80"/>
      </w:pPr>
      <w:r>
        <w:rPr>
          <w:rFonts w:ascii="Arial" w:hAnsi="Arial"/>
          <w:b/>
          <w:color w:val="333333"/>
          <w:sz w:val="22"/>
        </w:rPr>
        <w:t>Múltiplos clientes simultâneos</w:t>
      </w:r>
      <w:r>
        <w:rPr>
          <w:rFonts w:ascii="Arial" w:hAnsi="Arial"/>
          <w:b w:val="0"/>
          <w:color w:val="333333"/>
          <w:sz w:val="22"/>
        </w:rPr>
        <w:t xml:space="preserve"> → HTTP transport + autoscaling</w:t>
      </w:r>
    </w:p>
    <w:p>
      <w:pPr>
        <w:pStyle w:val="ListBullet"/>
        <w:spacing w:after="80"/>
      </w:pPr>
      <w:r>
        <w:rPr>
          <w:rFonts w:ascii="Arial" w:hAnsi="Arial"/>
          <w:b/>
          <w:color w:val="333333"/>
          <w:sz w:val="22"/>
        </w:rPr>
        <w:t>Dados grandes</w:t>
      </w:r>
      <w:r>
        <w:rPr>
          <w:rFonts w:ascii="Arial" w:hAnsi="Arial"/>
          <w:b w:val="0"/>
          <w:color w:val="333333"/>
          <w:sz w:val="22"/>
        </w:rPr>
        <w:t xml:space="preserve"> → Não enviar no prompt; usar tools de leitura sob demanda</w:t>
      </w:r>
    </w:p>
    <w:p>
      <w:pPr>
        <w:pStyle w:val="ListBullet"/>
        <w:spacing w:after="80"/>
      </w:pPr>
      <w:r>
        <w:rPr>
          <w:rFonts w:ascii="Arial" w:hAnsi="Arial"/>
          <w:b/>
          <w:color w:val="333333"/>
          <w:sz w:val="22"/>
        </w:rPr>
        <w:t>Context window</w:t>
      </w:r>
      <w:r>
        <w:rPr>
          <w:rFonts w:ascii="Arial" w:hAnsi="Arial"/>
          <w:b w:val="0"/>
          <w:color w:val="333333"/>
          <w:sz w:val="22"/>
        </w:rPr>
        <w:t xml:space="preserve"> → Limite de tokens define volume máximo de dados processáveis</w:t>
      </w:r>
    </w:p>
    <w:p>
      <w:pPr>
        <w:pStyle w:val="ListBullet"/>
        <w:spacing w:after="80"/>
      </w:pPr>
      <w:r>
        <w:rPr>
          <w:rFonts w:ascii="Arial" w:hAnsi="Arial"/>
          <w:b/>
          <w:color w:val="333333"/>
          <w:sz w:val="22"/>
        </w:rPr>
        <w:t>Custo</w:t>
      </w:r>
      <w:r>
        <w:rPr>
          <w:rFonts w:ascii="Arial" w:hAnsi="Arial"/>
          <w:b w:val="0"/>
          <w:color w:val="333333"/>
          <w:sz w:val="22"/>
        </w:rPr>
        <w:t xml:space="preserve"> → MCP reduz tokens vs REST (ações em vez de spec completa)</w:t>
      </w:r>
    </w:p>
    <w:p>
      <w:pPr>
        <w:pStyle w:val="Heading2"/>
        <w:spacing w:before="360" w:after="160"/>
      </w:pPr>
      <w:r>
        <w:rPr>
          <w:rFonts w:ascii="Arial" w:hAnsi="Arial"/>
          <w:b/>
          <w:color w:val="2E74B5"/>
          <w:sz w:val="28"/>
        </w:rPr>
        <w:t>6. Conexões entre Módulos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4320"/>
      </w:tblGrid>
      <w:tr>
        <w:tc>
          <w:tcPr>
            <w:tcW w:type="dxa" w:w="4320"/>
            <w:shd w:val="clear" w:fill="D6E4F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333333"/>
                <w:sz w:val="22"/>
              </w:rPr>
              <w:t>Módulo anterior</w:t>
            </w:r>
          </w:p>
        </w:tc>
        <w:tc>
          <w:tcPr>
            <w:tcW w:type="dxa" w:w="4320"/>
            <w:shd w:val="clear" w:fill="D6E4F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333333"/>
                <w:sz w:val="22"/>
              </w:rPr>
              <w:t>Como MCP se conecta</w:t>
            </w:r>
          </w:p>
        </w:tc>
      </w:tr>
      <w:tr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333333"/>
                <w:sz w:val="22"/>
              </w:rPr>
              <w:t>Módulo 01</w:t>
            </w:r>
            <w:r>
              <w:rPr>
                <w:rFonts w:ascii="Arial" w:hAnsi="Arial"/>
                <w:b w:val="0"/>
                <w:color w:val="333333"/>
                <w:sz w:val="22"/>
              </w:rPr>
              <w:t xml:space="preserve"> (TensorFlow, Embeddings)</w:t>
            </w:r>
          </w:p>
        </w:tc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MCP pode expor modelos como tools (</w:t>
            </w:r>
            <w:r>
              <w:rPr>
                <w:rFonts w:ascii="Courier New" w:hAnsi="Courier New"/>
                <w:color w:val="333333"/>
                <w:sz w:val="20"/>
              </w:rPr>
              <w:t>predictCategory</w:t>
            </w:r>
            <w:r>
              <w:rPr>
                <w:rFonts w:ascii="Arial" w:hAnsi="Arial"/>
                <w:b w:val="0"/>
                <w:color w:val="333333"/>
                <w:sz w:val="22"/>
              </w:rPr>
              <w:t xml:space="preserve">, </w:t>
            </w:r>
            <w:r>
              <w:rPr>
                <w:rFonts w:ascii="Courier New" w:hAnsi="Courier New"/>
                <w:color w:val="333333"/>
                <w:sz w:val="20"/>
              </w:rPr>
              <w:t>searchSimilar</w:t>
            </w:r>
            <w:r>
              <w:rPr>
                <w:rFonts w:ascii="Arial" w:hAnsi="Arial"/>
                <w:b w:val="0"/>
                <w:color w:val="333333"/>
                <w:sz w:val="22"/>
              </w:rPr>
              <w:t>)</w:t>
            </w:r>
          </w:p>
        </w:tc>
      </w:tr>
      <w:tr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333333"/>
                <w:sz w:val="22"/>
              </w:rPr>
              <w:t>Módulo 02</w:t>
            </w:r>
            <w:r>
              <w:rPr>
                <w:rFonts w:ascii="Arial" w:hAnsi="Arial"/>
                <w:b w:val="0"/>
                <w:color w:val="333333"/>
                <w:sz w:val="22"/>
              </w:rPr>
              <w:t xml:space="preserve"> (APIs LLMs, RAG)</w:t>
            </w:r>
          </w:p>
        </w:tc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MCP é a camada de abstração que o RAG usa para buscar dados</w:t>
            </w:r>
          </w:p>
        </w:tc>
      </w:tr>
      <w:tr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333333"/>
                <w:sz w:val="22"/>
              </w:rPr>
              <w:t>Módulo 03</w:t>
            </w:r>
            <w:r>
              <w:rPr>
                <w:rFonts w:ascii="Arial" w:hAnsi="Arial"/>
                <w:b w:val="0"/>
                <w:color w:val="333333"/>
                <w:sz w:val="22"/>
              </w:rPr>
              <w:t xml:space="preserve"> (MCP — este)</w:t>
            </w:r>
          </w:p>
        </w:tc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Base para os agentes do próximo módulo</w:t>
            </w:r>
          </w:p>
        </w:tc>
      </w:tr>
      <w:tr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333333"/>
                <w:sz w:val="22"/>
              </w:rPr>
              <w:t>Módulo 04</w:t>
            </w:r>
            <w:r>
              <w:rPr>
                <w:rFonts w:ascii="Arial" w:hAnsi="Arial"/>
                <w:b w:val="0"/>
                <w:color w:val="333333"/>
                <w:sz w:val="22"/>
              </w:rPr>
              <w:t xml:space="preserve"> (Agentes)</w:t>
            </w:r>
          </w:p>
        </w:tc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Agentes autônomos consomem MCPs como ferramentas</w:t>
            </w:r>
          </w:p>
        </w:tc>
      </w:tr>
    </w:tbl>
    <w:p>
      <w:pPr>
        <w:spacing w:after="80"/>
      </w:pPr>
    </w:p>
    <w:p>
      <w:pPr>
        <w:spacing w:before="120" w:after="0"/>
        <w:ind w:left="360" w:right="360"/>
        <w:shd w:val="clear" w:fill="F5F5F5"/>
        <w:pBdr>
          <w:left w:val="single" w:color="2E75B6" w:sz="4" w:space="10"/>
        </w:pBdr>
      </w:pPr>
      <w:r>
        <w:rPr>
          <w:rFonts w:ascii="Arial" w:hAnsi="Arial"/>
          <w:b w:val="0"/>
          <w:color w:val="333333"/>
          <w:sz w:val="22"/>
        </w:rPr>
        <w:t xml:space="preserve">🏗️ </w:t>
      </w:r>
      <w:r>
        <w:rPr>
          <w:rFonts w:ascii="Arial" w:hAnsi="Arial"/>
          <w:b/>
          <w:color w:val="333333"/>
          <w:sz w:val="22"/>
        </w:rPr>
        <w:t>Arquitetura macro:</w:t>
      </w:r>
    </w:p>
    <w:p>
      <w:pPr>
        <w:spacing w:before="0" w:after="0"/>
        <w:ind w:left="360" w:right="360"/>
        <w:shd w:val="clear" w:fill="F5F5F5"/>
        <w:pBdr>
          <w:left w:val="single" w:color="2E75B6" w:sz="4" w:space="10"/>
        </w:pBdr>
      </w:pPr>
      <w:r>
        <w:rPr>
          <w:rFonts w:ascii="Courier New" w:hAnsi="Courier New"/>
          <w:color w:val="333333"/>
          <w:sz w:val="18"/>
        </w:rPr>
        <w:t>LLM / Agente Autônomo</w:t>
      </w:r>
    </w:p>
    <w:p>
      <w:pPr>
        <w:spacing w:before="0" w:after="0"/>
        <w:ind w:left="360" w:right="360"/>
        <w:shd w:val="clear" w:fill="F5F5F5"/>
        <w:pBdr>
          <w:left w:val="single" w:color="2E75B6" w:sz="4" w:space="10"/>
        </w:pBdr>
      </w:pPr>
      <w:r>
        <w:rPr>
          <w:rFonts w:ascii="Courier New" w:hAnsi="Courier New"/>
          <w:color w:val="333333"/>
          <w:sz w:val="18"/>
        </w:rPr>
        <w:t xml:space="preserve">     ↓ usa</w:t>
      </w:r>
    </w:p>
    <w:p>
      <w:pPr>
        <w:spacing w:before="0" w:after="0"/>
        <w:ind w:left="360" w:right="360"/>
        <w:shd w:val="clear" w:fill="F5F5F5"/>
        <w:pBdr>
          <w:left w:val="single" w:color="2E75B6" w:sz="4" w:space="10"/>
        </w:pBdr>
      </w:pPr>
      <w:r>
        <w:rPr>
          <w:rFonts w:ascii="Courier New" w:hAnsi="Courier New"/>
          <w:color w:val="333333"/>
          <w:sz w:val="18"/>
        </w:rPr>
        <w:t>MCP Server (tools, resources, prompts)</w:t>
      </w:r>
    </w:p>
    <w:p>
      <w:pPr>
        <w:spacing w:before="0" w:after="0"/>
        <w:ind w:left="360" w:right="360"/>
        <w:shd w:val="clear" w:fill="F5F5F5"/>
        <w:pBdr>
          <w:left w:val="single" w:color="2E75B6" w:sz="4" w:space="10"/>
        </w:pBdr>
      </w:pPr>
      <w:r>
        <w:rPr>
          <w:rFonts w:ascii="Courier New" w:hAnsi="Courier New"/>
          <w:color w:val="333333"/>
          <w:sz w:val="18"/>
        </w:rPr>
        <w:t xml:space="preserve">     ↓ abstrai</w:t>
      </w:r>
    </w:p>
    <w:p>
      <w:pPr>
        <w:spacing w:before="0" w:after="120"/>
        <w:ind w:left="360" w:right="360"/>
        <w:shd w:val="clear" w:fill="F5F5F5"/>
        <w:pBdr>
          <w:left w:val="single" w:color="2E75B6" w:sz="4" w:space="10"/>
        </w:pBdr>
      </w:pPr>
      <w:r>
        <w:rPr>
          <w:rFonts w:ascii="Courier New" w:hAnsi="Courier New"/>
          <w:color w:val="333333"/>
          <w:sz w:val="18"/>
        </w:rPr>
        <w:t>API Legada / Banco / Serviço Interno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1F4D78"/>
          <w:sz w:val="24"/>
        </w:rPr>
        <w:t>Glossário do Módulo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4320"/>
      </w:tblGrid>
      <w:tr>
        <w:tc>
          <w:tcPr>
            <w:tcW w:type="dxa" w:w="4320"/>
            <w:shd w:val="clear" w:fill="D6E4F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333333"/>
                <w:sz w:val="22"/>
              </w:rPr>
              <w:t>Termo</w:t>
            </w:r>
          </w:p>
        </w:tc>
        <w:tc>
          <w:tcPr>
            <w:tcW w:type="dxa" w:w="4320"/>
            <w:shd w:val="clear" w:fill="D6E4F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333333"/>
                <w:sz w:val="22"/>
              </w:rPr>
              <w:t>Definição</w:t>
            </w:r>
          </w:p>
        </w:tc>
      </w:tr>
      <w:tr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333333"/>
                <w:sz w:val="22"/>
              </w:rPr>
              <w:t>MCP</w:t>
            </w:r>
          </w:p>
        </w:tc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Model Context Protocol — padrão de comunicação LLM↔ferramentas</w:t>
            </w:r>
          </w:p>
        </w:tc>
      </w:tr>
      <w:tr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333333"/>
                <w:sz w:val="22"/>
              </w:rPr>
              <w:t>Tool</w:t>
            </w:r>
          </w:p>
        </w:tc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Função executável registrada no servidor MCP</w:t>
            </w:r>
          </w:p>
        </w:tc>
      </w:tr>
      <w:tr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333333"/>
                <w:sz w:val="22"/>
              </w:rPr>
              <w:t>Resource</w:t>
            </w:r>
          </w:p>
        </w:tc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Documento/contexto embutido no servidor (não executa ação)</w:t>
            </w:r>
          </w:p>
        </w:tc>
      </w:tr>
      <w:tr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333333"/>
                <w:sz w:val="22"/>
              </w:rPr>
              <w:t>Prompt</w:t>
            </w:r>
          </w:p>
        </w:tc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Template de instrução parametrizado</w:t>
            </w:r>
          </w:p>
        </w:tc>
      </w:tr>
      <w:tr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333333"/>
                <w:sz w:val="22"/>
              </w:rPr>
              <w:t>STDIO</w:t>
            </w:r>
          </w:p>
        </w:tc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Standard Input/Output — transporte padrão para MCPs locais</w:t>
            </w:r>
          </w:p>
        </w:tc>
      </w:tr>
      <w:tr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333333"/>
                <w:sz w:val="22"/>
              </w:rPr>
              <w:t>Service Token</w:t>
            </w:r>
          </w:p>
        </w:tc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API key de longa duração para integrações programáticas</w:t>
            </w:r>
          </w:p>
        </w:tc>
      </w:tr>
      <w:tr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333333"/>
                <w:sz w:val="22"/>
              </w:rPr>
              <w:t>RBAC</w:t>
            </w:r>
          </w:p>
        </w:tc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Role-Based Access Control — autorização por papel</w:t>
            </w:r>
          </w:p>
        </w:tc>
      </w:tr>
      <w:tr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333333"/>
                <w:sz w:val="22"/>
              </w:rPr>
              <w:t>Rate Limiting</w:t>
            </w:r>
          </w:p>
        </w:tc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Controle de volume de requisições por período</w:t>
            </w:r>
          </w:p>
        </w:tc>
      </w:tr>
      <w:tr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333333"/>
                <w:sz w:val="22"/>
              </w:rPr>
              <w:t>Zod</w:t>
            </w:r>
          </w:p>
        </w:tc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Biblioteca TypeScript de validação e tipagem de schemas</w:t>
            </w:r>
          </w:p>
        </w:tc>
      </w:tr>
      <w:tr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333333"/>
                <w:sz w:val="22"/>
              </w:rPr>
              <w:t>Tool discovery</w:t>
            </w:r>
          </w:p>
        </w:tc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Capacidade do cliente MCP explorar automaticamente as tools disponíveis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