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d2ba6cdad9f84ab1"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5.529" w:h="16837.82"/>
      <w:pgMar w:top="566.93" w:right="566.93" w:bottom="566.93" w:left="566.93" w:header="708" w:footer="708" w:gutter="0"/>
      <w:cols w:space="708"/>
      <w:type w:val="continuous"/>
      <w:docGrid w:linePitch="360"/>
    </w:sectPr>
    <w:p>
      <w:pPr>
        <w:jc w:val="center"/>
        <w:spacing w:after="260"/>
      </w:pPr>
      <w:r>
        <w:rPr>
          <w:sz w:val="24"/>
          <w:szCs w:val="24"/>
          <w:rFonts w:ascii="Montserrat" w:hAnsi="Montserrat" w:cs="Montserrat" w:eastAsia="Montserrat"/>
          <w:color w:val="000000"/>
          <w:b/>
        </w:rPr>
        <w:t>CONTRATO DE HONORÁRIOS (</w:t>
      </w:r>
      <w:r>
        <w:rPr>
          <w:sz w:val="24"/>
          <w:szCs w:val="24"/>
          <w:rFonts w:ascii="Montserrat" w:hAnsi="Montserrat" w:cs="Montserrat" w:eastAsia="Montserrat"/>
          <w:color w:val="000000"/>
          <w:b/>
        </w:rPr>
        <w:t>) - PF/PJ (TD 11-6)</w:t>
      </w:r>
      <w:r>
        <w:rPr>
          <w:lang w:val="en-US"/>
        </w:rPr>
        <w:t xml:space="preserve"> </w:t>
      </w:r>
      <w:r>
        <w:br/>
      </w:r>
    </w:p>
    <w:p>
      <w:pPr>
        <w:jc w:val="both"/>
        <w:spacing w:after="260"/>
      </w:pPr>
      <w:r>
        <w:rPr>
          <w:sz w:val="24"/>
          <w:szCs w:val="24"/>
          <w:rFonts w:ascii="Montserrat" w:hAnsi="Montserrat" w:cs="Montserrat" w:eastAsia="Montserrat"/>
          <w:color w:val="000000"/>
        </w:rPr>
        <w:t>I. BOLETIM DE CADASTRAMENTO:</w:t>
      </w:r>
      <w:r>
        <w:rPr>
          <w:lang w:val="en-US"/>
        </w:rPr>
        <w:t xml:space="preserve"> </w:t>
      </w:r>
      <w:r>
        <w:rPr>
          <w:sz w:val="24"/>
          <w:szCs w:val="24"/>
          <w:rFonts w:ascii="Montserrat" w:hAnsi="Montserrat" w:cs="Montserrat" w:eastAsia="Montserrat"/>
          <w:color w:val="000000"/>
        </w:rPr>
        <w:t>,</w:t>
      </w:r>
      <w:r>
        <w:rPr>
          <w:lang w:val="en-US"/>
        </w:rPr>
        <w:t xml:space="preserve"> </w:t>
      </w:r>
      <w:r>
        <w:rPr>
          <w:lang w:val="en-US"/>
        </w:rPr>
        <w:t xml:space="preserve"> </w:t>
      </w:r>
      <w:r>
        <w:rPr>
          <w:sz w:val="24"/>
          <w:szCs w:val="24"/>
          <w:rFonts w:ascii="Montserrat" w:hAnsi="Montserrat" w:cs="Montserrat" w:eastAsia="Montserrat"/>
          <w:color w:val="000000"/>
        </w:rPr>
        <w:t>CNPJ 47.351.601/0001-02, com sede na Rodovia Jorge Lacerda, 3329, Barra de Luiz Alves, município de Ilhota , SC, CEP 88.320-000</w:t>
      </w:r>
      <w:r>
        <w:rPr>
          <w:lang w:val="en-US"/>
        </w:rPr>
        <w:t xml:space="preserve"> </w:t>
      </w:r>
      <w:r>
        <w:rPr>
          <w:sz w:val="24"/>
          <w:szCs w:val="24"/>
          <w:rFonts w:ascii="Montserrat" w:hAnsi="Montserrat" w:cs="Montserrat" w:eastAsia="Montserrat"/>
          <w:color w:val="000000"/>
        </w:rPr>
        <w:t>(CONTRATANTE) por sua vontade, resolve na melhor forma de direito celebrar com MAYER SOCIEDADE DE ADVOGADOS, inscrita na Ordem dos Advogados do Brasil com o registro de número 2097, pessoa jurídica de direito privado estabelecida na Avenida Marcos Konder, 1207,62, Centro, Itajaí, Santa Catarina, 88301-303, falecom@mayeradvogados.adv.br, CNPJ 18.716.288/0001-60, neste ato representado por seu sócio administrador em diante denominado simplesmente como CONTRATADA.</w:t>
      </w:r>
    </w:p>
    <w:p>
      <w:pPr>
        <w:jc w:val="both"/>
        <w:spacing w:after="260"/>
      </w:pPr>
      <w:r>
        <w:rPr>
          <w:sz w:val="24"/>
          <w:szCs w:val="24"/>
          <w:rFonts w:ascii="Montserrat" w:hAnsi="Montserrat" w:cs="Montserrat" w:eastAsia="Montserrat"/>
          <w:color w:val="000000"/>
        </w:rPr>
        <w:t>II. QUADRO RESUMO DOS SERVIÇOS CONTRATADOS: (CL 45-0)</w:t>
      </w:r>
    </w:p>
    <w:tbl>
      <w:tblPr>
        <w:tblStyle w:val="TableGrid"/>
        <w:tblW w:w="5000" w:type="auto"/>
        <w:tblLook w:val="04A0"/>
        <w:jc w:val="left"/>
        <w:tblBorders>
          <w:bottom w:val="outset" w:sz="2" w:space="0" w:color="808080"/>
          <w:left w:val="outset" w:sz="2" w:space="0" w:color="808080"/>
          <w:right w:val="outset" w:sz="2" w:space="0" w:color="808080"/>
          <w:top w:val="outset" w:sz="2" w:space="0" w:color="808080"/>
        </w:tblBorders>
      </w:tblPr>
      <w:tr>
        <w:tc>
          <w:tcPr>
            <w:tcW w:w="25720.5"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Integram o escopo, em caráter contínuo e incremental, as dimensões contenciosa e consultiva da atuação jurídica da empresa. No plano contencioso, a contratada realizará o acompanhamento completo e a condução dos processos já ativos, incluindo elaboração de peças processuais de defesa, contestações, manifestações intermediárias e todas as medidas necessárias ao regular andamento das demandas. No plano consultivo, o escritório prestará suporte jurídico voltado à análise, revisão e elaboração de contratos e instrumentos jurídicos, orientação preventiva em negociações comerciais com clientes e fornecedores, esclarecimentos jurídicos pontuais relacionados à operação da empresa e avaliação de riscos em decisões de negócio. Quando necessário, o escritório promoverá o ingresso de ações judiciais ou extrajudiciais em defesa dos interesses da contratante. O presente contrato foi estruturado considerando o volume atual de processos ativos, com capacidade de absorção de até cinco demandas judiciais ou extrajudiciais simultâneas.</w:t>
            </w:r>
          </w:p>
        </w:tc>
      </w:tr>
    </w:tbl>
    <w:p>
      <w:pPr>
        <w:jc w:val="both"/>
        <w:spacing w:after="260"/>
      </w:pPr>
      <w:r>
        <w:rPr>
          <w:sz w:val="24"/>
          <w:szCs w:val="24"/>
          <w:rFonts w:ascii="Montserrat" w:hAnsi="Montserrat" w:cs="Montserrat" w:eastAsia="Montserrat"/>
          <w:color w:val="000000"/>
        </w:rPr>
        <w:t>III. QUADRO DESCRITIVO DE HONORÁRIOS: (CL 33-9)</w:t>
      </w:r>
      <w:r>
        <w:rPr>
          <w:lang w:val="en-US"/>
        </w:rPr>
        <w:t xml:space="preserve"> </w:t>
      </w:r>
    </w:p>
    <w:tbl>
      <w:tblPr>
        <w:tblStyle w:val="TableGrid"/>
        <w:tblW w:w="5000" w:type="auto"/>
        <w:tblLook w:val="04A0"/>
        <w:jc w:val="left"/>
        <w:tblBorders>
          <w:bottom w:val="outset" w:sz="2" w:space="0" w:color="808080"/>
          <w:left w:val="outset" w:sz="2" w:space="0" w:color="808080"/>
          <w:right w:val="outset" w:sz="2" w:space="0" w:color="808080"/>
          <w:top w:val="outset" w:sz="2" w:space="0" w:color="808080"/>
        </w:tblBorders>
      </w:tblP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Honorários pró-labore</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R$ 30.000,00</w:t>
            </w:r>
          </w:p>
        </w:tc>
      </w:t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Honorários de êxito</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20%</w:t>
            </w:r>
            <w:r>
              <w:rPr>
                <w:lang w:val="en-US"/>
              </w:rPr>
              <w:t xml:space="preserve"> </w:t>
            </w:r>
          </w:p>
        </w:tc>
      </w:t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Escopo do contrato:</w:t>
            </w:r>
            <w:r>
              <w:rPr>
                <w:lang w:val="en-US"/>
              </w:rPr>
              <w:t xml:space="preserve"> </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  •  ] Até julgamento em primeiro grau; [  x  ] até julgamento em segundo grau</w:t>
            </w:r>
          </w:p>
        </w:tc>
      </w:t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Honorários devidos no segundo grau</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R$ 0,00</w:t>
            </w:r>
          </w:p>
        </w:tc>
      </w:t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Honorários de êxito no segundo grau</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20%</w:t>
            </w:r>
          </w:p>
        </w:tc>
      </w:t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Outros honorários pactuados</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00% ou R$ 0,00</w:t>
            </w:r>
          </w:p>
        </w:tc>
      </w:tr>
      <w:tr>
        <w:tc>
          <w:tcPr>
            <w:tcW w:w="11856"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FORMA DE PAGAMENTO</w:t>
            </w:r>
          </w:p>
        </w:tc>
        <w:tc>
          <w:tcPr>
            <w:tcW w:w="13845" w:type="dxa"/>
            <w:vAlign w:val="top"/>
            <w:tcMar>
              <w:bottom w:type="dxa" w:w="0"/>
              <w:left w:type="dxa" w:w="0"/>
              <w:right w:type="dxa" w:w="0"/>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Boleto bancário - 12 parcelas de R$ 2.500,00 mensais com vencimento no dia 10 de cada mês.</w:t>
            </w:r>
          </w:p>
        </w:tc>
      </w:tr>
    </w:tbl>
    <w:p>
      <w:pPr>
        <w:jc w:val="both"/>
        <w:spacing w:after="260"/>
      </w:pPr>
      <w:r>
        <w:rPr>
          <w:sz w:val="24"/>
          <w:szCs w:val="24"/>
          <w:rFonts w:ascii="Montserrat" w:hAnsi="Montserrat" w:cs="Montserrat" w:eastAsia="Montserrat"/>
          <w:color w:val="000000"/>
        </w:rPr>
        <w:t>IV. COMPOSIÇÃO DA OPERAÇÃO (CL 83-3)</w:t>
      </w:r>
    </w:p>
    <w:tbl>
      <w:tblPr>
        <w:tblStyle w:val="TableGrid"/>
        <w:tblW w:w="5000" w:type="auto"/>
        <w:tblLook w:val="04A0"/>
        <w:jc w:val="left"/>
        <w:tblBorders>
          <w:bottom w:val="outset" w:sz="2" w:space="0" w:color="808080"/>
          <w:left w:val="outset" w:sz="2" w:space="0" w:color="808080"/>
          <w:right w:val="outset" w:sz="2" w:space="0" w:color="808080"/>
          <w:top w:val="outset" w:sz="2" w:space="0" w:color="808080"/>
        </w:tblBorders>
      </w:tblPr>
      <w:tr>
        <w:tc>
          <w:tcPr>
            <w:tcW w:w="25720.5" w:type="dxa"/>
            <w:vAlign w:val="top"/>
            <w:tcMar>
              <w:bottom w:type="dxa" w:w="0"/>
              <w:left w:type="dxa" w:w="105"/>
              <w:right w:type="dxa" w:w="105"/>
              <w:top w:type="dxa" w:w="0"/>
            </w:tcMar>
            <w:tcBorders>
              <w:bottom w:val="inset" w:sz="2" w:space="0" w:color="808080"/>
              <w:left w:val="inset" w:sz="2" w:space="0" w:color="808080"/>
              <w:right w:val="inset" w:sz="2" w:space="0" w:color="808080"/>
              <w:top w:val="inset" w:sz="2" w:space="0" w:color="808080"/>
            </w:tcBorders>
          </w:tcPr>
          <w:p>
            <w:pPr>
              <w:jc w:val="both"/>
            </w:pPr>
            <w:r>
              <w:rPr>
                <w:sz w:val="24"/>
                <w:szCs w:val="24"/>
                <w:rFonts w:ascii="Montserrat" w:hAnsi="Montserrat" w:cs="Montserrat" w:eastAsia="Montserrat"/>
                <w:color w:val="000000"/>
              </w:rPr>
              <w:t>Forma de pagamento: Parcelado - Boleto Bancário // Ref. Serviço:  11.2 Advocacia de Partido // Outros dados da operação.</w:t>
            </w:r>
          </w:p>
        </w:tc>
      </w:tr>
    </w:tbl>
    <w:p>
      <w:pPr>
        <w:jc w:val="both"/>
        <w:spacing w:after="260"/>
      </w:pPr>
      <w:r>
        <w:rPr>
          <w:sz w:val="24"/>
          <w:szCs w:val="24"/>
          <w:rFonts w:ascii="Montserrat" w:hAnsi="Montserrat" w:cs="Montserrat" w:eastAsia="Montserrat"/>
          <w:color w:val="000000"/>
        </w:rPr>
        <w:t>V. QUADRO DESCRITIVO DA AÇÃO/SERVIÇO (CL 43-4)</w:t>
      </w:r>
    </w:p>
    <w:p>
      <w:pPr>
        <w:jc w:val="both"/>
        <w:spacing w:after="260"/>
      </w:pPr>
      <w:r>
        <w:rPr>
          <w:sz w:val="24"/>
          <w:szCs w:val="24"/>
          <w:rFonts w:ascii="Montserrat" w:hAnsi="Montserrat" w:cs="Montserrat" w:eastAsia="Montserrat"/>
          <w:color w:val="000000"/>
          <w:b/>
        </w:rPr>
        <w:t>(a) Do Escopo e Da Limitação dos Serviços:</w:t>
      </w:r>
      <w:r>
        <w:rPr>
          <w:lang w:val="en-US"/>
        </w:rPr>
        <w:t xml:space="preserve"> </w:t>
      </w:r>
    </w:p>
    <w:p>
      <w:pPr>
        <w:spacing w:before="260" w:after="260"/>
        <w:jc w:val="both"/>
      </w:pPr>
      <w:r>
        <w:rPr>
          <w:sz w:val="24"/>
          <w:szCs w:val="24"/>
          <w:rFonts w:ascii="Montserrat" w:hAnsi="Montserrat" w:cs="Montserrat" w:eastAsia="Montserrat"/>
          <w:color w:val="000000"/>
        </w:rPr>
        <w:t>A CONTRATADA prestará à CONTRATANTE serviços de assessoria jurídica contínua, em regime de advocacia de partido, abrangendo demandas ordinárias e eventuais de natureza consultiva, preventiva e contenciosa, nas áreas cível e trabalhista, conforme descrito neste instrumento. O escopo contratual compreende, de forma integrada: a consultoria jurídica para questões operacionais da CONTRATANTE; a revisão, elaboração e padronização de contratos e instrumentos jurídicos; a representação em demandas judiciais e administrativas; o acompanhamento e gestão de processos em curso; e o ajuizamento de medidas judiciais ou extrajudiciais quando necessário à defesa dos interesses da CONTRATANTE. O presente contrato não implica disponibilidade irrestrita da CONTRATADA, tampouco obrigação de resultado, estando a prestação dos serviços limitada ao escopo ora definido e à capacidade operacional ajustada entre as partes.</w:t>
      </w:r>
    </w:p>
    <w:p>
      <w:pPr/>
      <w:r>
        <w:rPr>
          <w:sz w:val="24"/>
          <w:szCs w:val="24"/>
          <w:rFonts w:ascii="Montserrat" w:hAnsi="Montserrat" w:cs="Montserrat" w:eastAsia="Montserrat"/>
          <w:color w:val="000000"/>
          <w:b/>
        </w:rPr>
        <w:t>(b) Do Limite Operacional e Controle das Atividades:</w:t>
      </w:r>
      <w:r>
        <w:rPr>
          <w:lang w:val="en-US"/>
        </w:rPr>
        <w:t xml:space="preserve"> </w:t>
      </w:r>
    </w:p>
    <w:p>
      <w:pPr>
        <w:spacing w:before="260" w:after="260"/>
        <w:jc w:val="both"/>
      </w:pPr>
      <w:r>
        <w:rPr>
          <w:sz w:val="24"/>
          <w:szCs w:val="24"/>
          <w:rFonts w:ascii="Montserrat" w:hAnsi="Montserrat" w:cs="Montserrat" w:eastAsia="Montserrat"/>
          <w:color w:val="000000"/>
        </w:rPr>
        <w:t>O valor mensal contratado abrange integralmente o escopo descrito, considerando uma dedicação técnica estimada entre 15 (quinze) e 30 (trinta) horas mensais de trabalho, incluindo atividades contenciosas e consultivas. A apuração do tempo de trabalho será realizada por meio de controle interno de atividades (timesheet), mantido pela CONTRATADA, presumindo-se correto para todos os fins, salvo erro material devidamente comprovado. Na hipótese de extrapolação relevante e contínua da carga horária estimada, as demandas excedentes poderão, a critério da CONTRATADA, ser reprogramadas para o período subsequente ou executadas mediante contratação adicional previamente ajustada entre as partes.</w:t>
      </w:r>
    </w:p>
    <w:p>
      <w:pPr/>
      <w:r>
        <w:rPr>
          <w:sz w:val="24"/>
          <w:szCs w:val="24"/>
          <w:rFonts w:ascii="Montserrat" w:hAnsi="Montserrat" w:cs="Montserrat" w:eastAsia="Montserrat"/>
          <w:color w:val="000000"/>
          <w:b/>
        </w:rPr>
        <w:t>(c) Da Revisão do Equilíbrio Contratual:</w:t>
      </w:r>
      <w:r>
        <w:rPr>
          <w:lang w:val="en-US"/>
        </w:rPr>
        <w:t xml:space="preserve"> </w:t>
      </w:r>
    </w:p>
    <w:p>
      <w:pPr>
        <w:spacing w:before="260" w:after="260"/>
        <w:jc w:val="both"/>
      </w:pPr>
      <w:r>
        <w:rPr>
          <w:sz w:val="24"/>
          <w:szCs w:val="24"/>
          <w:rFonts w:ascii="Montserrat" w:hAnsi="Montserrat" w:cs="Montserrat" w:eastAsia="Montserrat"/>
          <w:color w:val="000000"/>
        </w:rPr>
        <w:t>Caso haja aumento relevante do volume de demandas, seja pelo acréscimo no número de processos judiciais em andamento, seja pela elevação da carga de trabalho mensal em patamar superior a 30% (trinta por cento) do limite estimado, as partes obrigam-se a revisar as condições econômicas do contrato, com vistas à recomposição do equilíbrio contratual. Na ausência de ajuste, a CONTRATADA poderá limitar a prestação dos serviços à capacidade originalmente contratada, sem prejuízo da regular execução das demandas já assumidas.</w:t>
      </w:r>
    </w:p>
    <w:p>
      <w:pPr/>
      <w:r>
        <w:rPr>
          <w:sz w:val="24"/>
          <w:szCs w:val="24"/>
          <w:rFonts w:ascii="Montserrat" w:hAnsi="Montserrat" w:cs="Montserrat" w:eastAsia="Montserrat"/>
          <w:color w:val="000000"/>
          <w:b/>
        </w:rPr>
        <w:t>(d) Das Exclusões de Escopo:</w:t>
      </w:r>
    </w:p>
    <w:p>
      <w:pPr>
        <w:spacing w:before="260" w:after="260"/>
        <w:jc w:val="both"/>
      </w:pPr>
      <w:r>
        <w:rPr>
          <w:sz w:val="24"/>
          <w:szCs w:val="24"/>
          <w:rFonts w:ascii="Montserrat" w:hAnsi="Montserrat" w:cs="Montserrat" w:eastAsia="Montserrat"/>
          <w:color w:val="000000"/>
        </w:rPr>
        <w:t>Não estão compreendidos no objeto deste contrato, salvo ajuste específico e por escrito entre as partes: serviços de natureza tributária, fiscal ou societária; elaboração de planejamentos tributários; atuação em processos criminais; interposição de recursos especiais ou extraordinários; sustentações orais; bem como demandas que, por sua complexidade ou volume, exijam dedicação técnica extraordinária. Sempre que a CONTRATANTE demandar serviços não incluídos no escopo ora contratado, a CONTRATADA apresentará proposta específica, a qual poderá ser estruturada por valor fixo, por hora ou por evento, sendo sua execução condicionada à prévia aceitação expressa.</w:t>
      </w:r>
    </w:p>
    <w:p>
      <w:pPr/>
      <w:r>
        <w:rPr>
          <w:sz w:val="24"/>
          <w:szCs w:val="24"/>
          <w:rFonts w:ascii="Montserrat" w:hAnsi="Montserrat" w:cs="Montserrat" w:eastAsia="Montserrat"/>
          <w:color w:val="000000"/>
          <w:b/>
        </w:rPr>
        <w:t>(e) Das Obrigações da Contratante:</w:t>
      </w:r>
    </w:p>
    <w:p>
      <w:pPr>
        <w:spacing w:before="260" w:after="260"/>
        <w:jc w:val="both"/>
      </w:pPr>
      <w:r>
        <w:rPr>
          <w:sz w:val="24"/>
          <w:szCs w:val="24"/>
          <w:rFonts w:ascii="Montserrat" w:hAnsi="Montserrat" w:cs="Montserrat" w:eastAsia="Montserrat"/>
          <w:color w:val="000000"/>
        </w:rPr>
        <w:t>Compete ainda à CONTRATANTE fornecer, de forma completa e tempestiva, todos os documentos, informações e acessos necessários à adequada prestação dos serviços, responsabilizando-se pela veracidade dos dados apresentados. A CONTRATADA não se responsabiliza por prejuízos decorrentes de omissão, atraso ou inconsistência nas informações fornecidas pela CONTRATANTE.</w:t>
      </w:r>
    </w:p>
    <w:p>
      <w:pPr/>
      <w:r>
        <w:rPr>
          <w:sz w:val="24"/>
          <w:szCs w:val="24"/>
          <w:rFonts w:ascii="Montserrat" w:hAnsi="Montserrat" w:cs="Montserrat" w:eastAsia="Montserrat"/>
          <w:color w:val="000000"/>
          <w:b/>
        </w:rPr>
        <w:t>(f) Da Vigência e Rescisão:</w:t>
      </w:r>
    </w:p>
    <w:p>
      <w:pPr>
        <w:spacing w:before="260" w:after="260"/>
        <w:jc w:val="both"/>
      </w:pPr>
      <w:r>
        <w:rPr>
          <w:sz w:val="24"/>
          <w:szCs w:val="24"/>
          <w:rFonts w:ascii="Montserrat" w:hAnsi="Montserrat" w:cs="Montserrat" w:eastAsia="Montserrat"/>
          <w:color w:val="000000"/>
        </w:rPr>
        <w:t>O contrato terá vigência inicial de 12 (doze) meses.</w:t>
      </w:r>
      <w:r>
        <w:rPr>
          <w:lang w:val="en-US"/>
        </w:rPr>
        <w:t xml:space="preserve"> </w:t>
      </w:r>
      <w:r>
        <w:rPr>
          <w:sz w:val="24"/>
          <w:szCs w:val="24"/>
          <w:rFonts w:ascii="Montserrat" w:hAnsi="Montserrat" w:cs="Montserrat" w:eastAsia="Montserrat"/>
          <w:color w:val="000000"/>
        </w:rPr>
        <w:t>Após esse período, poderá ser rescindido por qualquer das partes, mediante aviso prévio por escrito de 30 (trinta) dias.</w:t>
      </w:r>
      <w:r>
        <w:rPr>
          <w:lang w:val="en-US"/>
        </w:rPr>
        <w:t xml:space="preserve"> </w:t>
      </w:r>
      <w:r>
        <w:rPr>
          <w:sz w:val="24"/>
          <w:szCs w:val="24"/>
          <w:rFonts w:ascii="Montserrat" w:hAnsi="Montserrat" w:cs="Montserrat" w:eastAsia="Montserrat"/>
          <w:color w:val="000000"/>
        </w:rPr>
        <w:t>Durante o prazo inicial, a rescisão imotivada por iniciativa da CONTRATANTE implicará o pagamento dos valores proporcionais até a data da rescisão, acrescido de multa equivalente a 01 (uma) mensalidade, a título de compensação pela reserva de capacidade operacional.</w:t>
      </w:r>
      <w:r>
        <w:rPr>
          <w:lang w:val="en-US"/>
        </w:rPr>
        <w:t xml:space="preserve"> </w:t>
      </w:r>
      <w:r>
        <w:rPr>
          <w:sz w:val="24"/>
          <w:szCs w:val="24"/>
          <w:rFonts w:ascii="Montserrat" w:hAnsi="Montserrat" w:cs="Montserrat" w:eastAsia="Montserrat"/>
          <w:color w:val="000000"/>
        </w:rPr>
        <w:t>Em qualquer hipótese de rescisão, será devido o pagamento integral do mês em curso.</w:t>
      </w:r>
    </w:p>
    <w:p>
      <w:pPr/>
      <w:r>
        <w:rPr>
          <w:sz w:val="24"/>
          <w:szCs w:val="24"/>
          <w:rFonts w:ascii="Montserrat" w:hAnsi="Montserrat" w:cs="Montserrat" w:eastAsia="Montserrat"/>
          <w:color w:val="000000"/>
          <w:b/>
        </w:rPr>
        <w:t>(g) Do Reajuste:</w:t>
      </w:r>
      <w:r>
        <w:br/>
      </w:r>
      <w:r>
        <w:br/>
      </w:r>
    </w:p>
    <w:p>
      <w:pPr>
        <w:jc w:val="both"/>
      </w:pPr>
      <w:r>
        <w:rPr>
          <w:sz w:val="24"/>
          <w:szCs w:val="24"/>
          <w:rFonts w:ascii="Montserrat" w:hAnsi="Montserrat" w:cs="Montserrat" w:eastAsia="Montserrat"/>
          <w:color w:val="000000"/>
        </w:rPr>
        <w:t>A remuneração mensal será reajustada anualmente pelo Índice de Preços ao Consumidor Amplo (IPCA), ou outro que venha a substituí-lo, sendo devido o primeiro reajuste após o decurso de 12 (doze) meses da assinatura do contrato.</w:t>
      </w:r>
      <w:r>
        <w:br/>
      </w:r>
    </w:p>
    <w:p>
      <w:pPr/>
      <w:r>
        <w:rPr>
          <w:sz w:val="24"/>
          <w:szCs w:val="24"/>
          <w:rFonts w:ascii="Montserrat" w:hAnsi="Montserrat" w:cs="Montserrat" w:eastAsia="Montserrat"/>
          <w:color w:val="000000"/>
          <w:b/>
        </w:rPr>
        <w:t>(h) Da Suspensão dos Serviços:</w:t>
      </w:r>
      <w:r>
        <w:br/>
      </w:r>
      <w:r>
        <w:br/>
      </w:r>
    </w:p>
    <w:p>
      <w:pPr>
        <w:jc w:val="both"/>
      </w:pPr>
      <w:r>
        <w:rPr>
          <w:sz w:val="24"/>
          <w:szCs w:val="24"/>
          <w:rFonts w:ascii="Montserrat" w:hAnsi="Montserrat" w:cs="Montserrat" w:eastAsia="Montserrat"/>
          <w:color w:val="000000"/>
        </w:rPr>
        <w:t>A CONTRATADA poderá suspender a execução de atividades não urgentes nas hipóteses de inadimplemento contratual, ausência de provisão de despesas ou extrapolação do escopo sem a devida formalização de ajuste adicional.</w:t>
      </w:r>
      <w:r>
        <w:br/>
      </w:r>
      <w:r>
        <w:br/>
      </w:r>
    </w:p>
    <w:p>
      <w:pPr/>
      <w:r>
        <w:rPr>
          <w:sz w:val="24"/>
          <w:szCs w:val="24"/>
          <w:rFonts w:ascii="Montserrat" w:hAnsi="Montserrat" w:cs="Montserrat" w:eastAsia="Montserrat"/>
          <w:color w:val="000000"/>
        </w:rPr>
        <w:t>VI. QUADRO DE ACOMPANHAMENTO CONTRATADO (CL 60-1)</w:t>
      </w:r>
    </w:p>
    <w:tbl>
      <w:tblPr>
        <w:tblStyle w:val="TableGrid"/>
        <w:tblW w:w="5000" w:type="auto"/>
        <w:tblLook w:val="04A0"/>
        <w:jc w:val="left"/>
        <w:tblBorders>
          <w:bottom w:val="none" w:sz="2" w:space="0" w:color="FFFFFF"/>
          <w:left w:val="none" w:sz="2" w:space="0" w:color="FFFFFF"/>
          <w:right w:val="none" w:sz="2" w:space="0" w:color="FFFFFF"/>
          <w:top w:val="none" w:sz="2" w:space="0" w:color="FFFFFF"/>
        </w:tblBorders>
      </w:tblPr>
      <w:tr>
        <w:tc>
          <w:tcPr>
            <w:tcW w:w="5947.5" w:type="dxa"/>
            <w:vAlign w:val="center"/>
            <w:tcMar>
              <w:bottom w:type="dxa" w:w="15"/>
              <w:left w:type="dxa" w:w="15"/>
              <w:right w:type="dxa" w:w="15"/>
              <w:top w:type="dxa" w:w="15"/>
            </w:tcMar>
            <w:tcBorders>
              <w:bottom w:val="none" w:sz="2" w:space="0" w:color="FFFFFF"/>
              <w:right w:val="none" w:sz="2" w:space="0" w:color="FFFFFF"/>
            </w:tcBorders>
          </w:tcPr>
          <w:p>
            <w:pPr>
              <w:jc w:val="center"/>
            </w:pPr>
            <w:r>
              <w:rPr>
                <w:sz w:val="24"/>
                <w:szCs w:val="24"/>
                <w:rFonts w:ascii="Montserrat" w:hAnsi="Montserrat" w:cs="Montserrat" w:eastAsia="Montserrat"/>
                <w:color w:val="000000"/>
                <w:b/>
              </w:rPr>
              <w:t>Modalidade</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cBorders>
          </w:tcPr>
          <w:p>
            <w:pPr>
              <w:jc w:val="center"/>
            </w:pPr>
            <w:r>
              <w:rPr>
                <w:sz w:val="24"/>
                <w:szCs w:val="24"/>
                <w:rFonts w:ascii="Montserrat" w:hAnsi="Montserrat" w:cs="Montserrat" w:eastAsia="Montserrat"/>
                <w:color w:val="000000"/>
                <w:b/>
              </w:rPr>
              <w:t>Incluso</w:t>
            </w:r>
          </w:p>
        </w:tc>
        <w:tc>
          <w:tcPr>
            <w:tcW w:w="10647.000000000002" w:type="dxa"/>
            <w:vAlign w:val="center"/>
            <w:tcMar>
              <w:bottom w:type="dxa" w:w="15"/>
              <w:left w:type="dxa" w:w="15"/>
              <w:right w:type="dxa" w:w="15"/>
              <w:top w:type="dxa" w:w="15"/>
            </w:tcMar>
            <w:tcBorders>
              <w:bottom w:val="none" w:sz="2" w:space="0" w:color="FFFFFF"/>
              <w:left w:val="none" w:sz="2" w:space="0" w:color="FFFFFF"/>
            </w:tcBorders>
          </w:tcPr>
          <w:p>
            <w:pPr>
              <w:jc w:val="center"/>
            </w:pPr>
            <w:r>
              <w:rPr>
                <w:sz w:val="24"/>
                <w:szCs w:val="24"/>
                <w:rFonts w:ascii="Montserrat" w:hAnsi="Montserrat" w:cs="Montserrat" w:eastAsia="Montserrat"/>
                <w:color w:val="000000"/>
                <w:b/>
              </w:rPr>
              <w:t>Pacote Premium</w:t>
            </w:r>
          </w:p>
        </w:tc>
      </w:tr>
      <w:tr>
        <w:tc>
          <w:tcPr>
            <w:tcW w:w="5947.5" w:type="dxa"/>
            <w:vAlign w:val="center"/>
            <w:tcMar>
              <w:bottom w:type="dxa" w:w="15"/>
              <w:left w:type="dxa" w:w="15"/>
              <w:right w:type="dxa" w:w="15"/>
              <w:top w:type="dxa" w:w="15"/>
            </w:tcMar>
            <w:tcBorders>
              <w:bottom w:val="none" w:sz="2" w:space="0" w:color="FFFFFF"/>
              <w:right w:val="none" w:sz="2" w:space="0" w:color="FFFFFF"/>
              <w:top w:val="none" w:sz="2" w:space="0" w:color="FFFFFF"/>
            </w:tcBorders>
          </w:tcPr>
          <w:p>
            <w:pPr/>
            <w:r>
              <w:rPr>
                <w:sz w:val="24"/>
                <w:szCs w:val="24"/>
                <w:rFonts w:ascii="Montserrat" w:hAnsi="Montserrat" w:cs="Montserrat" w:eastAsia="Montserrat"/>
                <w:color w:val="000000"/>
              </w:rPr>
              <w:t>Canal de atendimento</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WhatsApp Business e telefone fixo do escritório</w:t>
            </w:r>
          </w:p>
        </w:tc>
        <w:tc>
          <w:tcPr>
            <w:tcW w:w="10647.000000000002" w:type="dxa"/>
            <w:vAlign w:val="center"/>
            <w:tcMar>
              <w:bottom w:type="dxa" w:w="15"/>
              <w:left w:type="dxa" w:w="15"/>
              <w:right w:type="dxa" w:w="15"/>
              <w:top w:type="dxa" w:w="15"/>
            </w:tcMar>
            <w:tcBorders>
              <w:bottom w:val="none" w:sz="2" w:space="0" w:color="FFFFFF"/>
              <w:left w:val="none" w:sz="2" w:space="0" w:color="FFFFFF"/>
              <w:top w:val="none" w:sz="2" w:space="0" w:color="FFFFFF"/>
            </w:tcBorders>
          </w:tcPr>
          <w:p>
            <w:pPr/>
            <w:r>
              <w:rPr>
                <w:sz w:val="24"/>
                <w:szCs w:val="24"/>
                <w:rFonts w:ascii="Montserrat" w:hAnsi="Montserrat" w:cs="Montserrat" w:eastAsia="Montserrat"/>
                <w:color w:val="000000"/>
              </w:rPr>
              <w:t>WhatsApp Business e telefone fixo do escritório, com prioridade na fila de atendimento</w:t>
            </w:r>
          </w:p>
        </w:tc>
      </w:tr>
      <w:tr>
        <w:tc>
          <w:tcPr>
            <w:tcW w:w="5947.5" w:type="dxa"/>
            <w:vAlign w:val="center"/>
            <w:tcMar>
              <w:bottom w:type="dxa" w:w="15"/>
              <w:left w:type="dxa" w:w="15"/>
              <w:right w:type="dxa" w:w="15"/>
              <w:top w:type="dxa" w:w="15"/>
            </w:tcMar>
            <w:tcBorders>
              <w:bottom w:val="none" w:sz="2" w:space="0" w:color="FFFFFF"/>
              <w:right w:val="none" w:sz="2" w:space="0" w:color="FFFFFF"/>
              <w:top w:val="none" w:sz="2" w:space="0" w:color="FFFFFF"/>
            </w:tcBorders>
          </w:tcPr>
          <w:p>
            <w:pPr/>
            <w:r>
              <w:rPr>
                <w:sz w:val="24"/>
                <w:szCs w:val="24"/>
                <w:rFonts w:ascii="Montserrat" w:hAnsi="Montserrat" w:cs="Montserrat" w:eastAsia="Montserrat"/>
                <w:color w:val="000000"/>
              </w:rPr>
              <w:t>Horário de atendimento</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Segunda a sexta-feira, das 8h às 18h</w:t>
            </w:r>
          </w:p>
        </w:tc>
        <w:tc>
          <w:tcPr>
            <w:tcW w:w="10647.000000000002" w:type="dxa"/>
            <w:vAlign w:val="center"/>
            <w:tcMar>
              <w:bottom w:type="dxa" w:w="15"/>
              <w:left w:type="dxa" w:w="15"/>
              <w:right w:type="dxa" w:w="15"/>
              <w:top w:type="dxa" w:w="15"/>
            </w:tcMar>
            <w:tcBorders>
              <w:bottom w:val="none" w:sz="2" w:space="0" w:color="FFFFFF"/>
              <w:left w:val="none" w:sz="2" w:space="0" w:color="FFFFFF"/>
              <w:top w:val="none" w:sz="2" w:space="0" w:color="FFFFFF"/>
            </w:tcBorders>
          </w:tcPr>
          <w:p>
            <w:pPr/>
            <w:r>
              <w:rPr>
                <w:sz w:val="24"/>
                <w:szCs w:val="24"/>
                <w:rFonts w:ascii="Montserrat" w:hAnsi="Montserrat" w:cs="Montserrat" w:eastAsia="Montserrat"/>
                <w:color w:val="000000"/>
              </w:rPr>
              <w:t>Segunda a sexta-feira, das 8h às 18h</w:t>
            </w:r>
          </w:p>
        </w:tc>
      </w:tr>
      <w:tr>
        <w:tc>
          <w:tcPr>
            <w:tcW w:w="5947.5" w:type="dxa"/>
            <w:vAlign w:val="center"/>
            <w:tcMar>
              <w:bottom w:type="dxa" w:w="15"/>
              <w:left w:type="dxa" w:w="15"/>
              <w:right w:type="dxa" w:w="15"/>
              <w:top w:type="dxa" w:w="15"/>
            </w:tcMar>
            <w:tcBorders>
              <w:bottom w:val="none" w:sz="2" w:space="0" w:color="FFFFFF"/>
              <w:right w:val="none" w:sz="2" w:space="0" w:color="FFFFFF"/>
              <w:top w:val="none" w:sz="2" w:space="0" w:color="FFFFFF"/>
            </w:tcBorders>
          </w:tcPr>
          <w:p>
            <w:pPr/>
            <w:r>
              <w:rPr>
                <w:sz w:val="24"/>
                <w:szCs w:val="24"/>
                <w:rFonts w:ascii="Montserrat" w:hAnsi="Montserrat" w:cs="Montserrat" w:eastAsia="Montserrat"/>
                <w:color w:val="000000"/>
              </w:rPr>
              <w:t>Prazo de resposta para demandas não urgentes</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Até 48 (quarenta e oito) horas úteis</w:t>
            </w:r>
          </w:p>
        </w:tc>
        <w:tc>
          <w:tcPr>
            <w:tcW w:w="10647.000000000002" w:type="dxa"/>
            <w:vAlign w:val="center"/>
            <w:tcMar>
              <w:bottom w:type="dxa" w:w="15"/>
              <w:left w:type="dxa" w:w="15"/>
              <w:right w:type="dxa" w:w="15"/>
              <w:top w:type="dxa" w:w="15"/>
            </w:tcMar>
            <w:tcBorders>
              <w:bottom w:val="none" w:sz="2" w:space="0" w:color="FFFFFF"/>
              <w:left w:val="none" w:sz="2" w:space="0" w:color="FFFFFF"/>
              <w:top w:val="none" w:sz="2" w:space="0" w:color="FFFFFF"/>
            </w:tcBorders>
          </w:tcPr>
          <w:p>
            <w:pPr/>
            <w:r>
              <w:rPr>
                <w:sz w:val="24"/>
                <w:szCs w:val="24"/>
                <w:rFonts w:ascii="Montserrat" w:hAnsi="Montserrat" w:cs="Montserrat" w:eastAsia="Montserrat"/>
                <w:color w:val="000000"/>
              </w:rPr>
              <w:t>Até 24 (vinte e quatro) horas úteis</w:t>
            </w:r>
          </w:p>
        </w:tc>
      </w:tr>
      <w:tr>
        <w:tc>
          <w:tcPr>
            <w:tcW w:w="5947.5" w:type="dxa"/>
            <w:vAlign w:val="center"/>
            <w:tcMar>
              <w:bottom w:type="dxa" w:w="15"/>
              <w:left w:type="dxa" w:w="15"/>
              <w:right w:type="dxa" w:w="15"/>
              <w:top w:type="dxa" w:w="15"/>
            </w:tcMar>
            <w:tcBorders>
              <w:bottom w:val="none" w:sz="2" w:space="0" w:color="FFFFFF"/>
              <w:right w:val="none" w:sz="2" w:space="0" w:color="FFFFFF"/>
              <w:top w:val="none" w:sz="2" w:space="0" w:color="FFFFFF"/>
            </w:tcBorders>
          </w:tcPr>
          <w:p>
            <w:pPr/>
            <w:r>
              <w:rPr>
                <w:sz w:val="24"/>
                <w:szCs w:val="24"/>
                <w:rFonts w:ascii="Montserrat" w:hAnsi="Montserrat" w:cs="Montserrat" w:eastAsia="Montserrat"/>
                <w:color w:val="000000"/>
              </w:rPr>
              <w:t>Atualizações sobre o processo</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Sob demanda, respeitado o prazo de resposta</w:t>
            </w:r>
          </w:p>
        </w:tc>
        <w:tc>
          <w:tcPr>
            <w:tcW w:w="10647.000000000002" w:type="dxa"/>
            <w:vAlign w:val="center"/>
            <w:tcMar>
              <w:bottom w:type="dxa" w:w="15"/>
              <w:left w:type="dxa" w:w="15"/>
              <w:right w:type="dxa" w:w="15"/>
              <w:top w:type="dxa" w:w="15"/>
            </w:tcMar>
            <w:tcBorders>
              <w:bottom w:val="none" w:sz="2" w:space="0" w:color="FFFFFF"/>
              <w:left w:val="none" w:sz="2" w:space="0" w:color="FFFFFF"/>
              <w:top w:val="none" w:sz="2" w:space="0" w:color="FFFFFF"/>
            </w:tcBorders>
          </w:tcPr>
          <w:p>
            <w:pPr/>
            <w:r>
              <w:rPr>
                <w:sz w:val="24"/>
                <w:szCs w:val="24"/>
                <w:rFonts w:ascii="Montserrat" w:hAnsi="Montserrat" w:cs="Montserrat" w:eastAsia="Montserrat"/>
                <w:color w:val="000000"/>
              </w:rPr>
              <w:t>Relatório mensal de acompanhamento, enviado até o 10º dia útil do mês subsequente</w:t>
            </w:r>
          </w:p>
        </w:tc>
      </w:tr>
      <w:tr>
        <w:tc>
          <w:tcPr>
            <w:tcW w:w="5947.5" w:type="dxa"/>
            <w:vAlign w:val="center"/>
            <w:tcMar>
              <w:bottom w:type="dxa" w:w="15"/>
              <w:left w:type="dxa" w:w="15"/>
              <w:right w:type="dxa" w:w="15"/>
              <w:top w:type="dxa" w:w="15"/>
            </w:tcMar>
            <w:tcBorders>
              <w:bottom w:val="none" w:sz="2" w:space="0" w:color="FFFFFF"/>
              <w:right w:val="none" w:sz="2" w:space="0" w:color="FFFFFF"/>
              <w:top w:val="none" w:sz="2" w:space="0" w:color="FFFFFF"/>
            </w:tcBorders>
          </w:tcPr>
          <w:p>
            <w:pPr/>
            <w:r>
              <w:rPr>
                <w:sz w:val="24"/>
                <w:szCs w:val="24"/>
                <w:rFonts w:ascii="Montserrat" w:hAnsi="Montserrat" w:cs="Montserrat" w:eastAsia="Montserrat"/>
                <w:color w:val="000000"/>
              </w:rPr>
              <w:t>Reuniões ou conferências</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1 (uma) por trimestre, de até 30 minutos, por videoconferência ou presencial</w:t>
            </w:r>
          </w:p>
        </w:tc>
        <w:tc>
          <w:tcPr>
            <w:tcW w:w="10647.000000000002" w:type="dxa"/>
            <w:vAlign w:val="center"/>
            <w:tcMar>
              <w:bottom w:type="dxa" w:w="15"/>
              <w:left w:type="dxa" w:w="15"/>
              <w:right w:type="dxa" w:w="15"/>
              <w:top w:type="dxa" w:w="15"/>
            </w:tcMar>
            <w:tcBorders>
              <w:bottom w:val="none" w:sz="2" w:space="0" w:color="FFFFFF"/>
              <w:left w:val="none" w:sz="2" w:space="0" w:color="FFFFFF"/>
              <w:top w:val="none" w:sz="2" w:space="0" w:color="FFFFFF"/>
            </w:tcBorders>
          </w:tcPr>
          <w:p>
            <w:pPr/>
            <w:r>
              <w:rPr>
                <w:sz w:val="24"/>
                <w:szCs w:val="24"/>
                <w:rFonts w:ascii="Montserrat" w:hAnsi="Montserrat" w:cs="Montserrat" w:eastAsia="Montserrat"/>
                <w:color w:val="000000"/>
              </w:rPr>
              <w:t>1 (uma) por mês, de até 45 minutos, por videoconferência ou presencial</w:t>
            </w:r>
          </w:p>
        </w:tc>
      </w:tr>
      <w:tr>
        <w:tc>
          <w:tcPr>
            <w:tcW w:w="5947.5" w:type="dxa"/>
            <w:vAlign w:val="center"/>
            <w:tcMar>
              <w:bottom w:type="dxa" w:w="15"/>
              <w:left w:type="dxa" w:w="15"/>
              <w:right w:type="dxa" w:w="15"/>
              <w:top w:type="dxa" w:w="15"/>
            </w:tcMar>
            <w:tcBorders>
              <w:bottom w:val="none" w:sz="2" w:space="0" w:color="FFFFFF"/>
              <w:right w:val="none" w:sz="2" w:space="0" w:color="FFFFFF"/>
              <w:top w:val="none" w:sz="2" w:space="0" w:color="FFFFFF"/>
            </w:tcBorders>
          </w:tcPr>
          <w:p>
            <w:pPr/>
            <w:r>
              <w:rPr>
                <w:sz w:val="24"/>
                <w:szCs w:val="24"/>
                <w:rFonts w:ascii="Montserrat" w:hAnsi="Montserrat" w:cs="Montserrat" w:eastAsia="Montserrat"/>
                <w:color w:val="000000"/>
              </w:rPr>
              <w:t>Contato direto com o advogado responsável</w:t>
            </w:r>
          </w:p>
        </w:tc>
        <w:tc>
          <w:tcPr>
            <w:tcW w:w="9321" w:type="dxa"/>
            <w:vAlign w:val="center"/>
            <w:tcMar>
              <w:bottom w:type="dxa" w:w="15"/>
              <w:left w:type="dxa" w:w="15"/>
              <w:right w:type="dxa" w:w="15"/>
              <w:top w:type="dxa" w:w="15"/>
            </w:tcMar>
            <w:tcBorders>
              <w:bottom w:val="none" w:sz="2" w:space="0" w:color="FFFFFF"/>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Não incluso; atendimento intermediado pela equipe operacional</w:t>
            </w:r>
          </w:p>
        </w:tc>
        <w:tc>
          <w:tcPr>
            <w:tcW w:w="10647.000000000002" w:type="dxa"/>
            <w:vAlign w:val="center"/>
            <w:tcMar>
              <w:bottom w:type="dxa" w:w="15"/>
              <w:left w:type="dxa" w:w="15"/>
              <w:right w:type="dxa" w:w="15"/>
              <w:top w:type="dxa" w:w="15"/>
            </w:tcMar>
            <w:tcBorders>
              <w:bottom w:val="none" w:sz="2" w:space="0" w:color="FFFFFF"/>
              <w:left w:val="none" w:sz="2" w:space="0" w:color="FFFFFF"/>
              <w:top w:val="none" w:sz="2" w:space="0" w:color="FFFFFF"/>
            </w:tcBorders>
          </w:tcPr>
          <w:p>
            <w:pPr/>
            <w:r>
              <w:rPr>
                <w:sz w:val="24"/>
                <w:szCs w:val="24"/>
                <w:rFonts w:ascii="Montserrat" w:hAnsi="Montserrat" w:cs="Montserrat" w:eastAsia="Montserrat"/>
                <w:color w:val="000000"/>
              </w:rPr>
              <w:t>Incluso, dentro do horário de atendimento</w:t>
            </w:r>
          </w:p>
        </w:tc>
      </w:tr>
      <w:tr>
        <w:tc>
          <w:tcPr>
            <w:tcW w:w="5947.5" w:type="dxa"/>
            <w:vAlign w:val="center"/>
            <w:tcMar>
              <w:bottom w:type="dxa" w:w="15"/>
              <w:left w:type="dxa" w:w="15"/>
              <w:right w:type="dxa" w:w="15"/>
              <w:top w:type="dxa" w:w="15"/>
            </w:tcMar>
            <w:tcBorders>
              <w:right w:val="none" w:sz="2" w:space="0" w:color="FFFFFF"/>
              <w:top w:val="none" w:sz="2" w:space="0" w:color="FFFFFF"/>
            </w:tcBorders>
          </w:tcPr>
          <w:p>
            <w:pPr/>
            <w:r>
              <w:rPr>
                <w:sz w:val="24"/>
                <w:szCs w:val="24"/>
                <w:rFonts w:ascii="Montserrat" w:hAnsi="Montserrat" w:cs="Montserrat" w:eastAsia="Montserrat"/>
                <w:color w:val="000000"/>
              </w:rPr>
              <w:t>Valor mensal</w:t>
            </w:r>
          </w:p>
        </w:tc>
        <w:tc>
          <w:tcPr>
            <w:tcW w:w="9321" w:type="dxa"/>
            <w:vAlign w:val="center"/>
            <w:tcMar>
              <w:bottom w:type="dxa" w:w="15"/>
              <w:left w:type="dxa" w:w="15"/>
              <w:right w:type="dxa" w:w="15"/>
              <w:top w:type="dxa" w:w="15"/>
            </w:tcMar>
            <w:tcBorders>
              <w:left w:val="none" w:sz="2" w:space="0" w:color="FFFFFF"/>
              <w:right w:val="none" w:sz="2" w:space="0" w:color="FFFFFF"/>
              <w:top w:val="none" w:sz="2" w:space="0" w:color="FFFFFF"/>
            </w:tcBorders>
          </w:tcPr>
          <w:p>
            <w:pPr/>
            <w:r>
              <w:rPr>
                <w:sz w:val="24"/>
                <w:szCs w:val="24"/>
                <w:rFonts w:ascii="Montserrat" w:hAnsi="Montserrat" w:cs="Montserrat" w:eastAsia="Montserrat"/>
                <w:color w:val="000000"/>
              </w:rPr>
              <w:t>Incluso nos honorários contratuais</w:t>
            </w:r>
          </w:p>
        </w:tc>
        <w:tc>
          <w:tcPr>
            <w:tcW w:w="10647.000000000002" w:type="dxa"/>
            <w:vAlign w:val="center"/>
            <w:tcMar>
              <w:bottom w:type="dxa" w:w="15"/>
              <w:left w:type="dxa" w:w="15"/>
              <w:right w:type="dxa" w:w="15"/>
              <w:top w:type="dxa" w:w="15"/>
            </w:tcMar>
            <w:tcBorders>
              <w:left w:val="none" w:sz="2" w:space="0" w:color="FFFFFF"/>
              <w:top w:val="none" w:sz="2" w:space="0" w:color="FFFFFF"/>
            </w:tcBorders>
          </w:tcPr>
          <w:p>
            <w:pPr/>
            <w:r>
              <w:rPr>
                <w:sz w:val="24"/>
                <w:szCs w:val="24"/>
                <w:rFonts w:ascii="Montserrat" w:hAnsi="Montserrat" w:cs="Montserrat" w:eastAsia="Montserrat"/>
                <w:color w:val="000000"/>
              </w:rPr>
              <w:t>R$ ______ /mês (mínimo R$ 300,00)</w:t>
            </w:r>
          </w:p>
        </w:tc>
      </w:tr>
    </w:tbl>
    <w:p>
      <w:pPr/>
    </w:p>
    <w:p>
      <w:pPr>
        <w:jc w:val="both"/>
        <w:spacing w:line="204" w:after="220"/>
      </w:pPr>
      <w:r>
        <w:rPr>
          <w:sz w:val="24"/>
          <w:szCs w:val="24"/>
          <w:rFonts w:ascii="Montserrat" w:hAnsi="Montserrat" w:cs="Montserrat" w:eastAsia="Montserrat"/>
          <w:color w:val="000000"/>
          <w:b/>
        </w:rPr>
        <w:t>GENERALIDADES E DEFINIÇÕES</w:t>
      </w:r>
    </w:p>
    <w:p>
      <w:pPr>
        <w:pStyle w:val="ListBullet"/>
        <w:numPr>
          <w:ilvl w:val="0"/>
          <w:numId w:val="1"/>
        </w:numPr>
        <w:jc w:val="both"/>
        <w:spacing w:line="204"/>
        <w:ind w:left="603.249968290329"/>
      </w:pPr>
      <w:r>
        <w:t/>
      </w:r>
      <w:r>
        <w:rPr>
          <w:sz w:val="24"/>
          <w:szCs w:val="24"/>
          <w:rFonts w:ascii="Montserrat" w:hAnsi="Montserrat" w:cs="Montserrat" w:eastAsia="Montserrat"/>
          <w:color w:val="000000"/>
        </w:rPr>
        <w:t>O presente instrumento destina-se a regular as relações autônomas de prestação de serviço do escritório ora contratados, sem qualquer vínculo empregatício com o(a) cliente, na forma do Estatuto da Ordem dos Advogados do Brasil e do Código de Ética e Disciplina da Ordem dos Advogados do Brasil. O escritório contratado, isoladamente ou em conjunto, atuará na defesa dos interesses do cliente, ora contratante. Este contrato adere à TABELA DE HONORÁRIOS MÍNIMOS do contratado, ou a que vier a suceder, e essa tabela será utilizada na hipótese de divergência entre as partes na interpretação do presente contrato de honorários.</w:t>
      </w:r>
    </w:p>
    <w:p>
      <w:pPr>
        <w:pStyle w:val="ListBullet"/>
        <w:numPr>
          <w:ilvl w:val="0"/>
          <w:numId w:val="1"/>
        </w:numPr>
        <w:jc w:val="both"/>
        <w:spacing w:line="204"/>
        <w:ind w:left="603.249968290329"/>
      </w:pPr>
      <w:r>
        <w:t/>
      </w:r>
      <w:r>
        <w:rPr>
          <w:sz w:val="24"/>
          <w:szCs w:val="24"/>
          <w:rFonts w:ascii="Montserrat" w:hAnsi="Montserrat" w:cs="Montserrat" w:eastAsia="Montserrat"/>
          <w:color w:val="000000"/>
        </w:rPr>
        <w:t>As partes concordam que: (i) os cabeçalhos e títulos das cláusulas deste contrato servem apenas para conveniência de referência e não limitarão ou afetarão o significado das cláusulas, parágrafos ou itens aos quais se aplicam; (ii) sempre que exigido pelo contexto, as definições contidas neste contrato serão aplicadas tanto no singular quanto no plural e o gênero masculino incluirá o feminino e vice-versa; (iii) referências a quaisquer documentos ou outros instrumentos incluem todas as suas alterações, substituições e consolidações e respectivas complementações, salvo se expressamente disposto de forma diversa; (iv) salvo se de outra forma expressamente estabelecido neste contrato, referências a capítulos, cláusulas, itens ou anexos aplicam-se a capítulos, cláusulas, itens e anexos deste contrato; (v) salvo se de outra forma expressamente estabelecido neste contrato, todas as referências a quaisquer pessoa física incluem seus sucessores, beneficiários, representantes e cessionários autorizados a qualquer título; (vi) a utilização dos termos "inclusive", "incluindo" e outros termos semelhantes no presente contrato seguidos de qualquer declaração, termo ou matéria genérica não poderá ser interpretada de forma a limitar tal declaração, termo ou matéria aos itens ou matérias específicos inseridos imediatamente após tal palavra, bem como a itens ou matérias similares, devendo, ao contrário, ser considerada como sendo referência a todos os outros itens ou matérias que poderiam razoavelmente ser inseridos no escopo mais amplo possível de tal declaração, termo ou matéria, e tais termos serão sempre lidos como se estivessem acompanhados do termo "exemplificativamente".</w:t>
      </w:r>
    </w:p>
    <w:p>
      <w:pPr>
        <w:pStyle w:val="ListBullet"/>
        <w:numPr>
          <w:ilvl w:val="0"/>
          <w:numId w:val="1"/>
        </w:numPr>
        <w:jc w:val="both"/>
        <w:spacing w:line="204"/>
        <w:ind w:left="603.249968290329"/>
      </w:pPr>
      <w:r>
        <w:t/>
      </w:r>
      <w:r>
        <w:rPr>
          <w:sz w:val="24"/>
          <w:szCs w:val="24"/>
          <w:rFonts w:ascii="Montserrat" w:hAnsi="Montserrat" w:cs="Montserrat" w:eastAsia="Montserrat"/>
          <w:color w:val="000000"/>
        </w:rPr>
        <w:t>Declaram que:</w:t>
      </w:r>
    </w:p>
    <w:p>
      <w:pPr>
        <w:jc w:val="both"/>
        <w:spacing w:line="204" w:after="220"/>
      </w:pPr>
      <w:r>
        <w:rPr>
          <w:sz w:val="24"/>
          <w:szCs w:val="24"/>
          <w:rFonts w:ascii="Montserrat" w:hAnsi="Montserrat" w:cs="Montserrat" w:eastAsia="Montserrat"/>
          <w:color w:val="000000"/>
          <w:b/>
        </w:rPr>
        <w:t>ATO DESONESTO:</w:t>
      </w:r>
      <w:r>
        <w:rPr>
          <w:lang w:val="en-US"/>
        </w:rPr>
        <w:t xml:space="preserve"> </w:t>
      </w:r>
      <w:r>
        <w:rPr>
          <w:sz w:val="24"/>
          <w:szCs w:val="24"/>
          <w:rFonts w:ascii="Montserrat" w:hAnsi="Montserrat" w:cs="Montserrat" w:eastAsia="Montserrat"/>
          <w:color w:val="000000"/>
        </w:rPr>
        <w:t>Refere-se a qualquer conduta dolosa ou de má-fé das partes que: (i) não tenha sido aprovada ou consentida, expressa ou implicitamente; e (ii) resulte em responsabilidade civil do contratado; (iii) imponha má prática judicial e/ou revele ato contrário à lei.</w:t>
      </w:r>
    </w:p>
    <w:p>
      <w:pPr>
        <w:jc w:val="both"/>
        <w:spacing w:line="204" w:after="220"/>
      </w:pPr>
      <w:r>
        <w:rPr>
          <w:sz w:val="24"/>
          <w:szCs w:val="24"/>
          <w:rFonts w:ascii="Montserrat" w:hAnsi="Montserrat" w:cs="Montserrat" w:eastAsia="Montserrat"/>
          <w:color w:val="000000"/>
          <w:b/>
        </w:rPr>
        <w:t>CLÁUSULA RECURSAL:</w:t>
      </w:r>
      <w:r>
        <w:rPr>
          <w:lang w:val="en-US"/>
        </w:rPr>
        <w:t xml:space="preserve"> </w:t>
      </w:r>
      <w:r>
        <w:rPr>
          <w:sz w:val="24"/>
          <w:szCs w:val="24"/>
          <w:rFonts w:ascii="Montserrat" w:hAnsi="Montserrat" w:cs="Montserrat" w:eastAsia="Montserrat"/>
          <w:color w:val="000000"/>
        </w:rPr>
        <w:t>A interposição, contrarrazão, impugnação, sustentação oral ou qualquer outro ato relacionado a recursos constitui escopo contratual autônomo e depende de contratação específica conforme a Tabela Interna de Honorários do Escritório vigente na data da contratação, sem prejuízo dos honorários sucumbenciais, que pertencem ao advogado. Consideram-se, exemplificativamente, recursos de apelação, agravo de instrumento, agravo interno, embargos de declaração, recursos especial e extraordinário, agravos em recurso especial/extraordinário, bem como incidentes correlatos. A contratação poderá ser por valor fixo, por hora ou por percentual sobre a vantagem econômica envolvida no ato recursal, conforme a tabela.</w:t>
      </w:r>
    </w:p>
    <w:p>
      <w:pPr>
        <w:jc w:val="both"/>
        <w:spacing w:line="204" w:after="220"/>
      </w:pPr>
      <w:r>
        <w:rPr>
          <w:sz w:val="24"/>
          <w:szCs w:val="24"/>
          <w:rFonts w:ascii="Montserrat" w:hAnsi="Montserrat" w:cs="Montserrat" w:eastAsia="Montserrat"/>
          <w:color w:val="000000"/>
          <w:b/>
        </w:rPr>
        <w:t>CUSTOS DE DEFESA:</w:t>
      </w:r>
      <w:r>
        <w:rPr>
          <w:lang w:val="en-US"/>
        </w:rPr>
        <w:t xml:space="preserve"> </w:t>
      </w:r>
      <w:r>
        <w:rPr>
          <w:sz w:val="24"/>
          <w:szCs w:val="24"/>
          <w:rFonts w:ascii="Montserrat" w:hAnsi="Montserrat" w:cs="Montserrat" w:eastAsia="Montserrat"/>
          <w:color w:val="000000"/>
        </w:rPr>
        <w:t>Custos de defesa não integram os valores desse contrato. Custos de defesa são todos os emolumentos, custas judiciais e despesas necessárias incorridas, com o prévio consentimento por escrito do contratante, decorrentes exclusivamente de uma investigação, defesa ou recurso, por ou em nome do contratante, relacionados a uma Reclamação.</w:t>
      </w:r>
    </w:p>
    <w:p>
      <w:pPr>
        <w:jc w:val="both"/>
        <w:spacing w:line="204" w:after="220"/>
      </w:pPr>
      <w:r>
        <w:rPr>
          <w:sz w:val="24"/>
          <w:szCs w:val="24"/>
          <w:rFonts w:ascii="Montserrat" w:hAnsi="Montserrat" w:cs="Montserrat" w:eastAsia="Montserrat"/>
          <w:color w:val="000000"/>
          <w:b/>
        </w:rPr>
        <w:t>HONORÁRIOS DE ÊXITO:</w:t>
      </w:r>
      <w:r>
        <w:rPr>
          <w:lang w:val="en-US"/>
        </w:rPr>
        <w:t xml:space="preserve"> </w:t>
      </w:r>
      <w:r>
        <w:rPr>
          <w:sz w:val="24"/>
          <w:szCs w:val="24"/>
          <w:rFonts w:ascii="Montserrat" w:hAnsi="Montserrat" w:cs="Montserrat" w:eastAsia="Montserrat"/>
          <w:color w:val="000000"/>
        </w:rPr>
        <w:t>São os honorários devidos ao escritório quando ocorrido ao menos um evento de êxito (vide Cláusulas Especiais), incidindo sobre a base de cálculo definida neste instrumento, independentemente da continuidade dos trabalhos por outro patrono.</w:t>
      </w:r>
    </w:p>
    <w:p>
      <w:pPr>
        <w:jc w:val="both"/>
        <w:spacing w:line="204" w:after="220"/>
      </w:pPr>
      <w:r>
        <w:rPr>
          <w:sz w:val="24"/>
          <w:szCs w:val="24"/>
          <w:rFonts w:ascii="Montserrat" w:hAnsi="Montserrat" w:cs="Montserrat" w:eastAsia="Montserrat"/>
          <w:color w:val="000000"/>
          <w:b/>
        </w:rPr>
        <w:t>HONORÁRIOS PRÓ-LABORE:</w:t>
      </w:r>
      <w:r>
        <w:rPr>
          <w:lang w:val="en-US"/>
        </w:rPr>
        <w:t xml:space="preserve"> </w:t>
      </w:r>
      <w:r>
        <w:rPr>
          <w:sz w:val="24"/>
          <w:szCs w:val="24"/>
          <w:rFonts w:ascii="Montserrat" w:hAnsi="Montserrat" w:cs="Montserrat" w:eastAsia="Montserrat"/>
          <w:color w:val="000000"/>
        </w:rPr>
        <w:t>São os honorários pagos ao contratado no ato da contratação ou logo após a assinatura do contrato e integram o total dos honorários devidos, independentemente do resultado.</w:t>
      </w:r>
    </w:p>
    <w:p>
      <w:pPr>
        <w:jc w:val="both"/>
        <w:spacing w:line="204" w:after="220"/>
      </w:pPr>
      <w:r>
        <w:rPr>
          <w:sz w:val="24"/>
          <w:szCs w:val="24"/>
          <w:rFonts w:ascii="Montserrat" w:hAnsi="Montserrat" w:cs="Montserrat" w:eastAsia="Montserrat"/>
          <w:color w:val="000000"/>
          <w:b/>
        </w:rPr>
        <w:t>HONORÁRIOS POR GESTÃO DA CAUSA:</w:t>
      </w:r>
      <w:r>
        <w:rPr>
          <w:lang w:val="en-US"/>
        </w:rPr>
        <w:t xml:space="preserve"> </w:t>
      </w:r>
      <w:r>
        <w:rPr>
          <w:sz w:val="24"/>
          <w:szCs w:val="24"/>
          <w:rFonts w:ascii="Montserrat" w:hAnsi="Montserrat" w:cs="Montserrat" w:eastAsia="Montserrat"/>
          <w:color w:val="000000"/>
        </w:rPr>
        <w:t>Os Honorários de Gestão Processual correspondem a um valor fixo anual, devido pelo cliente ao escritório, enquanto o processo permanecer ativo, em qualquer fase processual, seja de conhecimento, recursal ou cumprimento de sentença.</w:t>
      </w:r>
    </w:p>
    <w:p>
      <w:pPr>
        <w:jc w:val="both"/>
        <w:spacing w:line="204" w:after="220"/>
      </w:pPr>
      <w:r>
        <w:rPr>
          <w:sz w:val="24"/>
          <w:szCs w:val="24"/>
          <w:rFonts w:ascii="Montserrat" w:hAnsi="Montserrat" w:cs="Montserrat" w:eastAsia="Montserrat"/>
          <w:color w:val="000000"/>
          <w:b/>
        </w:rPr>
        <w:t>MEDIAÇÃO DE CONFLITOS:</w:t>
      </w:r>
      <w:r>
        <w:rPr>
          <w:lang w:val="en-US"/>
        </w:rPr>
        <w:t xml:space="preserve"> </w:t>
      </w:r>
      <w:r>
        <w:rPr>
          <w:sz w:val="24"/>
          <w:szCs w:val="24"/>
          <w:rFonts w:ascii="Montserrat" w:hAnsi="Montserrat" w:cs="Montserrat" w:eastAsia="Montserrat"/>
          <w:color w:val="000000"/>
        </w:rPr>
        <w:t>Quando houver dissenso na interpretação das cláusulas desse contrato, as partes estabelecem que o dissenso será resolvido aplicando-se as tabelas de honorários do Rio de Janeiro e São Paulo, bem como as resoluções do Conselho Federal da OAB ou do respectivo Conselho Seccional.</w:t>
      </w:r>
    </w:p>
    <w:p>
      <w:pPr>
        <w:jc w:val="both"/>
        <w:spacing w:line="204" w:after="220"/>
      </w:pPr>
      <w:r>
        <w:rPr>
          <w:sz w:val="24"/>
          <w:szCs w:val="24"/>
          <w:rFonts w:ascii="Montserrat" w:hAnsi="Montserrat" w:cs="Montserrat" w:eastAsia="Montserrat"/>
          <w:color w:val="000000"/>
          <w:b/>
        </w:rPr>
        <w:t>PACOTE PREMIUM DE ACOMPANHAMENTO:</w:t>
      </w:r>
      <w:r>
        <w:rPr>
          <w:lang w:val="en-US"/>
        </w:rPr>
        <w:t xml:space="preserve"> </w:t>
      </w:r>
      <w:r>
        <w:rPr>
          <w:sz w:val="24"/>
          <w:szCs w:val="24"/>
          <w:rFonts w:ascii="Montserrat" w:hAnsi="Montserrat" w:cs="Montserrat" w:eastAsia="Montserrat"/>
          <w:color w:val="000000"/>
        </w:rPr>
        <w:t>Modalidade facultativa de atendimento diferenciado, contratável mediante adesão expressa ao Quadro de Acompanhamento Contratado (Cláusula VI), que confere ao contratante acesso prioritário, relatórios periódicos, reuniões mensais e canal direto com o advogado responsável, mediante contraprestação mensal autônoma e não compensável com os demais honorários.</w:t>
      </w:r>
    </w:p>
    <w:p>
      <w:pPr>
        <w:jc w:val="both"/>
        <w:spacing w:line="204" w:after="220"/>
      </w:pPr>
      <w:r>
        <w:rPr>
          <w:sz w:val="24"/>
          <w:szCs w:val="24"/>
          <w:rFonts w:ascii="Montserrat" w:hAnsi="Montserrat" w:cs="Montserrat" w:eastAsia="Montserrat"/>
          <w:color w:val="000000"/>
          <w:b/>
        </w:rPr>
        <w:t>PROPOSTA:</w:t>
      </w:r>
      <w:r>
        <w:rPr>
          <w:lang w:val="en-US"/>
        </w:rPr>
        <w:t xml:space="preserve"> </w:t>
      </w:r>
      <w:r>
        <w:rPr>
          <w:sz w:val="24"/>
          <w:szCs w:val="24"/>
          <w:rFonts w:ascii="Montserrat" w:hAnsi="Montserrat" w:cs="Montserrat" w:eastAsia="Montserrat"/>
          <w:color w:val="000000"/>
        </w:rPr>
        <w:t>Documento no qual as partes definem as condições de contratação e seu respectivo alcance.</w:t>
      </w:r>
    </w:p>
    <w:p>
      <w:pPr>
        <w:jc w:val="both"/>
        <w:spacing w:line="204" w:after="220"/>
      </w:pPr>
      <w:r>
        <w:rPr>
          <w:sz w:val="24"/>
          <w:szCs w:val="24"/>
          <w:rFonts w:ascii="Montserrat" w:hAnsi="Montserrat" w:cs="Montserrat" w:eastAsia="Montserrat"/>
          <w:color w:val="000000"/>
          <w:b/>
        </w:rPr>
        <w:t>PROCURAÇÃO:</w:t>
      </w:r>
      <w:r>
        <w:rPr>
          <w:lang w:val="en-US"/>
        </w:rPr>
        <w:t xml:space="preserve"> </w:t>
      </w:r>
      <w:r>
        <w:rPr>
          <w:sz w:val="24"/>
          <w:szCs w:val="24"/>
          <w:rFonts w:ascii="Montserrat" w:hAnsi="Montserrat" w:cs="Montserrat" w:eastAsia="Montserrat"/>
          <w:color w:val="000000"/>
        </w:rPr>
        <w:t>Documento vinculado ao contrato que nomeia o escritório contratado para a atuação no processo judicial ou fora dele, com poderes para receber e dar quitação de honorários contratuais e requerer destaque.</w:t>
      </w:r>
    </w:p>
    <w:p>
      <w:pPr>
        <w:jc w:val="both"/>
        <w:spacing w:line="204" w:after="220"/>
      </w:pPr>
      <w:r>
        <w:rPr>
          <w:sz w:val="24"/>
          <w:szCs w:val="24"/>
          <w:rFonts w:ascii="Montserrat" w:hAnsi="Montserrat" w:cs="Montserrat" w:eastAsia="Montserrat"/>
          <w:color w:val="000000"/>
          <w:b/>
        </w:rPr>
        <w:t>RENÚNCIA:</w:t>
      </w:r>
      <w:r>
        <w:rPr>
          <w:lang w:val="en-US"/>
        </w:rPr>
        <w:t xml:space="preserve"> </w:t>
      </w:r>
      <w:r>
        <w:rPr>
          <w:sz w:val="24"/>
          <w:szCs w:val="24"/>
          <w:rFonts w:ascii="Montserrat" w:hAnsi="Montserrat" w:cs="Montserrat" w:eastAsia="Montserrat"/>
          <w:color w:val="000000"/>
        </w:rPr>
        <w:t>Ato unilateral do escritório previsto em lei que poderá ser motivado ou não motivado. A renúncia poderá ser aplicada no caso de inadimplemento do contrato ou conforme condições estipuladas neste instrumento.</w:t>
      </w:r>
    </w:p>
    <w:p>
      <w:pPr>
        <w:jc w:val="both"/>
        <w:spacing w:line="204" w:after="220"/>
      </w:pPr>
      <w:r>
        <w:rPr>
          <w:sz w:val="24"/>
          <w:szCs w:val="24"/>
          <w:rFonts w:ascii="Montserrat" w:hAnsi="Montserrat" w:cs="Montserrat" w:eastAsia="Montserrat"/>
          <w:color w:val="000000"/>
          <w:b/>
        </w:rPr>
        <w:t>RECLAMAÇÃO/DISPUTA:</w:t>
      </w:r>
      <w:r>
        <w:rPr>
          <w:lang w:val="en-US"/>
        </w:rPr>
        <w:t xml:space="preserve"> </w:t>
      </w:r>
      <w:r>
        <w:rPr>
          <w:sz w:val="24"/>
          <w:szCs w:val="24"/>
          <w:rFonts w:ascii="Montserrat" w:hAnsi="Montserrat" w:cs="Montserrat" w:eastAsia="Montserrat"/>
          <w:color w:val="000000"/>
        </w:rPr>
        <w:t>(i) Uma reivindicação ou requerimento escrito; ou (ii) um processo judicial, administrativo ou arbitral, buscando reparação por Ato Danoso. Qualquer Reclamação resultante de, baseada em ou atribuível a um Ato Danoso será considerada uma única Reclamação para os efeitos deste contrato.</w:t>
      </w:r>
    </w:p>
    <w:p>
      <w:pPr>
        <w:jc w:val="both"/>
        <w:spacing w:line="204" w:after="220"/>
      </w:pPr>
      <w:r>
        <w:rPr>
          <w:sz w:val="24"/>
          <w:szCs w:val="24"/>
          <w:rFonts w:ascii="Montserrat" w:hAnsi="Montserrat" w:cs="Montserrat" w:eastAsia="Montserrat"/>
          <w:color w:val="000000"/>
          <w:b/>
        </w:rPr>
        <w:t>RISCO:</w:t>
      </w:r>
      <w:r>
        <w:rPr>
          <w:lang w:val="en-US"/>
        </w:rPr>
        <w:t xml:space="preserve"> </w:t>
      </w:r>
      <w:r>
        <w:rPr>
          <w:sz w:val="24"/>
          <w:szCs w:val="24"/>
          <w:rFonts w:ascii="Montserrat" w:hAnsi="Montserrat" w:cs="Montserrat" w:eastAsia="Montserrat"/>
          <w:color w:val="000000"/>
        </w:rPr>
        <w:t>Um valor definido pelo profissional advogado com base em análise técnica. O risco será mensurado em moeda corrente nacional e classificado como possível, provável ou remoto.</w:t>
      </w:r>
    </w:p>
    <w:p>
      <w:pPr>
        <w:jc w:val="both"/>
        <w:spacing w:line="204" w:after="220"/>
      </w:pPr>
      <w:r>
        <w:rPr>
          <w:sz w:val="24"/>
          <w:szCs w:val="24"/>
          <w:rFonts w:ascii="Montserrat" w:hAnsi="Montserrat" w:cs="Montserrat" w:eastAsia="Montserrat"/>
          <w:color w:val="000000"/>
          <w:b/>
        </w:rPr>
        <w:t>SEGREDO:</w:t>
      </w:r>
      <w:r>
        <w:rPr>
          <w:lang w:val="en-US"/>
        </w:rPr>
        <w:t xml:space="preserve"> </w:t>
      </w:r>
      <w:r>
        <w:rPr>
          <w:sz w:val="24"/>
          <w:szCs w:val="24"/>
          <w:rFonts w:ascii="Montserrat" w:hAnsi="Montserrat" w:cs="Montserrat" w:eastAsia="Montserrat"/>
          <w:color w:val="000000"/>
        </w:rPr>
        <w:t>Refere-se à informação que derive valor econômico independente, efetivo ou potencial, pelo simples fato de não ser de conhecimento público, e que outras pessoas, com os meios corretos, não a possam verificar facilmente para obter vantagem econômica por sua divulgação ou uso.</w:t>
      </w:r>
    </w:p>
    <w:p>
      <w:pPr>
        <w:jc w:val="both"/>
        <w:spacing w:line="204" w:after="220"/>
      </w:pPr>
      <w:r>
        <w:rPr>
          <w:sz w:val="24"/>
          <w:szCs w:val="24"/>
          <w:rFonts w:ascii="Montserrat" w:hAnsi="Montserrat" w:cs="Montserrat" w:eastAsia="Montserrat"/>
          <w:color w:val="000000"/>
          <w:b/>
        </w:rPr>
        <w:t>TIME SHEET:</w:t>
      </w:r>
      <w:r>
        <w:rPr>
          <w:lang w:val="en-US"/>
        </w:rPr>
        <w:t xml:space="preserve"> </w:t>
      </w:r>
      <w:r>
        <w:rPr>
          <w:sz w:val="24"/>
          <w:szCs w:val="24"/>
          <w:rFonts w:ascii="Montserrat" w:hAnsi="Montserrat" w:cs="Montserrat" w:eastAsia="Montserrat"/>
          <w:color w:val="000000"/>
        </w:rPr>
        <w:t>Folha de tempo. Registro minuto a minuto das horas efetivamente despendidas pelos profissionais, desde a mobilização até a desmobilização da atividade. Valor da Hora: corresponderá às faixas da Tabela Interna de Hora Intelectual (padrão, ponderada e extraordinária), divulgada pelo Escritório e disponível ao cliente no momento da contratação. Sempre que houver trabalho fora do escopo originalmente pactuado, a remuneração adicional incidirá pela hora aplicável, mediante prévia ciência do cliente.</w:t>
      </w:r>
    </w:p>
    <w:p>
      <w:pPr>
        <w:jc w:val="both"/>
        <w:spacing w:line="204" w:after="220"/>
      </w:pPr>
      <w:r>
        <w:rPr>
          <w:sz w:val="24"/>
          <w:szCs w:val="24"/>
          <w:rFonts w:ascii="Montserrat" w:hAnsi="Montserrat" w:cs="Montserrat" w:eastAsia="Montserrat"/>
          <w:color w:val="000000"/>
          <w:b/>
        </w:rPr>
        <w:t>USO EXCESSIVO:</w:t>
      </w:r>
      <w:r>
        <w:rPr>
          <w:lang w:val="en-US"/>
        </w:rPr>
        <w:t xml:space="preserve"> </w:t>
      </w:r>
      <w:r>
        <w:rPr>
          <w:sz w:val="24"/>
          <w:szCs w:val="24"/>
          <w:rFonts w:ascii="Montserrat" w:hAnsi="Montserrat" w:cs="Montserrat" w:eastAsia="Montserrat"/>
          <w:color w:val="000000"/>
        </w:rPr>
        <w:t>Configura-se uso excessivo dos canais de atendimento quando o contratante, de forma reiterada, realiza contatos que extrapolam a finalidade informativa ou de instrução processual, caracterizando demanda desproporcional ao escopo contratado. A aferição do uso excessivo observará os parâmetros estabelecidos na Cláusula de Política de Comunicação e Atendimento.</w:t>
      </w:r>
    </w:p>
    <w:p>
      <w:pPr>
        <w:jc w:val="both"/>
        <w:spacing w:line="204" w:after="220"/>
      </w:pPr>
      <w:r>
        <w:rPr>
          <w:sz w:val="24"/>
          <w:szCs w:val="24"/>
          <w:rFonts w:ascii="Montserrat" w:hAnsi="Montserrat" w:cs="Montserrat" w:eastAsia="Montserrat"/>
          <w:color w:val="000000"/>
          <w:b/>
        </w:rPr>
        <w:t>VALOR DA AÇÃO:</w:t>
      </w:r>
      <w:r>
        <w:rPr>
          <w:lang w:val="en-US"/>
        </w:rPr>
        <w:t xml:space="preserve"> </w:t>
      </w:r>
      <w:r>
        <w:rPr>
          <w:sz w:val="24"/>
          <w:szCs w:val="24"/>
          <w:rFonts w:ascii="Montserrat" w:hAnsi="Montserrat" w:cs="Montserrat" w:eastAsia="Montserrat"/>
          <w:color w:val="000000"/>
        </w:rPr>
        <w:t>Conforme definido em lei, o valor da ação é a vantagem econômica envolvida na disputa.</w:t>
      </w:r>
    </w:p>
    <w:p>
      <w:pPr>
        <w:jc w:val="both"/>
        <w:spacing w:line="204" w:after="220"/>
      </w:pPr>
      <w:r>
        <w:rPr>
          <w:sz w:val="24"/>
          <w:szCs w:val="24"/>
          <w:rFonts w:ascii="Montserrat" w:hAnsi="Montserrat" w:cs="Montserrat" w:eastAsia="Montserrat"/>
          <w:color w:val="000000"/>
          <w:b/>
        </w:rPr>
        <w:t>VALOR DA HORA:</w:t>
      </w:r>
      <w:r>
        <w:rPr>
          <w:lang w:val="en-US"/>
        </w:rPr>
        <w:t xml:space="preserve"> </w:t>
      </w:r>
      <w:r>
        <w:rPr>
          <w:sz w:val="24"/>
          <w:szCs w:val="24"/>
          <w:rFonts w:ascii="Montserrat" w:hAnsi="Montserrat" w:cs="Montserrat" w:eastAsia="Montserrat"/>
          <w:color w:val="000000"/>
        </w:rPr>
        <w:t>Quando houver necessidade de apuração de valores por tempo empregado pelo profissional, a contagem de horas será baseada no valor especificado no quadro de horas vigente na política de honorários do escritório. A todo contrato será atribuído um total de horas projetadas no tempo e essa projeção será levada para fins de balanceamento da pactuação.</w:t>
      </w:r>
    </w:p>
    <w:p>
      <w:pPr>
        <w:jc w:val="both"/>
        <w:spacing w:line="204" w:after="220"/>
      </w:pPr>
      <w:r>
        <w:rPr>
          <w:sz w:val="24"/>
          <w:szCs w:val="24"/>
          <w:rFonts w:ascii="Montserrat" w:hAnsi="Montserrat" w:cs="Montserrat" w:eastAsia="Montserrat"/>
          <w:color w:val="000000"/>
          <w:b/>
        </w:rPr>
        <w:t>LGPD E CONFIDENCIALIDADE:</w:t>
      </w:r>
      <w:r>
        <w:rPr>
          <w:lang w:val="en-US"/>
        </w:rPr>
        <w:t xml:space="preserve"> </w:t>
      </w:r>
      <w:r>
        <w:rPr>
          <w:sz w:val="24"/>
          <w:szCs w:val="24"/>
          <w:rFonts w:ascii="Montserrat" w:hAnsi="Montserrat" w:cs="Montserrat" w:eastAsia="Montserrat"/>
          <w:color w:val="000000"/>
        </w:rPr>
        <w:t>As partes declaram ciência de que os dados pessoais tratados na execução deste contrato serão limitados ao necessário para sua execução, para o cumprimento de obrigação legal e para o exercício regular de direitos em processo judicial, administrativo ou arbitral. O Escritório adotará medidas técnicas e administrativas razoáveis para proteção dos dados, observando confidencialidade profissional. O cliente autoriza, quando estritamente necessário, o compartilhamento com corresponsáveis e operadores (peritos, correspondentes, contadores e outros profissionais envolvidos no caso), sempre sob dever de sigilo.</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Fica expressamente assegurado a qualquer tempo a certeza e a liquidez dos valores aqui declarados, correspondendo ainda o valor principal, juros, multas e demais despesas inerentes a esse instrumento e a tudo que aqui ficar estabelecido.</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Durante a vigência deste contrato, o escritório contratado defenderá os interesses do cliente conforme as suas prerrogativas profissionais, em estrito cumprimento ao disposto na Lei 8.906/94. Adere a este contrato um documento denominado "Proposta", onde é descrito em detalhes o serviço, tempo estimado em horas e outros dados de interesse das partes.</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O cliente confirma que recebeu todas as informações necessárias do escritório para decidir sobre a necessidade de ação judicial e está ciente dos riscos e benefícios da ação. Se o objetivo deste contrato é uma ação em curso ou uma nova medida a ser proposta, não há outro advogado envolvido, ou o cliente não concedeu poderes a outro advogado para o mesmo propósito.</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O advogado será o porta-voz do cliente em todas as questões relacionadas ao caso, tanto nos registros do processo como fora dele, a menos que a lei estabeleça o contrário.</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Se o cliente, direta ou indiretamente, celebrar acordo, transação, recebimento de valores ou ajuste com a parte contrária sem a participação do Escritório durante a vigência deste contrato, caracteriza-se violação contratual. Nessa hipótese, o cliente pagará, a título de cláusula penal compensatória, o maior entre: (i) os honorários contratuais mínimos remanescentes previstos para a etapa em curso; e (ii) 10% (dez por cento) do proveito econômico bruto do ajuste realizado, limitado ao teto dos honorários de êxito originalmente contratados. A penalidade não afasta eventual indenização suplementar por perdas e danos, se comprovados.</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O cliente se compromete a comparecer a audiências e atos processuais quando convocado. A ausência injustificada que gere prejuízo processual relevante autoriza a aplicação de cláusula penal limitada ao maior entre os honorários mínimos remanescentes da fase e 5% (cinco por cento) do valor econômico diretamente comprometido pelo ato, sem prejuízo de medidas saneadoras necessárias ao caso.</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Quaisquer despesas com transporte, viagens, custas, cópias e outras despesas semelhantes ficarão a cargo do cliente e devem ser reembolsadas mediante apresentação do recibo correspondente. Isto não inclui os custos de contratação de advogados locais para auxiliar em procedimentos fora da cidade onde o advogado contratado tem sede.</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Todas as comunicações entre o escritório e o cliente realizadas por meio dos canais oficiais indicados neste contrato serão consideradas oficiais e produzirão plenos efeitos jurídicos entre as partes, independentemente de confirmação adicional.</w:t>
      </w:r>
    </w:p>
    <w:p>
      <w:pPr>
        <w:pStyle w:val="ListBullet"/>
        <w:numPr>
          <w:ilvl w:val="0"/>
          <w:numId w:val="2"/>
        </w:numPr>
        <w:jc w:val="both"/>
        <w:spacing w:line="204"/>
        <w:ind w:left="603.249968290329"/>
      </w:pPr>
      <w:r>
        <w:t/>
      </w:r>
      <w:r>
        <w:rPr>
          <w:sz w:val="24"/>
          <w:szCs w:val="24"/>
          <w:rFonts w:ascii="Montserrat" w:hAnsi="Montserrat" w:cs="Montserrat" w:eastAsia="Montserrat"/>
          <w:color w:val="000000"/>
        </w:rPr>
        <w:t>O cliente autoriza o Escritório, de forma irrevogável enquanto vigente o mandato, a receber em nome próprio e por conta do cliente quaisquer valores decorrentes deste contrato, judiciais ou extrajudiciais. Valores recebidos serão escriturados em conta de transição específica para 'valores de terceiros a repassar', não constituindo receita do Escritório. A liquidação observará a seguinte ordem: (i) quitação de honorários contratados vencidos (pró-labore, intermediários e eventuais parcelas de êxito já exigíveis); (ii) reembolso de despesas adiantadas; e, havendo saldo, (iii) repasse ao cliente por transferência bancária em até 5 (cinco) dias úteis, com envio de demonstrativo.</w:t>
      </w:r>
    </w:p>
    <w:p>
      <w:pPr>
        <w:jc w:val="both"/>
        <w:spacing w:line="204" w:after="220"/>
      </w:pPr>
      <w:r>
        <w:rPr>
          <w:sz w:val="24"/>
          <w:szCs w:val="24"/>
          <w:rFonts w:ascii="Montserrat" w:hAnsi="Montserrat" w:cs="Montserrat" w:eastAsia="Montserrat"/>
          <w:color w:val="000000"/>
          <w:b/>
        </w:rPr>
        <w:t>POLÍTICA DE COMUNICAÇÃO E ATENDIMENTO</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O atendimento ao contratante será prestado exclusivamente por meio dos canais oficiais do escritório, a saber: (i) WhatsApp Business, no número +55 47 3842-1050; e (ii) telefone fixo, no mesmo número. Comunicações realizadas por canais diversos dos aqui indicados, incluindo redes sociais, aplicativos de mensagem pessoais dos profissionais ou contatos telefônicos pessoais, não serão consideradas oficiais e não obrigam a contratada.</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O horário de atendimento do escritório é de segunda a sexta-feira, das 8h às 18h, excetuados feriados nacionais, estaduais e municipais da sede da contratada. Mensagens, ligações ou contatos realizados fora desse horário serão recepcionados no primeiro dia útil subsequente, iniciando-se a contagem do prazo de resposta a partir desse momento.</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As demandas de natureza não urgente serão respondidas no prazo de até 48 (quarenta e oito) horas úteis, contadas a partir do recebimento da comunicação dentro do horário de atendimento. Consideram-se demandas não urgentes, exemplificativamente, pedidos de informação sobre andamento processual, envio de documentos complementares, esclarecimento de dúvidas sobre o caso e solicitações de reunião.</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Consideram-se demandas urgentes aquelas que envolvam: (i) intimação judicial com prazo em curso inferior a 48 horas úteis; (ii) audiência designada para os próximos 3 (três) dias úteis; (iii) cumprimento de mandado ou diligência iminente; e (iv) situação que, pelo decurso do tempo, possa causar perecimento de direito. As demandas urgentes serão tratadas com prioridade, sem vinculação ao prazo de 48 horas úteis acima estipulado.</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O escritório promoverá a atualização do contratante sobre o andamento do processo nas seguintes hipóteses: (i) quando houver movimentação processual relevante, assim entendida a prolação de decisões, designação de audiências, intimações para cumprimento de obrigações e resultados de julgamentos; (ii) quando solicitado pelo contratante, observado o prazo de resposta aplicável; e (iii) quando a estratégia processual recomendar ciência imediata do contratante. O contratante declara ciência de que a ausência de movimentação processual em determinado período não configura inércia do escritório, sendo inerente à tramitação judicial.</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O contratante poderá solicitar reuniões presenciais ou por videoconferência para tratar de questões relevantes ao caso. Na modalidade padrão de atendimento, está inclusa 1 (uma) reunião por trimestre, de até 30 (trinta) minutos. Reuniões adicionais ou que excedam o tempo previsto poderão ser agendadas mediante remuneração à razão do valor da hora intelectual vigente na Tabela Interna do Escritório, com prévia ciência do contratante.</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Configura-se uso excessivo dos canais de atendimento a reiteração de contatos que, pela frequência, volume ou natureza, extrapole a finalidade informativa ou de instrução processual e comprometa a organização interna do escritório. Consideram-se indicativos objetivos de uso excessivo: (i) o envio de mais de 5 (cinco) mensagens ou ligações em um mesmo dia útil, excetuadas as respostas a comunicações iniciadas pelo escritório; (ii) a reiteração da mesma demanda já respondida dentro do prazo de 48 horas úteis; (iii) contatos reiterados fora do horário de atendimento; e (iv) demandas de atualização processual em frequência superior a 3 (três) vezes por semana, quando não houver movimentação processual nova a comunicar.</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Verificado o uso excessivo na forma do item anterior, o escritório notificará o contratante, por escrito e por meio dos canais oficiais, indicando a ocorrência e orientando-o sobre os limites contratados. Na hipótese de persistência após a notificação, o escritório poderá: (i) condicionar o atendimento à adesão ao Pacote Premium de Acompanhamento, conforme Quadro de Acompanhamento Contratado (Cláusula VI); ou (ii) aplicar cobrança pelo tempo excedente, à razão do valor da hora intelectual vigente na Tabela Interna do Escritório, com emissão de fatura específica; ou (iii) em caso de recusa injustificada e persistência reiterada, considerar a conduta como violação contratual para fins de eventual renúncia motivada ao mandato, observado o disposto no artigo 5º, §3º, do Código de Ética e Disciplina da OAB.</w:t>
      </w:r>
    </w:p>
    <w:p>
      <w:pPr>
        <w:pStyle w:val="ListBullet"/>
        <w:numPr>
          <w:ilvl w:val="0"/>
          <w:numId w:val="3"/>
        </w:numPr>
        <w:jc w:val="both"/>
        <w:spacing w:line="204"/>
        <w:ind w:left="603.249968290329"/>
      </w:pPr>
      <w:r>
        <w:t/>
      </w:r>
      <w:r>
        <w:rPr>
          <w:sz w:val="24"/>
          <w:szCs w:val="24"/>
          <w:rFonts w:ascii="Montserrat" w:hAnsi="Montserrat" w:cs="Montserrat" w:eastAsia="Montserrat"/>
          <w:color w:val="000000"/>
        </w:rPr>
        <w:t>O Pacote Premium de Acompanhamento é modalidade facultativa de atendimento diferenciado, cuja adesão depende de manifestação expressa do contratante e da contratada, mediante assinatura de aditivo contratual ou aceite eletrônico. O Pacote Premium inclui os benefícios descritos no Quadro de Acompanhamento Contratado (Cláusula VI), sendo a contraprestação mensal devida a partir da data de adesão, com vencimento no dia 10 (dez) de cada mês subsequente. A contraprestação do Pacote Premium é autônoma e não compensável com honorários pró-labore, de êxito ou de gestão da causa. O cancelamento do Pacote Premium poderá ser solicitado por qualquer das partes mediante notificação com antecedência mínima de 30 (trinta) dias, sem incidência de multa, passando o atendimento a observar a modalidade padrão a partir do mês seguinte ao término do aviso prévio.</w:t>
      </w:r>
    </w:p>
    <w:p>
      <w:pPr>
        <w:jc w:val="center"/>
        <w:spacing w:line="204" w:after="220"/>
      </w:pPr>
      <w:r>
        <w:rPr>
          <w:sz w:val="24"/>
          <w:szCs w:val="24"/>
          <w:rFonts w:ascii="Montserrat" w:hAnsi="Montserrat" w:cs="Montserrat" w:eastAsia="Montserrat"/>
          <w:color w:val="000000"/>
          <w:b/>
        </w:rPr>
        <w:t>HONORÁRIOS, PAGAMENTO, CONDUTAS E LIQUIDAÇÃO</w:t>
      </w:r>
    </w:p>
    <w:p>
      <w:pPr>
        <w:pStyle w:val="ListBullet"/>
        <w:numPr>
          <w:ilvl w:val="0"/>
          <w:numId w:val="4"/>
        </w:numPr>
        <w:jc w:val="both"/>
        <w:spacing w:line="204"/>
        <w:ind w:left="603.249968290329"/>
      </w:pPr>
      <w:r>
        <w:t/>
      </w:r>
      <w:r>
        <w:rPr>
          <w:sz w:val="24"/>
          <w:szCs w:val="24"/>
          <w:rFonts w:ascii="Montserrat" w:hAnsi="Montserrat" w:cs="Montserrat" w:eastAsia="Montserrat"/>
          <w:color w:val="000000"/>
        </w:rPr>
        <w:t>O cliente se compromete a pagar ao escritório o valor acordado neste instrumento e suas cláusulas, nos prazos estabelecidos. Restando claro que:</w:t>
      </w:r>
    </w:p>
    <w:p>
      <w:pPr>
        <w:jc w:val="both"/>
        <w:spacing w:line="204" w:after="220"/>
      </w:pPr>
      <w:r>
        <w:rPr>
          <w:sz w:val="24"/>
          <w:szCs w:val="24"/>
          <w:rFonts w:ascii="Montserrat" w:hAnsi="Montserrat" w:cs="Montserrat" w:eastAsia="Montserrat"/>
          <w:color w:val="000000"/>
        </w:rPr>
        <w:t>1.1.</w:t>
      </w:r>
      <w:r>
        <w:rPr>
          <w:lang w:val="en-US"/>
        </w:rPr>
        <w:t xml:space="preserve"> </w:t>
      </w:r>
      <w:r>
        <w:rPr>
          <w:sz w:val="24"/>
          <w:szCs w:val="24"/>
          <w:rFonts w:ascii="Montserrat" w:hAnsi="Montserrat" w:cs="Montserrat" w:eastAsia="Montserrat"/>
          <w:color w:val="000000"/>
          <w:b/>
        </w:rPr>
        <w:t>Honorários Pró-Labore:</w:t>
      </w:r>
      <w:r>
        <w:rPr>
          <w:lang w:val="en-US"/>
        </w:rPr>
        <w:t xml:space="preserve"> </w:t>
      </w:r>
      <w:r>
        <w:rPr>
          <w:sz w:val="24"/>
          <w:szCs w:val="24"/>
          <w:rFonts w:ascii="Montserrat" w:hAnsi="Montserrat" w:cs="Montserrat" w:eastAsia="Montserrat"/>
          <w:color w:val="000000"/>
        </w:rPr>
        <w:t>São os honorários pagos ao escritório no ato da contratação ou logo após a assinatura do contrato. Esses honorários abrangem a remuneração básica pela prestação de serviços e são devidos independentemente do resultado da ação.</w:t>
      </w:r>
    </w:p>
    <w:p>
      <w:pPr>
        <w:jc w:val="both"/>
        <w:spacing w:line="204" w:after="220"/>
      </w:pPr>
      <w:r>
        <w:rPr>
          <w:sz w:val="24"/>
          <w:szCs w:val="24"/>
          <w:rFonts w:ascii="Montserrat" w:hAnsi="Montserrat" w:cs="Montserrat" w:eastAsia="Montserrat"/>
          <w:color w:val="000000"/>
        </w:rPr>
        <w:t>1.2.</w:t>
      </w:r>
      <w:r>
        <w:rPr>
          <w:lang w:val="en-US"/>
        </w:rPr>
        <w:t xml:space="preserve"> </w:t>
      </w:r>
      <w:r>
        <w:rPr>
          <w:sz w:val="24"/>
          <w:szCs w:val="24"/>
          <w:rFonts w:ascii="Montserrat" w:hAnsi="Montserrat" w:cs="Montserrat" w:eastAsia="Montserrat"/>
          <w:color w:val="000000"/>
          <w:b/>
        </w:rPr>
        <w:t>Honorários pela Gestão da Causa:</w:t>
      </w:r>
      <w:r>
        <w:rPr>
          <w:lang w:val="en-US"/>
        </w:rPr>
        <w:t xml:space="preserve"> </w:t>
      </w:r>
      <w:r>
        <w:rPr>
          <w:sz w:val="24"/>
          <w:szCs w:val="24"/>
          <w:rFonts w:ascii="Montserrat" w:hAnsi="Montserrat" w:cs="Montserrat" w:eastAsia="Montserrat"/>
          <w:color w:val="000000"/>
        </w:rPr>
        <w:t>Correspondem a um valor fixo anual, que o cliente deve pagar enquanto o processo permanecer ativo, independentemente da fase processual. Os valores são estabelecidos da seguinte forma: (i) Processos Cíveis, Trabalhistas e Empresariais: R$ 450,00 (quatrocentos e cinquenta reais) por ano; (ii) Processos Penais: R$ 600,00 (seiscentos reais) por ano. A cobrança será realizada anualmente, no mês de novembro.</w:t>
      </w:r>
    </w:p>
    <w:p>
      <w:pPr>
        <w:jc w:val="both"/>
        <w:spacing w:line="204" w:after="220"/>
      </w:pPr>
      <w:r>
        <w:rPr>
          <w:sz w:val="24"/>
          <w:szCs w:val="24"/>
          <w:rFonts w:ascii="Montserrat" w:hAnsi="Montserrat" w:cs="Montserrat" w:eastAsia="Montserrat"/>
          <w:color w:val="000000"/>
        </w:rPr>
        <w:t>1.3.</w:t>
      </w:r>
      <w:r>
        <w:rPr>
          <w:lang w:val="en-US"/>
        </w:rPr>
        <w:t xml:space="preserve"> </w:t>
      </w:r>
      <w:r>
        <w:rPr>
          <w:sz w:val="24"/>
          <w:szCs w:val="24"/>
          <w:rFonts w:ascii="Montserrat" w:hAnsi="Montserrat" w:cs="Montserrat" w:eastAsia="Montserrat"/>
          <w:color w:val="000000"/>
          <w:b/>
        </w:rPr>
        <w:t>Success Fee (Honorários de Êxito):</w:t>
      </w:r>
      <w:r>
        <w:rPr>
          <w:lang w:val="en-US"/>
        </w:rPr>
        <w:t xml:space="preserve"> </w:t>
      </w:r>
      <w:r>
        <w:rPr>
          <w:sz w:val="24"/>
          <w:szCs w:val="24"/>
          <w:rFonts w:ascii="Montserrat" w:hAnsi="Montserrat" w:cs="Montserrat" w:eastAsia="Montserrat"/>
          <w:color w:val="000000"/>
        </w:rPr>
        <w:t>São honorários devidos ao escritório quando ocorrido qualquer evento de êxito previsto neste instrumento, calculados sobre o valor total obtido no acordo, na condenação, na garantia do juízo, na tutela útil ou no levantamento/recebimento de valores, conforme os percentuais contratados. Os honorários de êxito são exigíveis mesmo que, após o evento, a condução do caso seja transferida a outro patrono.</w:t>
      </w:r>
    </w:p>
    <w:p>
      <w:pPr>
        <w:jc w:val="both"/>
        <w:spacing w:line="204" w:after="220"/>
      </w:pPr>
      <w:r>
        <w:rPr>
          <w:sz w:val="24"/>
          <w:szCs w:val="24"/>
          <w:rFonts w:ascii="Montserrat" w:hAnsi="Montserrat" w:cs="Montserrat" w:eastAsia="Montserrat"/>
          <w:color w:val="000000"/>
        </w:rPr>
        <w:t>1.4. Os honorários de sucumbência, quando houver, pertencem ao advogado, nos termos da lei, e não substituem nem se compensam com quaisquer honorários contratuais ajustados neste instrumento.</w:t>
      </w:r>
    </w:p>
    <w:p>
      <w:pPr>
        <w:jc w:val="both"/>
        <w:spacing w:line="204" w:after="220"/>
      </w:pPr>
      <w:r>
        <w:rPr>
          <w:sz w:val="24"/>
          <w:szCs w:val="24"/>
          <w:rFonts w:ascii="Montserrat" w:hAnsi="Montserrat" w:cs="Montserrat" w:eastAsia="Montserrat"/>
          <w:color w:val="000000"/>
        </w:rPr>
        <w:t>1.5.</w:t>
      </w:r>
      <w:r>
        <w:rPr>
          <w:lang w:val="en-US"/>
        </w:rPr>
        <w:t xml:space="preserve"> </w:t>
      </w:r>
      <w:r>
        <w:rPr>
          <w:sz w:val="24"/>
          <w:szCs w:val="24"/>
          <w:rFonts w:ascii="Montserrat" w:hAnsi="Montserrat" w:cs="Montserrat" w:eastAsia="Montserrat"/>
          <w:color w:val="000000"/>
          <w:b/>
        </w:rPr>
        <w:t>Pacote Premium de Acompanhamento:</w:t>
      </w:r>
      <w:r>
        <w:rPr>
          <w:lang w:val="en-US"/>
        </w:rPr>
        <w:t xml:space="preserve"> </w:t>
      </w:r>
      <w:r>
        <w:rPr>
          <w:sz w:val="24"/>
          <w:szCs w:val="24"/>
          <w:rFonts w:ascii="Montserrat" w:hAnsi="Montserrat" w:cs="Montserrat" w:eastAsia="Montserrat"/>
          <w:color w:val="000000"/>
        </w:rPr>
        <w:t>Quando contratado, o valor mensal do Pacote Premium será devido a partir da data de adesão, nas condições definidas no Quadro de Acompanhamento Contratado (Cláusula VI) e na Política de Comunicação e Atendimento, item 9.</w:t>
      </w:r>
    </w:p>
    <w:p>
      <w:pPr>
        <w:pStyle w:val="ListBullet"/>
        <w:numPr>
          <w:ilvl w:val="0"/>
          <w:numId w:val="5"/>
        </w:numPr>
        <w:jc w:val="both"/>
        <w:spacing w:line="204"/>
        <w:ind w:left="603.249968290329"/>
      </w:pPr>
      <w:r>
        <w:t/>
      </w:r>
      <w:r>
        <w:rPr>
          <w:sz w:val="24"/>
          <w:szCs w:val="24"/>
          <w:rFonts w:ascii="Montserrat" w:hAnsi="Montserrat" w:cs="Montserrat" w:eastAsia="Montserrat"/>
          <w:color w:val="000000"/>
        </w:rPr>
        <w:t>Este contrato de honorários será válido desde a assinatura até o final do mandato judicial, que pode ocorrer com o fim do processo, renúncia ou revogação de poderes.</w:t>
      </w:r>
    </w:p>
    <w:p>
      <w:pPr>
        <w:pStyle w:val="ListBullet"/>
        <w:numPr>
          <w:ilvl w:val="0"/>
          <w:numId w:val="5"/>
        </w:numPr>
        <w:jc w:val="both"/>
        <w:spacing w:line="204"/>
        <w:ind w:left="603.249968290329"/>
      </w:pPr>
      <w:r>
        <w:t/>
      </w:r>
      <w:r>
        <w:rPr>
          <w:sz w:val="24"/>
          <w:szCs w:val="24"/>
          <w:rFonts w:ascii="Montserrat" w:hAnsi="Montserrat" w:cs="Montserrat" w:eastAsia="Montserrat"/>
          <w:color w:val="000000"/>
        </w:rPr>
        <w:t>Se for feito um acordo, o percentual acordado será devido do mesmo jeito, com base no valor total do acordo feito em juízo ou fora dele, exceto se o cliente fizer um acordo sem o conhecimento do escritório (ato desonesto), hipótese em que incidirão as penalidades específicas deste instrumento.</w:t>
      </w:r>
    </w:p>
    <w:p>
      <w:pPr>
        <w:pStyle w:val="ListBullet"/>
        <w:numPr>
          <w:ilvl w:val="0"/>
          <w:numId w:val="5"/>
        </w:numPr>
        <w:jc w:val="both"/>
        <w:spacing w:line="204"/>
        <w:ind w:left="603.249968290329"/>
      </w:pPr>
      <w:r>
        <w:t/>
      </w:r>
      <w:r>
        <w:rPr>
          <w:sz w:val="24"/>
          <w:szCs w:val="24"/>
          <w:rFonts w:ascii="Montserrat" w:hAnsi="Montserrat" w:cs="Montserrat" w:eastAsia="Montserrat"/>
          <w:color w:val="000000"/>
        </w:rPr>
        <w:t>Os honorários de sucumbência, se aplicáveis, não substituirão os honorários acordados.</w:t>
      </w:r>
    </w:p>
    <w:p>
      <w:pPr>
        <w:pStyle w:val="ListBullet"/>
        <w:numPr>
          <w:ilvl w:val="0"/>
          <w:numId w:val="5"/>
        </w:numPr>
        <w:jc w:val="both"/>
        <w:spacing w:line="204"/>
        <w:ind w:left="603.249968290329"/>
      </w:pPr>
      <w:r>
        <w:t/>
      </w:r>
      <w:r>
        <w:rPr>
          <w:sz w:val="24"/>
          <w:szCs w:val="24"/>
          <w:rFonts w:ascii="Montserrat" w:hAnsi="Montserrat" w:cs="Montserrat" w:eastAsia="Montserrat"/>
          <w:color w:val="000000"/>
        </w:rPr>
        <w:t>O cliente autoriza o escritório a cobrar despesas processuais e honorários advocatícios através da emissão de faturas e boletos bancários, permitindo que esses valores sejam mantidos em uma instituição financeira nacional. Este contrato e seus subsequentes podem ser protestados se não forem pagos.</w:t>
      </w:r>
    </w:p>
    <w:p>
      <w:pPr>
        <w:pStyle w:val="ListBullet"/>
        <w:numPr>
          <w:ilvl w:val="0"/>
          <w:numId w:val="5"/>
        </w:numPr>
        <w:jc w:val="both"/>
        <w:spacing w:line="204"/>
        <w:ind w:left="603.249968290329"/>
      </w:pPr>
      <w:r>
        <w:t/>
      </w:r>
      <w:r>
        <w:rPr>
          <w:sz w:val="24"/>
          <w:szCs w:val="24"/>
          <w:rFonts w:ascii="Montserrat" w:hAnsi="Montserrat" w:cs="Montserrat" w:eastAsia="Montserrat"/>
          <w:color w:val="000000"/>
        </w:rPr>
        <w:t>O cliente será responsável exclusivamente pelos custos de levantamento de protestos nos respectivos órgãos públicos, enquanto o escritório fornecerá somente a carta de anuência.</w:t>
      </w:r>
    </w:p>
    <w:p>
      <w:pPr>
        <w:pStyle w:val="ListBullet"/>
        <w:numPr>
          <w:ilvl w:val="0"/>
          <w:numId w:val="5"/>
        </w:numPr>
        <w:jc w:val="both"/>
        <w:spacing w:line="204"/>
        <w:ind w:left="603.249968290329"/>
      </w:pPr>
      <w:r>
        <w:t/>
      </w:r>
      <w:r>
        <w:rPr>
          <w:sz w:val="24"/>
          <w:szCs w:val="24"/>
          <w:rFonts w:ascii="Montserrat" w:hAnsi="Montserrat" w:cs="Montserrat" w:eastAsia="Montserrat"/>
          <w:color w:val="000000"/>
        </w:rPr>
        <w:t>Salvo previsão mais benéfica ao cliente, valores em atraso serão corrigidos pela variação da SELIC, com multa moratória de 2% (dois por cento) sobre o principal e juros de 1% (um por cento) ao mês pro rata die a partir do vencimento. Em parcelamentos, a atualização seguirá o mesmo índice. O não pagamento de qualquer parcela implica vencimento antecipado das remanescentes e autoriza a suspensão imediata de atos não essenciais, sem prejuízo da renúncia ao mandato na forma da lei.</w:t>
      </w:r>
    </w:p>
    <w:p>
      <w:pPr>
        <w:pStyle w:val="ListBullet"/>
        <w:numPr>
          <w:ilvl w:val="0"/>
          <w:numId w:val="5"/>
        </w:numPr>
        <w:jc w:val="both"/>
        <w:spacing w:line="204"/>
        <w:ind w:left="603.249968290329"/>
      </w:pPr>
      <w:r>
        <w:t/>
      </w:r>
      <w:r>
        <w:rPr>
          <w:sz w:val="24"/>
          <w:szCs w:val="24"/>
          <w:rFonts w:ascii="Montserrat" w:hAnsi="Montserrat" w:cs="Montserrat" w:eastAsia="Montserrat"/>
          <w:color w:val="000000"/>
          <w:b/>
        </w:rPr>
        <w:t>Cláusula de Revogação/Rescisão e Substabelecimento Sem Reserva:</w:t>
      </w:r>
      <w:r>
        <w:rPr>
          <w:lang w:val="en-US"/>
        </w:rPr>
        <w:t xml:space="preserve"> </w:t>
      </w:r>
      <w:r>
        <w:rPr>
          <w:sz w:val="24"/>
          <w:szCs w:val="24"/>
          <w:rFonts w:ascii="Montserrat" w:hAnsi="Montserrat" w:cs="Montserrat" w:eastAsia="Montserrat"/>
          <w:color w:val="000000"/>
        </w:rPr>
        <w:t>Se o contrato com cláusula de êxito for rescindido por iniciativa do cliente, ou se houver substabelecimento sem reserva a terceiro, consideram-se vencidos: (i) o pró-labore e demais parcelas fixas já vencidas; (ii) os honorários de êxito correspondentes aos eventos de êxito já alcançados; e (iii) um êxito proporcional relativo ao grau de adiantamento útil para o próximo evento de êxito, apurado segundo os critérios objetivos da Cláusula Especial 3. Na hipótese de revogação imotivada antes de qualquer evento de êxito, incide cláusula penal moderada equivalente a [x]% da estimativa mínima de êxito contratual, compensável com quaisquer valores devidos, passível de ajuste equitativo apenas em caso de manifesta desproporção.</w:t>
      </w:r>
    </w:p>
    <w:p>
      <w:pPr>
        <w:jc w:val="center"/>
        <w:spacing w:line="204" w:after="220"/>
      </w:pPr>
      <w:r>
        <w:rPr>
          <w:sz w:val="24"/>
          <w:szCs w:val="24"/>
          <w:rFonts w:ascii="Montserrat" w:hAnsi="Montserrat" w:cs="Montserrat" w:eastAsia="Montserrat"/>
          <w:color w:val="000000"/>
          <w:b/>
        </w:rPr>
        <w:t>CLÁUSULAS ESPECIAIS SOBRE ÊXITO, SUBSTABELECIMENTO, REVOGAÇÃO E SUCUMBÊNCIA</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Eventos de êxito:</w:t>
      </w:r>
      <w:r>
        <w:rPr>
          <w:lang w:val="en-US"/>
        </w:rPr>
        <w:t xml:space="preserve"> </w:t>
      </w:r>
      <w:r>
        <w:rPr>
          <w:sz w:val="24"/>
          <w:szCs w:val="24"/>
          <w:rFonts w:ascii="Montserrat" w:hAnsi="Montserrat" w:cs="Montserrat" w:eastAsia="Montserrat"/>
          <w:color w:val="000000"/>
        </w:rPr>
        <w:t>Consideram-se eventos de êxito, para fins de exigibilidade do honorário variável: (i) concessão de tutela de urgência útil; (ii) sentença de procedência, ainda que parcial; (iii) acordo firmado com anuência do cliente; (iv) garantia do juízo (depósito, bloqueio, penhora frutífera ou caução aceita); (v) levantamento/pagamento ou recebimento de valores por qualquer via (judicial ou extrajudicial).</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Percentuais e base de cálculo:</w:t>
      </w:r>
      <w:r>
        <w:rPr>
          <w:lang w:val="en-US"/>
        </w:rPr>
        <w:t xml:space="preserve"> </w:t>
      </w:r>
      <w:r>
        <w:rPr>
          <w:sz w:val="24"/>
          <w:szCs w:val="24"/>
          <w:rFonts w:ascii="Montserrat" w:hAnsi="Montserrat" w:cs="Montserrat" w:eastAsia="Montserrat"/>
          <w:color w:val="000000"/>
        </w:rPr>
        <w:t>Sobre a base de cálculo (proveito econômico bruto, valor do acordo, valor atualizado da condenação, valor garantido ou montante efetivamente levantado), incidirão os percentuais definidos no Quadro Descritivo de Honorários e/ou em aditivo, podendo ser escalonados por eventos até o teto contratual. Cada parcela vence no respectivo evento, sendo cumulativas até o limite estabelecido.</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Proporcionalidade objetiva (quantum meruit mensurável):</w:t>
      </w:r>
      <w:r>
        <w:rPr>
          <w:lang w:val="en-US"/>
        </w:rPr>
        <w:t xml:space="preserve"> </w:t>
      </w:r>
      <w:r>
        <w:rPr>
          <w:sz w:val="24"/>
          <w:szCs w:val="24"/>
          <w:rFonts w:ascii="Montserrat" w:hAnsi="Montserrat" w:cs="Montserrat" w:eastAsia="Montserrat"/>
          <w:color w:val="000000"/>
        </w:rPr>
        <w:t>Quando houver revogação de poderes pelo cliente ou substabelecimento sem reserva, sem que todos os eventos contratados tenham sido alcançados, as partes adotarão a seguinte régua para apuração do êxito proporcional relativo ao próximo evento ainda não ocorrido: (a) 20% se concluído protocolo inicial completo, saneamento e organização probatória; (b) 40% se realizadas instrução e/ou atos essenciais (audiências, perícias, memoriais); (c) 40% se elaborados atos da fase decisória imediatamente anterior ao evento (razões finais, alegações, memoriais/recursos necessários). Na ausência de consenso, admite-se arbitramento judicial observando art. 22, §2º, da Lei 8.906/94 e art. 413 do CC.</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Substabelecimento:</w:t>
      </w:r>
      <w:r>
        <w:rPr>
          <w:lang w:val="en-US"/>
        </w:rPr>
        <w:t xml:space="preserve"> </w:t>
      </w:r>
      <w:r>
        <w:rPr>
          <w:sz w:val="24"/>
          <w:szCs w:val="24"/>
          <w:rFonts w:ascii="Montserrat" w:hAnsi="Montserrat" w:cs="Montserrat" w:eastAsia="Montserrat"/>
          <w:color w:val="000000"/>
        </w:rPr>
        <w:t>O substabelecimento com reserva de poderes poderá ser utilizado para colaboração técnica. Qualquer substabelecimento sem reserva dependerá de anuência expressa da CONTRATADA e implicará o vencimento das verbas conforme estas cláusulas especiais, inclusive êxito proporcional.</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Sucumbência – reserva e rateio:</w:t>
      </w:r>
      <w:r>
        <w:rPr>
          <w:lang w:val="en-US"/>
        </w:rPr>
        <w:t xml:space="preserve"> </w:t>
      </w:r>
      <w:r>
        <w:rPr>
          <w:sz w:val="24"/>
          <w:szCs w:val="24"/>
          <w:rFonts w:ascii="Montserrat" w:hAnsi="Montserrat" w:cs="Montserrat" w:eastAsia="Montserrat"/>
          <w:color w:val="000000"/>
        </w:rPr>
        <w:t>O cliente reconhece que os honorários de sucumbência pertencem aos advogados. Havendo substituição de patronos, as partes envidarão esforços para que os advogados firmem termo de rateio proporcional considerando a efetiva atuação. O cliente autoriza a CONTRATADA a requerer nos autos a reserva/destaque de honorários sucumbenciais relativos aos atos por ela praticados e a juntar este contrato exclusivamente para essa finalidade.</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Autorização de destaque:</w:t>
      </w:r>
      <w:r>
        <w:rPr>
          <w:lang w:val="en-US"/>
        </w:rPr>
        <w:t xml:space="preserve"> </w:t>
      </w:r>
      <w:r>
        <w:rPr>
          <w:sz w:val="24"/>
          <w:szCs w:val="24"/>
          <w:rFonts w:ascii="Montserrat" w:hAnsi="Montserrat" w:cs="Montserrat" w:eastAsia="Montserrat"/>
          <w:color w:val="000000"/>
        </w:rPr>
        <w:t>A CONTRATANTE autoriza o destaque e retenção direta dos honorários contratuais devidos (pró-labore, êxito e penal) por ocasião de qualquer alvará, RPV, precatório, transferência ou acordo, inclusive quando a execução for conduzida por novo patrono, mediante comprovação do evento de êxito e desta avença.</w:t>
      </w:r>
    </w:p>
    <w:p>
      <w:pPr>
        <w:pStyle w:val="ListBullet"/>
        <w:numPr>
          <w:ilvl w:val="0"/>
          <w:numId w:val="6"/>
        </w:numPr>
        <w:jc w:val="both"/>
        <w:spacing w:line="204"/>
        <w:ind w:left="603.249968290329"/>
      </w:pPr>
      <w:r>
        <w:t/>
      </w:r>
      <w:r>
        <w:rPr>
          <w:sz w:val="24"/>
          <w:szCs w:val="24"/>
          <w:rFonts w:ascii="Montserrat" w:hAnsi="Montserrat" w:cs="Montserrat" w:eastAsia="Montserrat"/>
          <w:color w:val="000000"/>
          <w:b/>
        </w:rPr>
        <w:t>Acordo sem ciência:</w:t>
      </w:r>
      <w:r>
        <w:rPr>
          <w:lang w:val="en-US"/>
        </w:rPr>
        <w:t xml:space="preserve"> </w:t>
      </w:r>
      <w:r>
        <w:rPr>
          <w:sz w:val="24"/>
          <w:szCs w:val="24"/>
          <w:rFonts w:ascii="Montserrat" w:hAnsi="Montserrat" w:cs="Montserrat" w:eastAsia="Montserrat"/>
          <w:color w:val="000000"/>
        </w:rPr>
        <w:t>Celebrado acordo pelo cliente sem ciência da CONTRATADA durante a vigência, permanecem devidos os honorários relativos aos eventos já alcançados e o êxito proporcional previsto nestas cláusulas, apurados sobre o valor total do acordo.</w:t>
      </w:r>
    </w:p>
    <w:p>
      <w:pPr>
        <w:jc w:val="center"/>
        <w:spacing w:line="204" w:after="220"/>
      </w:pPr>
      <w:r>
        <w:rPr>
          <w:sz w:val="24"/>
          <w:szCs w:val="24"/>
          <w:rFonts w:ascii="Montserrat" w:hAnsi="Montserrat" w:cs="Montserrat" w:eastAsia="Montserrat"/>
          <w:color w:val="000000"/>
          <w:b/>
        </w:rPr>
        <w:t>DISPOSIÇÕES FINAIS</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Este contrato contém a expressão máxima da vontade das partes e será interpretado em conformidade com as leis da República Federativa do Brasil.</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Para dirimir quaisquer controvérsias oriundas do CONTRATO, as PARTES elegem o foro da comarca de Itajaí, com renúncia de todos os outros, por mais privilegiados que possam ser.</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Todas as notificações previstas neste contrato serão feitas por escrito, por meio dos canais oficiais definidos na Política de Comunicação e Atendimento, e consideradas recebidas na data da sua transmissão, se por mensagem eletrônica, ou na data do efetivo recebimento pela Parte notificada, em seu endereço, se enviadas por quaisquer outros meios. As notificações obrigatoriamente deverão ser por escrito, nos endereços e canais acima identificados.</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A invalidade ou ineficácia de qualquer uma das cláusulas e/ou disposições deste instrumento não afetará a vigência das restantes, permanecendo as Partes plenamente vinculadas ao seu cumprimento. Caso alguma das disposições deste instrumento venha a ser declarada inválida ou ineficaz, as Partes obrigam-se a substituir essa disposição por outra de fim equivalente ao pretendido, sem o vício que lhe deu causa.</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Este Contrato constitui o único documento que regula os direitos e obrigações das partes com relação ao objeto acordado, ficando expressamente cancelado e revogado todo e qualquer entendimento ou ajuste escrito ou verbal anterior, que não esteja implicitamente consignado neste contrato.</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Quaisquer alterações no presente contrato somente terão eficácia se realizadas por escrito. Compromissos verbais não obrigarão as partes, sendo considerados inexistentes para fins deste contrato.</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A renúncia de qualquer das Partes a qualquer direito, ou a falta de objeção em caso de violação pela outra Parte, não será interpretada como renúncia a direitos nem impedirá objeções futuras quanto a outras violações.</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Os direitos decorrentes deste contrato poderão ser cedidos ou transferidos a terceiros.</w:t>
      </w:r>
    </w:p>
    <w:p>
      <w:pPr>
        <w:pStyle w:val="ListBullet"/>
        <w:numPr>
          <w:ilvl w:val="0"/>
          <w:numId w:val="7"/>
        </w:numPr>
        <w:jc w:val="both"/>
        <w:spacing w:line="204"/>
        <w:ind w:left="603.249968290329"/>
      </w:pPr>
      <w:r>
        <w:t/>
      </w:r>
      <w:r>
        <w:rPr>
          <w:sz w:val="24"/>
          <w:szCs w:val="24"/>
          <w:rFonts w:ascii="Montserrat" w:hAnsi="Montserrat" w:cs="Montserrat" w:eastAsia="Montserrat"/>
          <w:color w:val="000000"/>
        </w:rPr>
        <w:t>Não havendo interesse na manutenção do presente contrato, durante sua vigência, deverá a parte desinteressada notificar a outra de sua intenção de encerrar o contrato, observadas as demais cominações aqui descritas.</w:t>
      </w:r>
      <w:r>
        <w:br/>
      </w:r>
    </w:p>
    <w:p>
      <w:pPr>
        <w:jc w:val="center"/>
        <w:spacing w:line="204" w:after="220"/>
      </w:pPr>
      <w:r>
        <w:rPr>
          <w:sz w:val="24"/>
          <w:szCs w:val="24"/>
          <w:rFonts w:ascii="Montserrat" w:hAnsi="Montserrat" w:cs="Montserrat" w:eastAsia="Montserrat"/>
          <w:color w:val="000000"/>
        </w:rPr>
        <w:t>Itajaí, SC, 25/03/2026 16:42</w:t>
      </w:r>
    </w:p>
    <w:p>
      <w:pPr>
        <w:jc w:val="both"/>
        <w:spacing w:line="204" w:after="220"/>
      </w:pPr>
      <w:r>
        <w:rPr>
          <w:sz w:val="24"/>
          <w:szCs w:val="24"/>
          <w:rFonts w:ascii="Montserrat" w:hAnsi="Montserrat" w:cs="Montserrat" w:eastAsia="Montserrat"/>
          <w:color w:val="000000"/>
        </w:rPr>
        <w:t>Este instrumento e seus anexos serão assinados digitalmente pelas partes, com certificados ICP-Brasil ou mecanismo de assinatura eletrônica avançada com autenticação em dois fatores e validação documental. O PDF assinado integra os autos contratuais, fazendo prova plena da contratação, inclusive para fins de cobrança, sem necessidade de testemunhas. Documento eletrônico assinado conforme folha de rosto anexa, na forma do artigo 10º, parágrafo 1°, da MP 2.200-2 de 24 de Agosto de 2001. A conferência da autenticidade do documento poderá ser realizada no Verificador de Conformidade (iti.br).</w:t>
      </w:r>
      <w:r>
        <w:br/>
      </w:r>
    </w:p>
    <w:p>
      <w:pPr>
        <w:jc w:val="center"/>
        <w:spacing w:line="204" w:after="220"/>
      </w:pPr>
      <w:r>
        <w:rPr>
          <w:sz w:val="24"/>
          <w:szCs w:val="24"/>
          <w:rFonts w:ascii="Montserrat" w:hAnsi="Montserrat" w:cs="Montserrat" w:eastAsia="Montserrat"/>
          <w:color w:val="000000"/>
          <w:b/>
        </w:rPr>
        <w:t>ATENÇÃO: NENHUM PROFISSIONAL DESTE ESCRITÓRIO SOLICITA VALORES POR MEIO DE CONTATOS PESSOAIS OU CHAVE PIX CPF</w:t>
      </w:r>
    </w:p>
    <w:p>
      <w:pPr>
        <w:jc w:val="center"/>
        <w:spacing w:line="204" w:after="220"/>
      </w:pPr>
      <w:r>
        <w:rPr>
          <w:sz w:val="24"/>
          <w:szCs w:val="24"/>
          <w:rFonts w:ascii="Montserrat" w:hAnsi="Montserrat" w:cs="Montserrat" w:eastAsia="Montserrat"/>
          <w:color w:val="000000"/>
          <w:b/>
        </w:rPr>
        <w:t>CANAIS DE ATENDIMENTO AO CLIENTE (ÚNICOS) +55 47 3842-1050 (telefone e WhatsApp)</w:t>
      </w:r>
      <w:r>
        <w:rPr>
          <w:lang w:val="en-US"/>
        </w:rPr>
        <w:t xml:space="preserve"> </w:t>
      </w:r>
    </w:p>
    <w:p>
      <w:pPr>
        <w:jc w:val="center"/>
        <w:spacing w:line="204" w:after="220"/>
      </w:pPr>
      <w:r>
        <w:rPr>
          <w:sz w:val="24"/>
          <w:szCs w:val="24"/>
          <w:rFonts w:ascii="Montserrat" w:hAnsi="Montserrat" w:cs="Montserrat" w:eastAsia="Montserrat"/>
          <w:color w:val="000000"/>
        </w:rPr>
        <w:t>REV 03/2026-010 A</w:t>
      </w:r>
      <w:r>
        <w:rPr>
          <w:lang w:val="en-US"/>
        </w:rPr>
        <w:t xml:space="preserve"> </w:t>
      </w:r>
      <w:r>
        <w:br/>
      </w: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abstractNum w:abstractNumId="1">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abstractNum w:abstractNumId="2">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abstractNum w:abstractNumId="3">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abstractNum w:abstractNumId="4">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abstractNum w:abstractNumId="5">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abstractNum w:abstractNumId="6">
    <w:multiLevelType w:val="hybridMultilevel"/>
    <w:tmpl w:val="E7CC04EC"/>
    <w:lvl w:ilvl="0" w:tplc="04090001">
      <w:pStyle w:val="ListBullet"/>
      <w:start w:val="1"/>
      <w:numFmt w:val="decimal"/>
      <w:lvlText w:val="%1."/>
      <w:lvlJc w:val="left"/>
      <w:pPr>
        <w:ind w:left="360" w:hanging="360"/>
      </w:pPr>
      <w:rPr/>
    </w:lvl>
    <w:lvl w:ilvl="1" w:tplc="04090003" w:tentative="1">
      <w:pStyle w:val="ListBullet2"/>
      <w:start w:val="1"/>
      <w:numFmt w:val="bullet"/>
      <w:lvlText w:val="o"/>
      <w:lvlJc w:val="left"/>
      <w:pPr>
        <w:ind w:left="720" w:hanging="360"/>
      </w:pPr>
      <w:rPr/>
    </w:lvl>
    <w:lvl w:ilvl="2" w:tplc="04090005" w:tentative="1">
      <w:pStyle w:val="ListBullet3"/>
      <w:start w:val="1"/>
      <w:numFmt w:val="bullet"/>
      <w:lvlText w:val=""/>
      <w:lvlJc w:val="left"/>
      <w:pPr>
        <w:ind w:left="1080" w:hanging="360"/>
      </w:pPr>
      <w:rPr/>
    </w:lvl>
    <w:lvl w:ilvl="3" w:tplc="04090001" w:tentative="1">
      <w:pStyle w:val="ListBullet4"/>
      <w:start w:val="1"/>
      <w:numFmt w:val="bullet"/>
      <w:lvlText w:val=""/>
      <w:lvlJc w:val="left"/>
      <w:pPr>
        <w:ind w:left="1440" w:hanging="360"/>
      </w:pPr>
      <w:rPr/>
    </w:lvl>
    <w:lvl w:ilvl="4" w:tplc="04090003" w:tentative="1">
      <w:pStyle w:val="ListBullet5"/>
      <w:start w:val="1"/>
      <w:numFmt w:val="bullet"/>
      <w:lvlText w:val="o"/>
      <w:lvlJc w:val="left"/>
      <w:pPr>
        <w:ind w:left="1800" w:hanging="360"/>
      </w:pPr>
      <w:rPr/>
    </w:lvl>
    <w:lvl w:ilvl="5" w:tplc="04090005" w:tentative="1">
      <w:pStyle w:val="ListBullet6"/>
      <w:start w:val="1"/>
      <w:numFmt w:val="bullet"/>
      <w:lvlText w:val=""/>
      <w:lvlJc w:val="left"/>
      <w:pPr>
        <w:ind w:left="2160" w:hanging="360"/>
      </w:pPr>
      <w:rPr/>
    </w:lvl>
    <w:lvl w:ilvl="6" w:tplc="04090001" w:tentative="1">
      <w:pStyle w:val="ListBullet7"/>
      <w:start w:val="1"/>
      <w:numFmt w:val="bullet"/>
      <w:lvlText w:val=""/>
      <w:lvlJc w:val="left"/>
      <w:pPr>
        <w:ind w:left="2520" w:hanging="360"/>
      </w:pPr>
      <w:rPr/>
    </w:lvl>
    <w:lvl w:ilvl="7" w:tplc="04090003" w:tentative="1">
      <w:pStyle w:val="ListBullet8"/>
      <w:start w:val="1"/>
      <w:numFmt w:val="bullet"/>
      <w:lvlText w:val="o"/>
      <w:lvlJc w:val="left"/>
      <w:pPr>
        <w:ind w:left="2880" w:hanging="360"/>
      </w:pPr>
      <w:rPr/>
    </w:lvl>
    <w:lvl w:ilvl="8" w:tplc="04090005" w:tentative="1">
      <w:pStyle w:val="ListBullet9"/>
      <w:start w:val="1"/>
      <w:numFmt w:val="bullet"/>
      <w:lvlText w:val=""/>
      <w:lvlJc w:val="left"/>
      <w:pPr>
        <w:ind w:left="3240" w:hanging="360"/>
      </w:pPr>
      <w:rPr/>
    </w:lvl>
  </w:abstractNum>
  <w:num w:numId="1">
    <w:abstractNumId w:val="0"/>
    <w:lvlOverride w:ilvl="0">
      <w:startOverride w:val="1"/>
    </w:lvlOverride>
  </w:num>
  <w:num w:numId="2">
    <w:abstractNumId w:val="1"/>
    <w:lvlOverride w:ilvl="0">
      <w:startOverride w:val="4"/>
    </w:lvlOverride>
  </w:num>
  <w:num w:numId="3">
    <w:abstractNumId w:val="2"/>
    <w:lvlOverride w:ilvl="0">
      <w:startOverride w:val="1"/>
    </w:lvlOverride>
  </w:num>
  <w:num w:numId="4">
    <w:abstractNumId w:val="3"/>
    <w:lvlOverride w:ilvl="0">
      <w:startOverride w:val="1"/>
    </w:lvlOverride>
  </w:num>
  <w:num w:numId="5">
    <w:abstractNumId w:val="4"/>
    <w:lvlOverride w:ilvl="0">
      <w:startOverride w:val="2"/>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compatSetting w:name="compatibilityMode" w:uri="http://schemas.microsoft.com/office/word" w:val="15"/>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rPr/>
  </w:style>
  <w:style w:type="paragraph" w:styleId="Heading2">
    <w:name w:val="heading 2"/>
    <w:basedOn w:val="Normal"/>
    <w:next w:val="Normal"/>
    <w:link w:val="Heading2Char"/>
    <w:uiPriority w:val="9"/>
    <w:unhideWhenUsed/>
    <w:qFormat/>
    <w:rsid w:val="00263428"/>
    <w:pPr/>
    <w:rPr/>
  </w:style>
  <w:style w:type="paragraph" w:styleId="Heading3">
    <w:name w:val="heading 3"/>
    <w:basedOn w:val="Normal"/>
    <w:next w:val="Normal"/>
    <w:link w:val="Heading3Char"/>
    <w:uiPriority w:val="9"/>
    <w:unhideWhenUsed/>
    <w:qFormat/>
    <w:rsid w:val="00263428"/>
    <w:pPr/>
    <w:rPr/>
  </w:style>
  <w:style w:type="paragraph" w:styleId="Heading4">
    <w:name w:val="heading 4"/>
    <w:basedOn w:val="Normal"/>
    <w:next w:val="Normal"/>
    <w:link w:val="Heading4Char"/>
    <w:uiPriority w:val="9"/>
    <w:unhideWhenUsed/>
    <w:qFormat/>
    <w:rsid w:val="00263428"/>
    <w:pPr/>
    <w:rPr/>
  </w:style>
  <w:style w:type="paragraph" w:styleId="Heading5">
    <w:name w:val="heading 5"/>
    <w:basedOn w:val="Normal"/>
    <w:next w:val="Normal"/>
    <w:link w:val="Heading5Char"/>
    <w:uiPriority w:val="9"/>
    <w:unhideWhenUsed/>
    <w:qFormat/>
    <w:rsid w:val="00263428"/>
    <w:pPr/>
    <w:rPr/>
  </w:style>
  <w:style w:type="paragraph" w:styleId="Heading6">
    <w:name w:val="heading 6"/>
    <w:basedOn w:val="Normal"/>
    <w:next w:val="Normal"/>
    <w:link w:val="Heading6Char"/>
    <w:uiPriority w:val="9"/>
    <w:unhideWhenUsed/>
    <w:qFormat/>
    <w:rsid w:val="00263428"/>
    <w:pPr/>
    <w:rPr/>
  </w:style>
  <w:style w:type="paragraph" w:styleId="Heading7">
    <w:name w:val="heading 7"/>
    <w:basedOn w:val="Normal"/>
    <w:next w:val="Normal"/>
    <w:link w:val="Heading7Char"/>
    <w:uiPriority w:val="9"/>
    <w:unhideWhenUsed/>
    <w:qFormat/>
    <w:rsid w:val="00263428"/>
    <w:pPr/>
    <w:rPr/>
  </w:style>
  <w:style w:type="paragraph" w:styleId="Heading8">
    <w:name w:val="heading 8"/>
    <w:basedOn w:val="Normal"/>
    <w:next w:val="Normal"/>
    <w:link w:val="Heading8Char"/>
    <w:uiPriority w:val="9"/>
    <w:unhideWhenUsed/>
    <w:qFormat/>
    <w:rsid w:val="00263428"/>
    <w:pPr/>
    <w:rPr/>
  </w:style>
  <w:style w:type="paragraph" w:styleId="Heading9">
    <w:name w:val="heading 9"/>
    <w:basedOn w:val="Normal"/>
    <w:next w:val="Normal"/>
    <w:link w:val="Heading9Char"/>
    <w:uiPriority w:val="9"/>
    <w:unhideWhenUsed/>
    <w:qFormat/>
    <w:rsid w:val="00263428"/>
    <w:pPr/>
    <w:rPr/>
  </w:style>
  <w:style w:type="character" w:customStyle="1" w:styleId="Heading2Char">
    <w:name w:val="Heading 2 Char"/>
    <w:basedOn w:val="DefaultParagraphFont"/>
    <w:link w:val="Heading2"/>
    <w:uiPriority w:val="9"/>
    <w:rsid w:val="00263428"/>
    <w:rPr/>
  </w:style>
  <w:style w:type="character" w:customStyle="1" w:styleId="Heading3Char">
    <w:name w:val="Heading 3 Char"/>
    <w:basedOn w:val="DefaultParagraphFont"/>
    <w:link w:val="Heading3"/>
    <w:uiPriority w:val="9"/>
    <w:rsid w:val="00263428"/>
    <w:rPr/>
  </w:style>
  <w:style w:type="character" w:customStyle="1" w:styleId="Heading4Char">
    <w:name w:val="Heading 4 Char"/>
    <w:basedOn w:val="DefaultParagraphFont"/>
    <w:link w:val="Heading4"/>
    <w:uiPriority w:val="9"/>
    <w:rsid w:val="00263428"/>
    <w:rPr/>
  </w:style>
  <w:style w:type="character" w:customStyle="1" w:styleId="Heading5Char">
    <w:name w:val="Heading 5 Char"/>
    <w:basedOn w:val="DefaultParagraphFont"/>
    <w:link w:val="Heading5"/>
    <w:uiPriority w:val="9"/>
    <w:rsid w:val="00263428"/>
    <w:rPr/>
  </w:style>
  <w:style w:type="character" w:customStyle="1" w:styleId="Heading6Char">
    <w:name w:val="Heading 6 Char"/>
    <w:basedOn w:val="DefaultParagraphFont"/>
    <w:link w:val="Heading6"/>
    <w:uiPriority w:val="9"/>
    <w:rsid w:val="00263428"/>
    <w:rPr/>
  </w:style>
  <w:style w:type="character" w:customStyle="1" w:styleId="Heading7Char">
    <w:name w:val="Heading 7 Char"/>
    <w:basedOn w:val="DefaultParagraphFont"/>
    <w:link w:val="Heading7"/>
    <w:uiPriority w:val="9"/>
    <w:rsid w:val="00263428"/>
    <w:rPr/>
  </w:style>
  <w:style w:type="character" w:customStyle="1" w:styleId="Heading8Char">
    <w:name w:val="Heading 8 Char"/>
    <w:basedOn w:val="DefaultParagraphFont"/>
    <w:link w:val="Heading8"/>
    <w:uiPriority w:val="9"/>
    <w:rsid w:val="00263428"/>
    <w:rPr/>
  </w:style>
  <w:style w:type="character" w:customStyle="1" w:styleId="Heading9Char">
    <w:name w:val="Heading 9 Char"/>
    <w:basedOn w:val="DefaultParagraphFont"/>
    <w:link w:val="Heading9"/>
    <w:uiPriority w:val="9"/>
    <w:rsid w:val="00263428"/>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Bullet">
    <w:name w:val="list bullet"/>
    <w:basedOn w:val="Normal"/>
    <w:uiPriority w:val="34"/>
    <w:unhideWhenUsed/>
    <w:qFormat/>
    <w:pPr>
      <w:contextualSpacing/>
    </w:pPr>
  </w:style>
  <w:style w:type="paragraph" w:styleId="ListBullet2">
    <w:name w:val="list bullet 2"/>
    <w:basedOn w:val="Normal"/>
    <w:uiPriority w:val="34"/>
    <w:unhideWhenUsed/>
    <w:qFormat/>
    <w:pPr>
      <w:contextualSpacing/>
    </w:pPr>
  </w:style>
  <w:style w:type="paragraph" w:styleId="ListBullet3">
    <w:name w:val="list bullet 3"/>
    <w:basedOn w:val="Normal"/>
    <w:uiPriority w:val="34"/>
    <w:unhideWhenUsed/>
    <w:qFormat/>
    <w:pPr>
      <w:contextualSpacing/>
    </w:pPr>
  </w:style>
  <w:style w:type="paragraph" w:styleId="ListBullet4">
    <w:name w:val="list bullet 4"/>
    <w:basedOn w:val="Normal"/>
    <w:uiPriority w:val="34"/>
    <w:unhideWhenUsed/>
    <w:qFormat/>
    <w:pPr>
      <w:contextualSpacing/>
    </w:pPr>
  </w:style>
  <w:style w:type="paragraph" w:styleId="ListBullet5">
    <w:name w:val="list bullet 5"/>
    <w:basedOn w:val="Normal"/>
    <w:uiPriority w:val="34"/>
    <w:unhideWhenUsed/>
    <w:qFormat/>
    <w:pPr>
      <w:contextualSpacing/>
    </w:pPr>
  </w:style>
  <w:style w:type="paragraph" w:styleId="ListBullet6">
    <w:name w:val="list bullet 6"/>
    <w:basedOn w:val="Normal"/>
    <w:uiPriority w:val="34"/>
    <w:unhideWhenUsed/>
    <w:qFormat/>
    <w:pPr>
      <w:contextualSpacing/>
    </w:pPr>
  </w:style>
  <w:style w:type="paragraph" w:styleId="ListBullet7">
    <w:name w:val="list bullet 7"/>
    <w:basedOn w:val="Normal"/>
    <w:uiPriority w:val="34"/>
    <w:unhideWhenUsed/>
    <w:qFormat/>
    <w:pPr>
      <w:contextualSpacing/>
    </w:pPr>
  </w:style>
  <w:style w:type="paragraph" w:styleId="ListBullet8">
    <w:name w:val="list bullet 8"/>
    <w:basedOn w:val="Normal"/>
    <w:uiPriority w:val="34"/>
    <w:unhideWhenUsed/>
    <w:qFormat/>
    <w:pPr>
      <w:contextualSpacing/>
    </w:pPr>
  </w:style>
  <w:style w:type="paragraph" w:styleId="ListBullet9">
    <w:name w:val="list bullet 9"/>
    <w:basedOn w:val="Normal"/>
    <w:uiPriority w:val="34"/>
    <w:unhideWhenUsed/>
    <w:qFormat/>
    <w:pPr>
      <w:contextualSpacing/>
    </w:pPr>
  </w:style>
</w:styles>
</file>

<file path=word/_rels/document.xml.rels>&#65279;<?xml version="1.0" encoding="utf-8"?><Relationships xmlns="http://schemas.openxmlformats.org/package/2006/relationships"><Relationship Type="http://schemas.openxmlformats.org/officeDocument/2006/relationships/styles" Target="/word/styles.xml" Id="R5fa2baba8104432e" /><Relationship Type="http://schemas.openxmlformats.org/officeDocument/2006/relationships/numbering" Target="/word/numbering.xml" Id="R410a7aa0f703477d" /><Relationship Type="http://schemas.openxmlformats.org/officeDocument/2006/relationships/settings" Target="/word/settings.xml" Id="Ra8df49a9023e4121" /></Relationships>
</file>