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120"/>
      </w:pPr>
      <w:r>
        <w:rPr>
          <w:rFonts w:ascii="Times New Roman" w:hAnsi="Times New Roman" w:eastAsia="Times New Roman" w:cs="Times New Roman"/>
          <w:sz w:val="26"/>
          <w:szCs w:val="26"/>
          <w:b w:val="1"/>
          <w:bCs w:val="1"/>
        </w:rPr>
        <w:t xml:space="preserve">CONTRARRAZÕES AO RECURSO ESPECIAL E AO RECURSO EXTRAORDINÁRIO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EXCELENTÍSSIMO SENHOR DOUTOR DESEMBARGADOR PRESIDENTE DO TRIBUNAL DE JUSTIÇA DO ESTADO DE SANTA CATARINA</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Processo nº:</w:t>
      </w:r>
      <w:r>
        <w:rPr>
          <w:rFonts w:ascii="Times New Roman" w:hAnsi="Times New Roman" w:eastAsia="Times New Roman" w:cs="Times New Roman"/>
          <w:sz w:val="24"/>
          <w:szCs w:val="24"/>
        </w:rPr>
        <w:t xml:space="preserve"> [número do processo]</w:t>
      </w:r>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Recorrente:</w:t>
      </w:r>
      <w:r>
        <w:rPr>
          <w:rFonts w:ascii="Times New Roman" w:hAnsi="Times New Roman" w:eastAsia="Times New Roman" w:cs="Times New Roman"/>
          <w:sz w:val="24"/>
          <w:szCs w:val="24"/>
        </w:rPr>
        <w:t xml:space="preserve"> [nome da parte recorrente]</w:t>
      </w:r>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Recorrido:</w:t>
      </w:r>
      <w:r>
        <w:rPr>
          <w:rFonts w:ascii="Times New Roman" w:hAnsi="Times New Roman" w:eastAsia="Times New Roman" w:cs="Times New Roman"/>
          <w:sz w:val="24"/>
          <w:szCs w:val="24"/>
        </w:rPr>
        <w:t xml:space="preserve"> [nome do cliente]</w:t>
      </w:r>
    </w:p>
    <w:p/>
    <w:p>
      <w:pPr>
        <w:jc w:val="center"/>
        <w:spacing w:before="240" w:after="120"/>
      </w:pPr>
      <w:r>
        <w:rPr>
          <w:rFonts w:ascii="Times New Roman" w:hAnsi="Times New Roman" w:eastAsia="Times New Roman" w:cs="Times New Roman"/>
          <w:sz w:val="26"/>
          <w:szCs w:val="26"/>
          <w:b w:val="1"/>
          <w:bCs w:val="1"/>
        </w:rPr>
        <w:t xml:space="preserve">---</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O </w:t>
      </w:r>
      <w:r>
        <w:rPr>
          <w:rFonts w:ascii="Times New Roman" w:hAnsi="Times New Roman" w:eastAsia="Times New Roman" w:cs="Times New Roman"/>
          <w:sz w:val="24"/>
          <w:szCs w:val="24"/>
          <w:b w:val="1"/>
          <w:bCs w:val="1"/>
        </w:rPr>
        <w:t xml:space="preserve">Recorrido</w:t>
      </w:r>
      <w:r>
        <w:rPr>
          <w:rFonts w:ascii="Times New Roman" w:hAnsi="Times New Roman" w:eastAsia="Times New Roman" w:cs="Times New Roman"/>
          <w:sz w:val="24"/>
          <w:szCs w:val="24"/>
        </w:rPr>
        <w:t xml:space="preserve">, já devidamente qualificado nos autos do processo em epígrafe, por intermédio de seu procurador signatário, vem, respeitosamente, à presença desse Douto Juízo, apresentar </w:t>
      </w:r>
      <w:r>
        <w:rPr>
          <w:rFonts w:ascii="Times New Roman" w:hAnsi="Times New Roman" w:eastAsia="Times New Roman" w:cs="Times New Roman"/>
          <w:sz w:val="24"/>
          <w:szCs w:val="24"/>
          <w:b w:val="1"/>
          <w:bCs w:val="1"/>
        </w:rPr>
        <w:t xml:space="preserve">CONTRARRAZÕES AO RECURSO ESPECIAL</w:t>
      </w:r>
      <w:r>
        <w:rPr>
          <w:rFonts w:ascii="Times New Roman" w:hAnsi="Times New Roman" w:eastAsia="Times New Roman" w:cs="Times New Roman"/>
          <w:sz w:val="24"/>
          <w:szCs w:val="24"/>
        </w:rPr>
        <w:t xml:space="preserve"> e </w:t>
      </w:r>
      <w:r>
        <w:rPr>
          <w:rFonts w:ascii="Times New Roman" w:hAnsi="Times New Roman" w:eastAsia="Times New Roman" w:cs="Times New Roman"/>
          <w:sz w:val="24"/>
          <w:szCs w:val="24"/>
          <w:b w:val="1"/>
          <w:bCs w:val="1"/>
        </w:rPr>
        <w:t xml:space="preserve">CONTRARRAZÕES AO RECURSO EXTRAORDINÁRIO</w:t>
      </w:r>
      <w:r>
        <w:rPr>
          <w:rFonts w:ascii="Times New Roman" w:hAnsi="Times New Roman" w:eastAsia="Times New Roman" w:cs="Times New Roman"/>
          <w:sz w:val="24"/>
          <w:szCs w:val="24"/>
        </w:rPr>
        <w:t xml:space="preserve"> interpostos pela parte recorrente, pelos fundamentos de fato e de direito a seguir expostos.</w:t>
      </w:r>
    </w:p>
    <w:p/>
    <w:p>
      <w:pPr>
        <w:jc w:val="center"/>
        <w:spacing w:before="240" w:after="120"/>
      </w:pPr>
      <w:r>
        <w:rPr>
          <w:rFonts w:ascii="Times New Roman" w:hAnsi="Times New Roman" w:eastAsia="Times New Roman" w:cs="Times New Roman"/>
          <w:sz w:val="26"/>
          <w:szCs w:val="26"/>
          <w:b w:val="1"/>
          <w:bCs w:val="1"/>
        </w:rPr>
        <w:t xml:space="preserve">---</w:t>
      </w:r>
    </w:p>
    <w:p/>
    <w:p>
      <w:pPr>
        <w:jc w:val="center"/>
        <w:spacing w:before="240" w:after="120"/>
      </w:pPr>
      <w:r>
        <w:rPr>
          <w:rFonts w:ascii="Times New Roman" w:hAnsi="Times New Roman" w:eastAsia="Times New Roman" w:cs="Times New Roman"/>
          <w:sz w:val="26"/>
          <w:szCs w:val="26"/>
          <w:b w:val="1"/>
          <w:bCs w:val="1"/>
        </w:rPr>
        <w:t xml:space="preserve">I – DA SÍNTESE PROCESSUAL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parte recorrente, inconformada com o v. acórdão proferido por esse Egrégio Tribunal de Justiça, interpôs simultaneamente Recurso Especial, com fundamento no artigo 105, inciso III, da Constituição Federal, e Recurso Extraordinário, com base no artigo 102, inciso III, alínea "a", da Carta Magna.</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O acórdão recorrido, prolatado em julgamento de apelação cível, manteve integralmente a sentença de primeiro grau, que julgou [resumir brevemente o resultado favorável ao recorrido]. A decisão encontra-se fundamentada em sólida análise probatória, em estrita observância aos dispositivos legais aplicáveis à espécie e em consonância com o entendimento consolidado dos Tribunais Superiores.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parte recorrente, todavia, insiste em rediscutir matéria fático-probatória já exaurida nas instâncias ordinárias, utilizando-se dos recursos excepcionais como verdadeira terceira instância revisora, finalidade incompatível com a natureza dos apelos extremos.</w:t>
      </w:r>
    </w:p>
    <w:p/>
    <w:p>
      <w:pPr>
        <w:jc w:val="center"/>
        <w:spacing w:before="240" w:after="120"/>
      </w:pPr>
      <w:r>
        <w:rPr>
          <w:rFonts w:ascii="Times New Roman" w:hAnsi="Times New Roman" w:eastAsia="Times New Roman" w:cs="Times New Roman"/>
          <w:sz w:val="26"/>
          <w:szCs w:val="26"/>
          <w:b w:val="1"/>
          <w:bCs w:val="1"/>
        </w:rPr>
        <w:t xml:space="preserve">---</w:t>
      </w:r>
    </w:p>
    <w:p/>
    <w:p>
      <w:pPr>
        <w:jc w:val="center"/>
        <w:spacing w:before="240" w:after="120"/>
      </w:pPr>
      <w:r>
        <w:rPr>
          <w:rFonts w:ascii="Times New Roman" w:hAnsi="Times New Roman" w:eastAsia="Times New Roman" w:cs="Times New Roman"/>
          <w:sz w:val="26"/>
          <w:szCs w:val="26"/>
          <w:b w:val="1"/>
          <w:bCs w:val="1"/>
        </w:rPr>
        <w:t xml:space="preserve">II – DAS CONTRARRAZÕES AO RECURSO ESPECIAL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II.1 – DA AUSÊNCIA DE PREQUESTIONAMENTO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O Recurso Especial interposto pela parte recorrente não merece conhecimento, porquanto ausente o requisito constitucional do prequestionamento, pressuposto inafastável para a admissibilidade do apelo excepcional.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jurisprudência do Superior Tribunal de Justiça consolidou-se no sentido de que o prequestionamento exige o debate específico e fundamentado da matéria infraconstitucional no acórdão recorrido, não bastando a simples interposição de embargos de declaração ou a menção genérica aos dispositivos legais invocados.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No caso vertente, a parte recorrente alega violação aos artigos [indicar artigos mencionados no REsp], todavia, o v. acórdão não examinou especificamente tais dispositivos sob a ótica pretendida pelo recorrente. A decisão de segundo grau enfrentou a controvérsia sob perspectiva diversa, não havendo debate sobre os exatos contornos jurídicos ora invocados como violados.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Ainda que a parte recorrente tenha oposto embargos declaratórios, estes foram corretamente rejeitados pelo órgão julgador, que consignou a inexistência de omissão, contradição ou obscuridade no julgado. Os embargos, quando manejados exclusivamente com intuito de prequestionamento, não suprem a ausência de debate substancial da matéria no acórdão embargado.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Conforme entendimento pacificado do Superior Tribunal de Justiça, </w:t>
      </w:r>
      <w:r>
        <w:rPr>
          <w:rFonts w:ascii="Times New Roman" w:hAnsi="Times New Roman" w:eastAsia="Times New Roman" w:cs="Times New Roman"/>
          <w:sz w:val="24"/>
          <w:szCs w:val="24"/>
          <w:b w:val="1"/>
          <w:bCs w:val="1"/>
        </w:rPr>
        <w:t xml:space="preserve">o prequestionamento exige a efetiva análise da questão jurídica pelo tribunal de origem</w:t>
      </w:r>
      <w:r>
        <w:rPr>
          <w:rFonts w:ascii="Times New Roman" w:hAnsi="Times New Roman" w:eastAsia="Times New Roman" w:cs="Times New Roman"/>
          <w:sz w:val="24"/>
          <w:szCs w:val="24"/>
        </w:rPr>
        <w:t xml:space="preserve">, não se satisfazendo com a mera citação de dispositivos legais pela parte nas razões recursais ou em embargos protelatórios.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Ausente o requisito do prequestionamento, impõe-se o não conhecimento do Recurso Especial por manifesta deficiência formal.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II.2 – DA PRETENSÃO DE REEXAME FÁTICO-PROBATÓRIO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Subsidiariamente, e admitindo-se por mero exercício argumentativo a superação da preliminar anterior, verifica-se que a insurgência especial esbarra no óbice da Súmula 7 do Superior Tribunal de Justiça, que veda o reexame de matéria fático-probatória em sede de recurso especial.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parte recorrente, a pretexto de alegar violação a dispositivos legais de direito material, pretende, em verdade, rediscutir o conjunto probatório valorado pelas instâncias ordinárias. O acórdão recorrido examinou detidamente os elementos de prova colacionados aos autos, extraindo conclusões fundamentadas sobre [indicar aspectos fáticos relevantes], em estrita observância ao princípio do livre convencimento motivado previsto no artigo 371 do Código de Processo Civil.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pretensão de desconstituir tais conclusões demandaria inevitável revolvimento do acervo probatório, o que extrapola os limites de cognição do Recurso Especial. A função do Superior Tribunal de Justiça, no exercício de sua competência constitucional, restringe-se ao controle da correta aplicação do direito federal infraconstitucional, não à revisão de fatos e provas examinados pelos tribunais estaduais.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Nesse contexto, o acolhimento do recurso excepcional implicaria indevida transformação do Superior Tribunal de Justiça em terceira instância revisora, desfigurando a própria razão de existir dos recursos excepcionais no sistema processual brasileiro.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II.3 – DO ACERTO DA DECISÃO RECORRIDA QUANTO AO DIREITO MATERIAL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No mérito, o v. acórdão recorrido aplicou corretamente os dispositivos legais pertinentes à hipótese dos autos, harmonizando-os com os princípios informadores do [área do direito aplicável].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decisão de segundo grau reconheceu que [fundamentar brevemente os principais argumentos jurídicos acolhidos pelo TJSC], em consonância com o entendimento consolidado dos Tribunais Superiores sobre a matéria.</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parte recorrente, em suas razões especiais, não logra demonstrar qualquer equívoco na interpretação conferida pelo acórdão aos dispositivos legais supostamente violados. A insurgência limita-se a apresentar tese jurídica diversa, fundada em leitura particularizada dos fatos, sem, contudo, evidenciar descompasso entre a decisão e a legislação de regência.</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O artigo [indicar dispositivo central da controvérsia] deve ser interpretado em consonância com os princípios [mencionar princípios aplicáveis], tal como procedeu o julgado recorrido. A hermenêutica proposta pela parte recorrente, ao contrário, conduziria a resultado juridicamente insustentável, divorciado da finalidade protetiva inerente ao sistema normativo aplicável.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Ademais, a jurisprudência do próprio Superior Tribunal de Justiça converge no sentido da solução adotada pelo v. acórdão, de modo que eventual conhecimento e provimento do Recurso Especial representaria ruptura com o entendimento consolidado da Corte Superior, gerando insegurança jurídica e tratamento desigual entre jurisdicionados em situações idênticas.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II.4 – DA FUNDAMENTAÇÃO SUFICIENTE DO ACÓRDÃO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parte recorrente sustenta, ainda, alegada violação ao artigo 93, inciso IX, da Constituição Federal e ao artigo 489, § 1º, do Código de Processo Civil, sob o fundamento de que o acórdão recorrido seria deficientemente fundamentado.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Tal alegação não prospera. O v. acórdão apresenta fundamentação completa, examinando todos os pontos controvertidos relevantes para o deslinde da controvérsia. O órgão julgador explicitou as razões de fato e de direito que conduziram à manutenção da sentença, demonstrando a correlação lógica entre as provas carreadas aos autos, os dispositivos legais aplicáveis e a conclusão alcançada.</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O fato de a decisão não ter acolhido integralmente as teses defendidas pela parte recorrente não configura ausência ou deficiência de fundamentação. O magistrado não está obrigado a rebater individualmente todos os argumentos apresentados pelas partes, mas sim a expor as razões jurídicas que sustentam o provimento jurisdicional, o que foi plenamente cumprido no caso concreto.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Conforme entendimento pacificado dos Tribunais Superiores, </w:t>
      </w:r>
      <w:r>
        <w:rPr>
          <w:rFonts w:ascii="Times New Roman" w:hAnsi="Times New Roman" w:eastAsia="Times New Roman" w:cs="Times New Roman"/>
          <w:sz w:val="24"/>
          <w:szCs w:val="24"/>
          <w:b w:val="1"/>
          <w:bCs w:val="1"/>
        </w:rPr>
        <w:t xml:space="preserve">a fundamentação judicial satisfaz as exigências constitucionais e legais quando o julgador expõe as razões jurídicas determinantes da decisão</w:t>
      </w:r>
      <w:r>
        <w:rPr>
          <w:rFonts w:ascii="Times New Roman" w:hAnsi="Times New Roman" w:eastAsia="Times New Roman" w:cs="Times New Roman"/>
          <w:sz w:val="24"/>
          <w:szCs w:val="24"/>
        </w:rPr>
        <w:t xml:space="preserve">, ainda que de forma sintética, desde que suficientes para permitir a compreensão da ratio decidendi.</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No presente caso, o acórdão não apenas atende a esse standard mínimo, como apresenta fundamentação robusta e detalhada, afastando por completo a alegação de vício formal aventada pela parte recorrente.</w:t>
      </w:r>
    </w:p>
    <w:p/>
    <w:p>
      <w:pPr>
        <w:jc w:val="center"/>
        <w:spacing w:before="240" w:after="120"/>
      </w:pPr>
      <w:r>
        <w:rPr>
          <w:rFonts w:ascii="Times New Roman" w:hAnsi="Times New Roman" w:eastAsia="Times New Roman" w:cs="Times New Roman"/>
          <w:sz w:val="26"/>
          <w:szCs w:val="26"/>
          <w:b w:val="1"/>
          <w:bCs w:val="1"/>
        </w:rPr>
        <w:t xml:space="preserve">---</w:t>
      </w:r>
    </w:p>
    <w:p/>
    <w:p>
      <w:pPr>
        <w:jc w:val="center"/>
        <w:spacing w:before="240" w:after="120"/>
      </w:pPr>
      <w:r>
        <w:rPr>
          <w:rFonts w:ascii="Times New Roman" w:hAnsi="Times New Roman" w:eastAsia="Times New Roman" w:cs="Times New Roman"/>
          <w:sz w:val="26"/>
          <w:szCs w:val="26"/>
          <w:b w:val="1"/>
          <w:bCs w:val="1"/>
        </w:rPr>
        <w:t xml:space="preserve">III – DAS CONTRARRAZÕES AO RECURSO EXTRAORDINÁRIO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III.1 – DA AUSÊNCIA DE REPERCUSSÃO GERAL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O Recurso Extraordinário interposto pela parte recorrente não apresenta repercussão geral apta a justificar sua admissibilidade, requisito de natureza constitucional instituído pela Emenda Constitucional nº 45/2004 e regulamentado pelo artigo 1.035 do Código de Processo Civil.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controvérsia suscitada nos presentes autos possui caráter eminentemente individual, restringindo-se à análise de situação fática particular, sem transcendência jurídica, política, social ou econômica que ultrapasse os interesses subjetivos das partes litigantes.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parte recorrente não demonstrou, em suas razões recursais, a existência de questão constitucional relevante do ponto de vista econômico, político, social ou jurídico que extrapole os limites subjetivos da causa. A matéria debatida já se encontra pacificada na jurisprudência do Supremo Tribunal Federal, não havendo necessidade de pronunciamento da Excelsa Corte para uniformização de entendimento ou preservação do sistema constitucional.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Ausente a repercussão geral, impõe-se o não conhecimento do Recurso Extraordinário, nos termos do artigo 1.035, § 8º, do Código de Processo Civil.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III.2 – DA AUSÊNCIA DE PREQUESTIONAMENTO DA MATÉRIA CONSTITUCIONAL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Subsidiariamente, verifica-se que o Recurso Extraordinário carece de requisito essencial de admissibilidade, qual seja, o prequestionamento da matéria constitucional invocada.</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O Supremo Tribunal Federal consolidou orientação no sentido de que o prequestionamento exige a análise expressa, pelo acórdão recorrido, dos dispositivos constitucionais tidos por violados, não bastando a simples interposição de embargos de declaração pela parte recorrente.</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No caso vertente, o v. acórdão proferido por esse Egrégio Tribunal de Justiça não enfrentou especificamente os dispositivos constitucionais ora invocados como violados. A decisão foi proferida com fundamento em legislação infraconstitucional e na análise do conjunto probatório, sem que houvesse necessidade de incursão direta nas normas constitucionais mencionadas pela parte recorrente.</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Ainda que se considere que determinadas matérias possuem índole constitucional, a ausência de debate específico sobre os dispositivos da Constituição Federal nas instâncias ordinárias impede o conhecimento do apelo extremo, sob pena de indevida supressão de instância.</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III.3 – DA IMPOSSIBILIDADE DE REVOLVIMENTO FÁTICO-PROBATÓRIO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insurgência extraordinária, a exemplo do que ocorre com o Recurso Especial, esbarra no óbice do revolvimento de matéria fático-probatória, incompatível com a natureza e finalidade do Recurso Extraordinário.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O Supremo Tribunal Federal firmou entendimento no sentido de que </w:t>
      </w:r>
      <w:r>
        <w:rPr>
          <w:rFonts w:ascii="Times New Roman" w:hAnsi="Times New Roman" w:eastAsia="Times New Roman" w:cs="Times New Roman"/>
          <w:sz w:val="24"/>
          <w:szCs w:val="24"/>
          <w:b w:val="1"/>
          <w:bCs w:val="1"/>
        </w:rPr>
        <w:t xml:space="preserve">não cabe ao apelo extremo a reanálise de fatos e provas</w:t>
      </w:r>
      <w:r>
        <w:rPr>
          <w:rFonts w:ascii="Times New Roman" w:hAnsi="Times New Roman" w:eastAsia="Times New Roman" w:cs="Times New Roman"/>
          <w:sz w:val="24"/>
          <w:szCs w:val="24"/>
        </w:rPr>
        <w:t xml:space="preserve">, função privativa das instâncias ordinárias. A Súmula 279 do Supremo Tribunal Federal é expressa ao vedar a admissibilidade do Recurso Extraordinário quando a decisão recorrida está fundamentada em interpretação razoável do conjunto probatório.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parte recorrente pretende, sob o argumento de violação a preceitos constitucionais, obter nova valoração das provas produzidas nos autos, finalidade incompatível com a via eleita. O acórdão recorrido examinou detidamente o acervo probatório, extraindo conclusões fundamentadas que se harmonizam com a legislação de regência, não havendo margem para revisão em sede de Recurso Extraordinário.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III.4 – DO ACERTO DA DECISÃO QUANTO À INTERPRETAÇÃO CONSTITUCIONAL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No mérito, o v. acórdão recorrido interpretou corretamente os princípios constitucionais aplicáveis à espécie, em perfeita consonância com a jurisprudência do Supremo Tribunal Federal.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decisão de segundo grau ponderou adequadamente os valores constitucionais em conflito, aplicando o método da proporcionalidade para alcançar solução harmônica que preserva o núcleo essencial de todos os direitos fundamentais envolvidos.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Ao [descrever sucintamente a ratio decidendi constitucional do acórdão], o julgado recorrido observou rigorosamente os postulados da razoabilidade e da proporcionalidade, bem como os princípios [mencionar princípios constitucionais aplicáveis], todos de estatura constitucional.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tese defendida pela parte recorrente, ao contrário, conduziria a interpretação restritiva de direitos fundamentais, incompatível com a hermenêutica constitucional contemporânea e com o sistema de proteção consagrado pela Constituição Federal de 1988.</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Ademais, a jurisprudência do Supremo Tribunal Federal converge no sentido da solução adotada pelo v. acórdão, conforme se verifica do entendimento consolidado da Corte Suprema sobre a matéria. Eventual provimento do Recurso Extraordinário representaria ruptura com precedentes firmados em controle concentrado de constitucionalidade, gerando grave insegurança jurídica.</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III.5 – DA INEXISTÊNCIA DE VIOLAÇÃO AO DEVIDO PROCESSO LEGAL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parte recorrente alega, ainda, violação ao artigo 5º, incisos LIV e LV, da Constituição Federal, sob o fundamento de que teria sido cerceado seu direito ao devido processo legal, ao contraditório e à ampla defesa.</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Tal alegação não encontra respaldo nos autos. O processo tramitou regularmente em todas as suas fases, tendo a parte recorrente exercido amplamente seu direito de defesa, produzindo as provas que entendeu pertinentes e apresentando suas razões perante os órgãos jurisdicionais.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O fato de o órgão julgador não ter acolhido integralmente as provas produzidas pela parte recorrente, ou de ter valorado o conjunto probatório de forma diversa da pretendida, não configura violação às garantias constitucionais do devido processo legal. O livre convencimento motivado do magistrado, corolário da independência judicial, permite a valoração das provas segundo critérios de razoabilidade, desde que fundamentadamente, o que foi rigorosamente observado no caso concreto.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O contraditório e a ampla defesa foram plenamente assegurados à parte recorrente em todas as fases processuais, tendo sido oportunizada a manifestação sobre todos os elementos relevantes para o julgamento da causa. A discordância quanto ao resultado do julgamento não se confunde com cerceamento de defesa.</w:t>
      </w:r>
    </w:p>
    <w:p/>
    <w:p>
      <w:pPr>
        <w:jc w:val="center"/>
        <w:spacing w:before="240" w:after="120"/>
      </w:pPr>
      <w:r>
        <w:rPr>
          <w:rFonts w:ascii="Times New Roman" w:hAnsi="Times New Roman" w:eastAsia="Times New Roman" w:cs="Times New Roman"/>
          <w:sz w:val="26"/>
          <w:szCs w:val="26"/>
          <w:b w:val="1"/>
          <w:bCs w:val="1"/>
        </w:rPr>
        <w:t xml:space="preserve">---</w:t>
      </w:r>
    </w:p>
    <w:p/>
    <w:p>
      <w:pPr>
        <w:jc w:val="center"/>
        <w:spacing w:before="240" w:after="120"/>
      </w:pPr>
      <w:r>
        <w:rPr>
          <w:rFonts w:ascii="Times New Roman" w:hAnsi="Times New Roman" w:eastAsia="Times New Roman" w:cs="Times New Roman"/>
          <w:sz w:val="26"/>
          <w:szCs w:val="26"/>
          <w:b w:val="1"/>
          <w:bCs w:val="1"/>
        </w:rPr>
        <w:t xml:space="preserve">IV – DO RECURSO COMO INSTRUMENTO PROTELATÓRIO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Registre-se, por oportuno, que a interposição simultânea de Recurso Especial e Recurso Extraordinário, versando sobre matérias que não preenchem os requisitos de admissibilidade dos apelos excepcionais, caracteriza evidente intuito protelatório, em desrespeito ao princípio da duração razoável do processo, consagrado pelo artigo 5º, inciso LXXVIII, da Constituição Federal.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 parte recorrente vale-se dos recursos excepcionais como expediente procrastinatório, buscando adiar o trânsito em julgado de decisão que lhe foi desfavorável, sem apresentar fundamentos jurídicos consistentes que justifiquem o prosseguimento da discussão nas instâncias superiores.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Tal conduta afigura-se incompatível com o princípio da boa-fé processual, previsto no artigo 5º do Código de Processo Civil, e sujeita a parte recorrente às sanções processuais cabíveis, inclusive ao pagamento de multa por litigância de má-fé, nos termos dos artigos 80 e 81 do mesmo diploma legal.</w:t>
      </w:r>
    </w:p>
    <w:p/>
    <w:p>
      <w:pPr>
        <w:jc w:val="center"/>
        <w:spacing w:before="240" w:after="120"/>
      </w:pPr>
      <w:r>
        <w:rPr>
          <w:rFonts w:ascii="Times New Roman" w:hAnsi="Times New Roman" w:eastAsia="Times New Roman" w:cs="Times New Roman"/>
          <w:sz w:val="26"/>
          <w:szCs w:val="26"/>
          <w:b w:val="1"/>
          <w:bCs w:val="1"/>
        </w:rPr>
        <w:t xml:space="preserve">---</w:t>
      </w:r>
    </w:p>
    <w:p/>
    <w:p>
      <w:pPr>
        <w:jc w:val="center"/>
        <w:spacing w:before="240" w:after="120"/>
      </w:pPr>
      <w:r>
        <w:rPr>
          <w:rFonts w:ascii="Times New Roman" w:hAnsi="Times New Roman" w:eastAsia="Times New Roman" w:cs="Times New Roman"/>
          <w:sz w:val="26"/>
          <w:szCs w:val="26"/>
          <w:b w:val="1"/>
          <w:bCs w:val="1"/>
        </w:rPr>
        <w:t xml:space="preserve">V – DOS PEDIDOS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Ante o exposto, o Recorrido requer a esse Douto Juízo: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a)</w:t>
      </w:r>
      <w:r>
        <w:rPr>
          <w:rFonts w:ascii="Times New Roman" w:hAnsi="Times New Roman" w:eastAsia="Times New Roman" w:cs="Times New Roman"/>
          <w:sz w:val="24"/>
          <w:szCs w:val="24"/>
        </w:rPr>
        <w:t xml:space="preserve"> o </w:t>
      </w:r>
      <w:r>
        <w:rPr>
          <w:rFonts w:ascii="Times New Roman" w:hAnsi="Times New Roman" w:eastAsia="Times New Roman" w:cs="Times New Roman"/>
          <w:sz w:val="24"/>
          <w:szCs w:val="24"/>
          <w:b w:val="1"/>
          <w:bCs w:val="1"/>
        </w:rPr>
        <w:t xml:space="preserve">não conhecimento do Recurso Especial</w:t>
      </w:r>
      <w:r>
        <w:rPr>
          <w:rFonts w:ascii="Times New Roman" w:hAnsi="Times New Roman" w:eastAsia="Times New Roman" w:cs="Times New Roman"/>
          <w:sz w:val="24"/>
          <w:szCs w:val="24"/>
        </w:rPr>
        <w:t xml:space="preserve">, ante a ausência de prequestionamento da matéria infraconstitucional e a incidência do óbice da Súmula 7 do Superior Tribunal de Justiça;</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b)</w:t>
      </w:r>
      <w:r>
        <w:rPr>
          <w:rFonts w:ascii="Times New Roman" w:hAnsi="Times New Roman" w:eastAsia="Times New Roman" w:cs="Times New Roman"/>
          <w:sz w:val="24"/>
          <w:szCs w:val="24"/>
        </w:rPr>
        <w:t xml:space="preserve"> o </w:t>
      </w:r>
      <w:r>
        <w:rPr>
          <w:rFonts w:ascii="Times New Roman" w:hAnsi="Times New Roman" w:eastAsia="Times New Roman" w:cs="Times New Roman"/>
          <w:sz w:val="24"/>
          <w:szCs w:val="24"/>
          <w:b w:val="1"/>
          <w:bCs w:val="1"/>
        </w:rPr>
        <w:t xml:space="preserve">não conhecimento do Recurso Extraordinário</w:t>
      </w:r>
      <w:r>
        <w:rPr>
          <w:rFonts w:ascii="Times New Roman" w:hAnsi="Times New Roman" w:eastAsia="Times New Roman" w:cs="Times New Roman"/>
          <w:sz w:val="24"/>
          <w:szCs w:val="24"/>
        </w:rPr>
        <w:t xml:space="preserve">, ante a ausência de repercussão geral, de prequestionamento da matéria constitucional e da impossibilidade de revolvimento fático-probatório;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c)</w:t>
      </w:r>
      <w:r>
        <w:rPr>
          <w:rFonts w:ascii="Times New Roman" w:hAnsi="Times New Roman" w:eastAsia="Times New Roman" w:cs="Times New Roman"/>
          <w:sz w:val="24"/>
          <w:szCs w:val="24"/>
        </w:rPr>
        <w:t xml:space="preserve"> subsidiariamente, caso superadas as preliminares de não conhecimento, o </w:t>
      </w:r>
      <w:r>
        <w:rPr>
          <w:rFonts w:ascii="Times New Roman" w:hAnsi="Times New Roman" w:eastAsia="Times New Roman" w:cs="Times New Roman"/>
          <w:sz w:val="24"/>
          <w:szCs w:val="24"/>
          <w:b w:val="1"/>
          <w:bCs w:val="1"/>
        </w:rPr>
        <w:t xml:space="preserve">improvimento de ambos os recursos excepcionais</w:t>
      </w:r>
      <w:r>
        <w:rPr>
          <w:rFonts w:ascii="Times New Roman" w:hAnsi="Times New Roman" w:eastAsia="Times New Roman" w:cs="Times New Roman"/>
          <w:sz w:val="24"/>
          <w:szCs w:val="24"/>
        </w:rPr>
        <w:t xml:space="preserve">, mantendo-se integralmente o v. acórdão recorrido;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d)</w:t>
      </w:r>
      <w:r>
        <w:rPr>
          <w:rFonts w:ascii="Times New Roman" w:hAnsi="Times New Roman" w:eastAsia="Times New Roman" w:cs="Times New Roman"/>
          <w:sz w:val="24"/>
          <w:szCs w:val="24"/>
        </w:rPr>
        <w:t xml:space="preserve"> a </w:t>
      </w:r>
      <w:r>
        <w:rPr>
          <w:rFonts w:ascii="Times New Roman" w:hAnsi="Times New Roman" w:eastAsia="Times New Roman" w:cs="Times New Roman"/>
          <w:sz w:val="24"/>
          <w:szCs w:val="24"/>
          <w:b w:val="1"/>
          <w:bCs w:val="1"/>
        </w:rPr>
        <w:t xml:space="preserve">condenação da parte recorrente</w:t>
      </w:r>
      <w:r>
        <w:rPr>
          <w:rFonts w:ascii="Times New Roman" w:hAnsi="Times New Roman" w:eastAsia="Times New Roman" w:cs="Times New Roman"/>
          <w:sz w:val="24"/>
          <w:szCs w:val="24"/>
        </w:rPr>
        <w:t xml:space="preserve"> ao pagamento de honorários advocatícios sucumbenciais pela interposição dos recursos excepcionais manifestamente protelatórios, nos termos do artigo 85, §§ 1º e 11, do Código de Processo Civil;</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e)</w:t>
      </w:r>
      <w:r>
        <w:rPr>
          <w:rFonts w:ascii="Times New Roman" w:hAnsi="Times New Roman" w:eastAsia="Times New Roman" w:cs="Times New Roman"/>
          <w:sz w:val="24"/>
          <w:szCs w:val="24"/>
        </w:rPr>
        <w:t xml:space="preserve"> a </w:t>
      </w:r>
      <w:r>
        <w:rPr>
          <w:rFonts w:ascii="Times New Roman" w:hAnsi="Times New Roman" w:eastAsia="Times New Roman" w:cs="Times New Roman"/>
          <w:sz w:val="24"/>
          <w:szCs w:val="24"/>
          <w:b w:val="1"/>
          <w:bCs w:val="1"/>
        </w:rPr>
        <w:t xml:space="preserve">condenação da parte recorrente</w:t>
      </w:r>
      <w:r>
        <w:rPr>
          <w:rFonts w:ascii="Times New Roman" w:hAnsi="Times New Roman" w:eastAsia="Times New Roman" w:cs="Times New Roman"/>
          <w:sz w:val="24"/>
          <w:szCs w:val="24"/>
        </w:rPr>
        <w:t xml:space="preserve"> ao pagamento de multa por litigância de má-fé, nos termos dos artigos 80 e 81 do Código de Processo Civil, por utilizar-se dos recursos excepcionais como instrumento procrastinatório;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f)</w:t>
      </w:r>
      <w:r>
        <w:rPr>
          <w:rFonts w:ascii="Times New Roman" w:hAnsi="Times New Roman" w:eastAsia="Times New Roman" w:cs="Times New Roman"/>
          <w:sz w:val="24"/>
          <w:szCs w:val="24"/>
        </w:rPr>
        <w:t xml:space="preserve"> caso esse Douto Juízo entenda necessário, a intimação do Recorrido para complementação das presentes contrarrazões após a formação do juízo de admissibilidade dos recursos excepcionais.</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Termos em que,</w:t>
      </w:r>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Pede deferimento.</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[Cidade/SC], [data].</w:t>
      </w:r>
    </w:p>
    <w:p/>
    <w:p>
      <w:pPr>
        <w:jc w:val="center"/>
        <w:spacing w:before="240" w:after="120"/>
      </w:pPr>
      <w:r>
        <w:rPr>
          <w:rFonts w:ascii="Times New Roman" w:hAnsi="Times New Roman" w:eastAsia="Times New Roman" w:cs="Times New Roman"/>
          <w:sz w:val="26"/>
          <w:szCs w:val="26"/>
          <w:b w:val="1"/>
          <w:bCs w:val="1"/>
        </w:rPr>
        <w:t xml:space="preserve">---</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[REVISÃO OBRIGATÓRIA: Este conteúdo foi gerado por IA e deve ser integralmente revisado pelo advogado responsável antes de qualquer utilização — Normativo AD003]</w:t>
      </w:r>
      <w:r>
        <w:rPr>
          <w:rFonts w:ascii="Times New Roman" w:hAnsi="Times New Roman" w:eastAsia="Times New Roman" w:cs="Times New Roman"/>
          <w:sz w:val="24"/>
          <w:szCs w:val="24"/>
        </w:rPr>
        <w:t xml:space="preserve"/>
      </w:r>
    </w:p>
    <w:p/>
    <w:p>
      <w:pPr>
        <w:jc w:val="center"/>
        <w:spacing w:before="240" w:after="120"/>
      </w:pPr>
      <w:r>
        <w:rPr>
          <w:rFonts w:ascii="Times New Roman" w:hAnsi="Times New Roman" w:eastAsia="Times New Roman" w:cs="Times New Roman"/>
          <w:sz w:val="26"/>
          <w:szCs w:val="26"/>
          <w:b w:val="1"/>
          <w:bCs w:val="1"/>
        </w:rPr>
        <w:t xml:space="preserve">---</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ESTIMATIVA DE HORAS TÉCNICAS (Referência CO001)</w:t>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Discriminação por blocos de trabalho:</w:t>
      </w:r>
      <w:r>
        <w:rPr>
          <w:rFonts w:ascii="Times New Roman" w:hAnsi="Times New Roman" w:eastAsia="Times New Roman" w:cs="Times New Roman"/>
          <w:sz w:val="24"/>
          <w:szCs w:val="24"/>
        </w:rPr>
        <w:t xml:space="preserve"/>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Análise completa do acórdão recorrido, razões de REsp e RE, peças anteriores: </w:t>
      </w:r>
      <w:r>
        <w:rPr>
          <w:rFonts w:ascii="Times New Roman" w:hAnsi="Times New Roman" w:eastAsia="Times New Roman" w:cs="Times New Roman"/>
          <w:sz w:val="24"/>
          <w:szCs w:val="24"/>
          <w:b w:val="1"/>
          <w:bCs w:val="1"/>
        </w:rPr>
        <w:t xml:space="preserve">2,5 a 3,5 horas</w:t>
      </w:r>
      <w:r>
        <w:rPr>
          <w:rFonts w:ascii="Times New Roman" w:hAnsi="Times New Roman" w:eastAsia="Times New Roman" w:cs="Times New Roman"/>
          <w:sz w:val="24"/>
          <w:szCs w:val="24"/>
        </w:rPr>
        <w:t xml:space="preserve"/>
      </w:r>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Estruturação das teses de inadmissibilidade (prequestionamento, repercussão geral, Súmula 7/279): </w:t>
      </w:r>
      <w:r>
        <w:rPr>
          <w:rFonts w:ascii="Times New Roman" w:hAnsi="Times New Roman" w:eastAsia="Times New Roman" w:cs="Times New Roman"/>
          <w:sz w:val="24"/>
          <w:szCs w:val="24"/>
          <w:b w:val="1"/>
          <w:bCs w:val="1"/>
        </w:rPr>
        <w:t xml:space="preserve">1,5 a 2 horas</w:t>
      </w:r>
      <w:r>
        <w:rPr>
          <w:rFonts w:ascii="Times New Roman" w:hAnsi="Times New Roman" w:eastAsia="Times New Roman" w:cs="Times New Roman"/>
          <w:sz w:val="24"/>
          <w:szCs w:val="24"/>
        </w:rPr>
        <w:t xml:space="preserve"/>
      </w:r>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Redação das contrarrazões com fundamentação doutrinária e jurisprudencial: </w:t>
      </w:r>
      <w:r>
        <w:rPr>
          <w:rFonts w:ascii="Times New Roman" w:hAnsi="Times New Roman" w:eastAsia="Times New Roman" w:cs="Times New Roman"/>
          <w:sz w:val="24"/>
          <w:szCs w:val="24"/>
          <w:b w:val="1"/>
          <w:bCs w:val="1"/>
        </w:rPr>
        <w:t xml:space="preserve">2,5 a 3 horas</w:t>
      </w:r>
      <w:r>
        <w:rPr>
          <w:rFonts w:ascii="Times New Roman" w:hAnsi="Times New Roman" w:eastAsia="Times New Roman" w:cs="Times New Roman"/>
          <w:sz w:val="24"/>
          <w:szCs w:val="24"/>
        </w:rPr>
        <w:t xml:space="preserve"/>
      </w:r>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Revisão técnica, adequação formal, ajustes de protocolo: </w:t>
      </w:r>
      <w:r>
        <w:rPr>
          <w:rFonts w:ascii="Times New Roman" w:hAnsi="Times New Roman" w:eastAsia="Times New Roman" w:cs="Times New Roman"/>
          <w:sz w:val="24"/>
          <w:szCs w:val="24"/>
          <w:b w:val="1"/>
          <w:bCs w:val="1"/>
        </w:rPr>
        <w:t xml:space="preserve">1 a 1,5 hora</w:t>
      </w:r>
      <w:r>
        <w:rPr>
          <w:rFonts w:ascii="Times New Roman" w:hAnsi="Times New Roman" w:eastAsia="Times New Roman" w:cs="Times New Roman"/>
          <w:sz w:val="24"/>
          <w:szCs w:val="24"/>
        </w:rPr>
        <w:t xml:space="preserve"/>
      </w:r>
    </w:p>
    <w:p/>
    <w:p>
      <w:pPr>
        <w:jc w:val="both"/>
        <w:ind w:left="816377.9527559053" w:right="0" w:firstLine="0" w:hanging="0"/>
        <w:spacing w:after="120" w:line="360" w:lineRule="auto"/>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b w:val="1"/>
          <w:bCs w:val="1"/>
        </w:rPr>
        <w:t xml:space="preserve">Estimativa total moderada: 7,5 a 10 horas</w:t>
      </w:r>
      <w:r>
        <w:rPr>
          <w:rFonts w:ascii="Times New Roman" w:hAnsi="Times New Roman" w:eastAsia="Times New Roman" w:cs="Times New Roman"/>
          <w:sz w:val="24"/>
          <w:szCs w:val="24"/>
        </w:rPr>
        <w:t xml:space="preserve"> (variação conforme complexidade específica dos recursos interpostos e extensão da fundamentação necessária)</w:t>
      </w:r>
    </w:p>
    <w:p/>
    <w:p/>
    <w:p>
      <w:pPr>
        <w:jc w:val="center"/>
      </w:pPr>
      <w:r>
        <w:rPr>
          <w:rFonts w:ascii="Times New Roman" w:hAnsi="Times New Roman" w:eastAsia="Times New Roman" w:cs="Times New Roman"/>
          <w:color w:val="999999"/>
          <w:sz w:val="18"/>
          <w:szCs w:val="18"/>
          <w:i w:val="1"/>
          <w:iCs w:val="1"/>
        </w:rPr>
        <w:t xml:space="preserve">[REVISÃO OBRIGATÓRIA: Este conteúdo foi gerado por IA e deve ser integralmente revisado pelo advogado responsável — Normativo AD003]</w:t>
      </w:r>
    </w:p>
    <w:sectPr>
      <w:pgSz w:orient="portrait" w:w="11905.511811023622" w:h="16837.79527559055"/>
      <w:pgMar w:top="1700.787401574803" w:right="850.3937007874015" w:bottom="1133.8582677165352" w:left="1700.787401574803"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2026-03-06T10:00:46-03:00</dcterms:created>
  <dcterms:modified xsi:type="dcterms:W3CDTF">2026-03-06T10:00:46-03:00</dcterms:modified>
</cp:coreProperties>
</file>

<file path=docProps/custom.xml><?xml version="1.0" encoding="utf-8"?>
<Properties xmlns="http://schemas.openxmlformats.org/officeDocument/2006/custom-properties" xmlns:vt="http://schemas.openxmlformats.org/officeDocument/2006/docPropsVTypes"/>
</file>