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IMPOSSIBILIDADE DE REDAÇÃO SEM CONFIRMAÇÃO DOS DADOS ESSENCIAIS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Excelentíssimo Juízo,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redação solicitada — quesitos ao perito e/ou petição de juntada de documentos —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não pode ser executada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no presente momento sem prejuízo da qualidade técnica e da segurança processual que caracterizam os trabalhos do escritório subscritor.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RAZÕES DA SUSPENSÃO PROVISÓRIA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análise diagnóstica fornecida identifica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três lacunas objetivas e incontornáveis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que inviabilizam a redação responsável de qualquer peça processual: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1. Ausência de confirmação sobre a fase procedimental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existência ou não de nomeação formal do perito, aceite do encargo e proposta de honorários periciais determina: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a) se o prazo para quesitos e indicação de assistente técnico está em curso (risco iminente de preclusão);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b) se há necessidade de impugnação aos honorários propostos;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c) se a petição adequada neste momento é de quesitos ou de requerimento de intimação para cumprimento de obrigação documental.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Redigir quesitos antes da nomeação formal configura peça prematura e processualmente inútil. Redigir após o transcurso do prazo configura peça intempestiva. A informação processual é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conditio sine qua non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2. Divergência quanto ao objeto do pedido vigente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contestação menciona pedido de dano moral no valor de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R$ 10.000,00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A análise diagnóstica refere valor de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R$ 25.000,00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sem indicação de emenda posterior que o tenha majorado.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formulação de quesitos sobre dano moral — especialmente quanto à extensão, gravidade e repercussão do vício — varia substancialmente conforme o patamar indenizatório pleiteado. Quesitos genéricos comprometem a eficácia probatória; quesitos baseados em premissa equivocada quanto ao pedido comprometem a coerência da estratégia processual.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3. Indefinição quanto à manutenção do pedido principal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Evento 8 registra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desistência expressa do pedido de substituição do veículo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(art. 18, §1º, CDC). A análise diagnóstica questiona se houve reintrodução do pedido em momento posterior.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Caso o pedido persista, os quesitos devem obrigatoriamente abordar: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a) a adequação do produto ao fim a que se destina (art. 18, caput);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b) o transcurso do prazo de 30 dias sem saneamento definitivo (cômputo global de indisponibilidade);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c) a viabilidade técnica e econômica do reparo em face da substituição.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Caso o pedido tenha sido definitivamente abandonado, tais quesitos tornam-se impertinentes e sujeitam o subscritor à rejeição pelo juízo ou à impugnação adversa por tumulto processual.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PROTOCOLO TÉCNICO NECESSÁRIO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Para que a redação seja executada com o padrão Mayer Advogados, o subscritor requer os seguintes esclarecimentos —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todos objetivos, todos verificáveis no eproc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### Checagem processual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a)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Consulta à movimentação: existe evento de nomeação do perito, aceite do encargo e proposta de honorários periciais?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b)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Em caso positivo: qual a data da intimação das partes sobre a proposta de honorários?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c)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 saneador do Evento 58 reabriu ou ratificou prazo do art. 357, §1º, CPC (5 dias) para manifestação sobre pontos controvertidos, provas e eventuais ajustes?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### Checagem dos pedidos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a)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 valor do pedido de dano moral vigente é R$ 10.000,00 (conforme contestação) ou R$ 25.000,00 (conforme análise diagnóstica)? Houve emenda superveniente ao Evento 8?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b)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 pedido de substituição do veículo (art. 18, §1º, CDC) foi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definitivamente desistido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no Evento 8 ou houve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reintrodução posterior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### Checagem documental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a)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Constam nos autos: ordens de serviço completas (todas as intervenções), relatórios técnicos da concessionária, histórico de garantia do veículo e registros de atendimento ao consumidor?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b)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Caso negativo: houve determinação judicial específica de juntada? Foi cumprida?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 PROVIDÊNCIAS ALTERNATIVAS IMEDIATAS (caso haja urgência)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Caso o prazo para quesitos esteja em curso e não haja tempo hábil para as confirmações acima, a providência processual adequada — e redacionalmente viável sem os dados faltantes — é: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Petição de requerimento de prorrogação de prazo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(art. 139, VI, CPC), fundamentada na necessidade de análise técnica detida dos documentos a serem juntados pelas rés (inversão do ônus documental já reconhecida) e na complexidade da formulação de quesitos adequados ao objeto da perícia deferida.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Tal petição: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a) afasta o risco de preclusão;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b) não depende das confirmações pendentes;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c) demonstra diligência processual;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d) permite a redação definitiva dos quesitos após a consolidação do quadro fático-processual.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CONCLUSÃO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escritório subscritor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não redige peças com base em suposições, estimativas probabilísticas sem lastro documental ou premissas processuais não confirmadas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Trata-se de protocolo de qualidade inegociável e de proteção ao próprio cliente, que tem direito a trabalho técnico de excelência.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Confirmados os dados solicitados —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todos objetivos, todos acessíveis no sistema processual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—, a redação será executada em prazo inferior a 6 horas úteis, com padrão técnico integral.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Até lá, a presente manifestação substitui a redação solicitada, por impossibilidade técnica superveniente.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Escritório Mayer Advogados (SC)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*Normativo AD003 — Redação com IA: vedação de conteúdo não verificável*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[REVISÃO OBRIGATÓRIA: Este conteúdo foi gerado por IA e deve ser integralmente revisado pelo advogado responsável antes de qualquer utilização — Normativo AD003]</w:t>
      </w:r>
    </w:p>
    <w:p/>
    <w:p/>
    <w:p>
      <w:pPr>
        <w:jc w:val="center"/>
      </w:pPr>
      <w:r>
        <w:rPr>
          <w:rFonts w:ascii="Times New Roman" w:hAnsi="Times New Roman" w:eastAsia="Times New Roman" w:cs="Times New Roman"/>
          <w:color w:val="999999"/>
          <w:sz w:val="18"/>
          <w:szCs w:val="18"/>
          <w:i w:val="1"/>
          <w:iCs w:val="1"/>
        </w:rPr>
        <w:t xml:space="preserve">[REVISÃO OBRIGATÓRIA: Este conteúdo foi gerado por IA e deve ser integralmente revisado pelo advogado responsável — Normativo AD003]</w:t>
      </w:r>
    </w:p>
    <w:sectPr>
      <w:pgSz w:orient="portrait" w:w="11905.511811023622" w:h="16837.79527559055"/>
      <w:pgMar w:top="1700.787401574803" w:right="850.3937007874015" w:bottom="1133.8582677165352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2026-03-06T13:38:31-03:00</dcterms:created>
  <dcterms:modified xsi:type="dcterms:W3CDTF">2026-03-06T13:38:31-03:00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