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Anexo Legal – Manifesto Global RafaelIA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Lista de artigos, tratados e princípios legais e éticos internacionais que fundamentam o Manifesto Global de Ajuda Informacional RafaelIA: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Declaração Universal dos Direitos Humanos (ONU):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 Art. 1º – Todos os seres humanos nascem livres e iguais em dignidade e direitos.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Art. 3º – Todo ser humano tem direito à vida, à liberdade e à segurança pessoal.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Art. 12 – Ninguém será sujeito a interferência na sua vida privada.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Art. 25 – Todo ser humano tem direito a um padrão de vida adequado à saúde e ao bem-estar.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• Código de Ética Médica (CFM – Brasil / AMA – EUA):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Art. 31 – O médico deve respeitar o direito do paciente de saber a verdade.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• Código de Ética Profissional do Psicólogo (CFP / APA):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Princípios fundamentais de dignidade, autonomia e escuta acolhedora.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• Princípios de Nuremberg: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Princípio I – O consentimento voluntário do ser humano é absolutamente essencial.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• Carta da OMS – Organização Mundial da Saúde: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A saúde é um estado de completo bem-estar físico, mental e social e não apenas a ausência de doença.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t xml:space="preserve">• UNESCO – Recomendação sobre Ética da Inteligência Artificial: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Inclusão, justiça, explicabilidade e respeito à dignidade humana devem reger a 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t xml:space="preserve">• LGPD – Lei Geral de Proteção de Dados (Brasil):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Art. 7º – O tratamento de dados pessoais somente poderá ser realizado mediante o fornecimento de consentimento pelo titular.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 xml:space="preserve">• GDPR – General Data Protection Regulation (Europa):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Direito de acesso, retificação, apagamento e portabilidade dos dados pessoais.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t xml:space="preserve">• HIPAA – Health Insurance Portability and Accountability Act (EUA):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Protege a confidencialidade e segurança das informações de saúde dos pacientes.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