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909D4" w14:textId="186A69FC" w:rsidR="008E4E86" w:rsidRDefault="002152F4" w:rsidP="008E4E86">
      <w:pPr>
        <w:jc w:val="center"/>
        <w:rPr>
          <w:b/>
          <w:bCs/>
        </w:rPr>
      </w:pPr>
      <w:r w:rsidRPr="008E4E86">
        <w:rPr>
          <w:b/>
          <w:bCs/>
        </w:rPr>
        <w:t>RELATÓRIO FISIOTERAPÊUTICO</w:t>
      </w:r>
    </w:p>
    <w:p w14:paraId="5CF59EA7" w14:textId="77777777" w:rsidR="008E4E86" w:rsidRPr="008E4E86" w:rsidRDefault="008E4E86" w:rsidP="008E4E86">
      <w:pPr>
        <w:jc w:val="center"/>
      </w:pPr>
    </w:p>
    <w:p w14:paraId="76091CCC" w14:textId="77777777" w:rsidR="002152F4" w:rsidRDefault="008E4E86" w:rsidP="008E4E86">
      <w:r w:rsidRPr="008E4E86">
        <w:rPr>
          <w:b/>
          <w:bCs/>
        </w:rPr>
        <w:t>Paciente</w:t>
      </w:r>
      <w:r w:rsidR="002152F4">
        <w:rPr>
          <w:b/>
          <w:bCs/>
        </w:rPr>
        <w:t>:</w:t>
      </w:r>
      <w:r w:rsidRPr="008E4E86">
        <w:t xml:space="preserve"> Diogo Martin Neto </w:t>
      </w:r>
    </w:p>
    <w:p w14:paraId="3BB3DD16" w14:textId="42AEFD65" w:rsidR="002152F4" w:rsidRDefault="002152F4" w:rsidP="008E4E86">
      <w:r w:rsidRPr="005D2A6B">
        <w:rPr>
          <w:rFonts w:cs="Calibri"/>
          <w:b/>
          <w:bCs/>
          <w:sz w:val="22"/>
          <w:szCs w:val="22"/>
        </w:rPr>
        <w:t>Diagnóstico Médico:</w:t>
      </w:r>
      <w:r>
        <w:rPr>
          <w:rFonts w:cs="Calibri"/>
          <w:b/>
          <w:bCs/>
          <w:sz w:val="22"/>
          <w:szCs w:val="22"/>
        </w:rPr>
        <w:t xml:space="preserve"> </w:t>
      </w:r>
      <w:proofErr w:type="spellStart"/>
      <w:r>
        <w:t>L</w:t>
      </w:r>
      <w:r w:rsidRPr="008E4E86">
        <w:t>ombociatalgia</w:t>
      </w:r>
      <w:proofErr w:type="spellEnd"/>
      <w:r w:rsidRPr="008E4E86">
        <w:t xml:space="preserve">, </w:t>
      </w:r>
      <w:r>
        <w:t>B</w:t>
      </w:r>
      <w:r w:rsidRPr="008E4E86">
        <w:t xml:space="preserve">ursite trocantérica e </w:t>
      </w:r>
      <w:r>
        <w:t>A</w:t>
      </w:r>
      <w:r w:rsidRPr="008E4E86">
        <w:t>rtrose de joelho direito.</w:t>
      </w:r>
    </w:p>
    <w:p w14:paraId="632BD013" w14:textId="60394944" w:rsidR="002152F4" w:rsidRDefault="00C06911" w:rsidP="002152F4">
      <w:pPr>
        <w:tabs>
          <w:tab w:val="left" w:pos="2730"/>
        </w:tabs>
      </w:pPr>
      <w:r>
        <w:rPr>
          <w:rFonts w:cs="Calibri"/>
          <w:b/>
          <w:bCs/>
          <w:sz w:val="22"/>
          <w:szCs w:val="22"/>
        </w:rPr>
        <w:pict w14:anchorId="547F4B2F">
          <v:rect id="_x0000_i1025" style="width:0;height:1.5pt" o:hralign="center" o:hrstd="t" o:hr="t" fillcolor="#a0a0a0" stroked="f"/>
        </w:pict>
      </w:r>
    </w:p>
    <w:p w14:paraId="318D231C" w14:textId="5A0CE442" w:rsidR="002152F4" w:rsidRPr="002152F4" w:rsidRDefault="002152F4" w:rsidP="002152F4">
      <w:pPr>
        <w:spacing w:line="259" w:lineRule="auto"/>
        <w:rPr>
          <w:rFonts w:cs="Calibri"/>
          <w:b/>
          <w:bCs/>
          <w:sz w:val="22"/>
          <w:szCs w:val="22"/>
        </w:rPr>
      </w:pPr>
      <w:r w:rsidRPr="005D2A6B">
        <w:rPr>
          <w:rFonts w:cs="Calibri"/>
          <w:b/>
          <w:bCs/>
          <w:sz w:val="22"/>
          <w:szCs w:val="22"/>
        </w:rPr>
        <w:t>Histórico Clínico</w:t>
      </w:r>
    </w:p>
    <w:p w14:paraId="77B2DF31" w14:textId="287AF7E4" w:rsidR="002D56BD" w:rsidRDefault="002152F4" w:rsidP="008E4E86">
      <w:r>
        <w:t xml:space="preserve">Paciente </w:t>
      </w:r>
      <w:r w:rsidR="008E4E86" w:rsidRPr="008E4E86">
        <w:t>passou por avaliação fisioterapêutica em 24/03/2026</w:t>
      </w:r>
      <w:r w:rsidR="002D56BD">
        <w:t>. Atualmente completou 10 sessões de fisioterapia, realiza</w:t>
      </w:r>
      <w:r w:rsidR="00F47310">
        <w:t>das</w:t>
      </w:r>
      <w:r w:rsidR="002D56BD">
        <w:t xml:space="preserve"> 2x por semana.</w:t>
      </w:r>
    </w:p>
    <w:p w14:paraId="6BE42D3E" w14:textId="77777777" w:rsidR="002E7680" w:rsidRPr="002E7680" w:rsidRDefault="002E7680" w:rsidP="002E7680">
      <w:r w:rsidRPr="002E7680">
        <w:t>Ao longo das 10 sessões realizadas, o plano terapêutico foi direcionado inicialmente para controle da dor em região lombar, quadril direito e membro inferior direito, associado à melhora funcional, fortalecimento progressivo, treino de controle motor e melhora da tolerância às atividades de vida diária.</w:t>
      </w:r>
    </w:p>
    <w:p w14:paraId="2BA88E13" w14:textId="77777777" w:rsidR="002E7680" w:rsidRPr="002E7680" w:rsidRDefault="002E7680" w:rsidP="002E7680">
      <w:r w:rsidRPr="002E7680">
        <w:t>Durante o processo de reabilitação, o paciente apresentou melhora gradual da intensidade da dor lombar, da dor em região lateral do quadril e dos sintomas em membro inferior direito, além de melhora funcional durante as atividades de vida diária. Houve um episódio pontual de agudização dos sintomas após permanecer por tempo prolongado em pé e carregar sua filha durante uma festa de aniversário, porém com redução dos sintomas nos dias subsequentes.</w:t>
      </w:r>
    </w:p>
    <w:p w14:paraId="7C5F2DC4" w14:textId="1D7FA5CA" w:rsidR="002E7680" w:rsidRPr="002E7680" w:rsidRDefault="002E7680" w:rsidP="002E7680">
      <w:r w:rsidRPr="002E7680">
        <w:t>Nas duas últimas sessões, além da continuidade do tratamento da região lombar, quadril e membro inferior direito, iniciou-se também a abordagem das queixas de dor em região bilateral dos polegares, ombro</w:t>
      </w:r>
      <w:r w:rsidR="000914C4">
        <w:t>s</w:t>
      </w:r>
      <w:r w:rsidRPr="002E7680">
        <w:t xml:space="preserve"> e cervical, conforme relato recente do paciente.</w:t>
      </w:r>
    </w:p>
    <w:p w14:paraId="00675D1C" w14:textId="44F48AB5" w:rsidR="002152F4" w:rsidRPr="008E4E86" w:rsidRDefault="00C06911" w:rsidP="008E4E86">
      <w:r>
        <w:rPr>
          <w:rFonts w:cs="Calibri"/>
          <w:b/>
          <w:bCs/>
          <w:sz w:val="22"/>
          <w:szCs w:val="22"/>
        </w:rPr>
        <w:pict w14:anchorId="2AAF99EB">
          <v:rect id="_x0000_i1027" style="width:0;height:1.5pt" o:hralign="center" o:hrstd="t" o:hr="t" fillcolor="#a0a0a0" stroked="f"/>
        </w:pict>
      </w:r>
    </w:p>
    <w:p w14:paraId="04D7AFAE" w14:textId="297BAE5E" w:rsidR="008E4E86" w:rsidRDefault="008E4E86" w:rsidP="008E4E86">
      <w:r w:rsidRPr="008E4E86">
        <w:rPr>
          <w:b/>
          <w:bCs/>
        </w:rPr>
        <w:t>Plano terapêutico</w:t>
      </w:r>
      <w:r w:rsidR="00314BEF">
        <w:rPr>
          <w:b/>
          <w:bCs/>
        </w:rPr>
        <w:t xml:space="preserve"> </w:t>
      </w:r>
      <w:r w:rsidR="00DB2DF5">
        <w:rPr>
          <w:b/>
          <w:bCs/>
        </w:rPr>
        <w:t>realizado</w:t>
      </w:r>
      <w:r w:rsidRPr="008E4E86">
        <w:rPr>
          <w:b/>
          <w:bCs/>
        </w:rPr>
        <w:t>:</w:t>
      </w:r>
      <w:r w:rsidRPr="008E4E86">
        <w:br/>
      </w:r>
      <w:r w:rsidR="00DB2DF5" w:rsidRPr="00DB2DF5">
        <w:t>O tratamento segu</w:t>
      </w:r>
      <w:r w:rsidR="00DB2DF5">
        <w:t>iu</w:t>
      </w:r>
      <w:r w:rsidR="00DB2DF5" w:rsidRPr="00DB2DF5">
        <w:t xml:space="preserve"> com foco em analgesia da região lombar, quadril direito e membro inferior direito, associado ao fortalecimento de core, quadril e membro inferior direito, treino de controle motor, treino proprioceptivo e progressão gradual dos exercícios, respeitando a evolução clínica e a tolerância do paciente.</w:t>
      </w:r>
    </w:p>
    <w:p w14:paraId="26DF1C3E" w14:textId="0402FE91" w:rsidR="00866912" w:rsidRDefault="00866912" w:rsidP="008E4E86">
      <w:r>
        <w:rPr>
          <w:rFonts w:cs="Calibri"/>
          <w:b/>
          <w:bCs/>
          <w:sz w:val="22"/>
          <w:szCs w:val="22"/>
        </w:rPr>
        <w:pict w14:anchorId="584B2EDE">
          <v:rect id="_x0000_i1030" style="width:0;height:1.5pt" o:hralign="center" o:hrstd="t" o:hr="t" fillcolor="#a0a0a0" stroked="f"/>
        </w:pict>
      </w:r>
    </w:p>
    <w:p w14:paraId="70DD32EB" w14:textId="77777777" w:rsidR="00680C59" w:rsidRPr="00680C59" w:rsidRDefault="00866912" w:rsidP="00680C59">
      <w:r w:rsidRPr="008E4E86">
        <w:rPr>
          <w:b/>
          <w:bCs/>
        </w:rPr>
        <w:t>Plano terapêutico</w:t>
      </w:r>
      <w:r>
        <w:rPr>
          <w:b/>
          <w:bCs/>
        </w:rPr>
        <w:t xml:space="preserve"> </w:t>
      </w:r>
      <w:r w:rsidR="00F7107C">
        <w:rPr>
          <w:b/>
          <w:bCs/>
        </w:rPr>
        <w:t>das próximas sessões</w:t>
      </w:r>
      <w:r w:rsidRPr="008E4E86">
        <w:rPr>
          <w:b/>
          <w:bCs/>
        </w:rPr>
        <w:t>:</w:t>
      </w:r>
      <w:r w:rsidRPr="008E4E86">
        <w:br/>
      </w:r>
      <w:r w:rsidR="00680C59" w:rsidRPr="00680C59">
        <w:t>Dar continuidade ao fortalecimento de core, quadril e membros inferiores, com progressão do treino proprioceptivo e início gradual de exercícios de agilidade, mimetizando gestos esportivos relacionados ao futebol, conforme evolução clínica.</w:t>
      </w:r>
    </w:p>
    <w:p w14:paraId="70F74A6B" w14:textId="77777777" w:rsidR="00680C59" w:rsidRDefault="00680C59" w:rsidP="00680C59">
      <w:r w:rsidRPr="00680C59">
        <w:lastRenderedPageBreak/>
        <w:t>Também será iniciada abordagem fisioterapêutica específica para as queixas de dor nas mãos, ombro esquerdo e região cervical, com avaliação funcional complementar, recursos analgésicos quando necessário, exercícios terapêuticos e progressão conforme resposta clínica.</w:t>
      </w:r>
    </w:p>
    <w:p w14:paraId="2A7286A7" w14:textId="6EFF454C" w:rsidR="00680C59" w:rsidRPr="00680C59" w:rsidRDefault="00680C59" w:rsidP="00680C59">
      <w:r>
        <w:rPr>
          <w:rFonts w:cs="Calibri"/>
          <w:b/>
          <w:bCs/>
          <w:sz w:val="22"/>
          <w:szCs w:val="22"/>
        </w:rPr>
        <w:pict w14:anchorId="06A47A94">
          <v:rect id="_x0000_i1036" style="width:0;height:1.5pt" o:hralign="center" o:hrstd="t" o:hr="t" fillcolor="#a0a0a0" stroked="f"/>
        </w:pict>
      </w:r>
    </w:p>
    <w:p w14:paraId="4FC194FD" w14:textId="3323B25D" w:rsidR="00680C59" w:rsidRPr="008D4AD3" w:rsidRDefault="008D4AD3" w:rsidP="00680C59">
      <w:pPr>
        <w:rPr>
          <w:rFonts w:cs="Calibri"/>
          <w:sz w:val="22"/>
          <w:szCs w:val="22"/>
        </w:rPr>
      </w:pPr>
      <w:r w:rsidRPr="008D4AD3">
        <w:rPr>
          <w:rFonts w:cs="Calibri"/>
          <w:b/>
          <w:bCs/>
          <w:sz w:val="22"/>
          <w:szCs w:val="22"/>
        </w:rPr>
        <w:t>Conclusão</w:t>
      </w:r>
      <w:r>
        <w:rPr>
          <w:rFonts w:cs="Calibri"/>
          <w:b/>
          <w:bCs/>
          <w:sz w:val="22"/>
          <w:szCs w:val="22"/>
        </w:rPr>
        <w:t>:</w:t>
      </w:r>
      <w:r w:rsidRPr="008D4AD3">
        <w:rPr>
          <w:rFonts w:cs="Calibri"/>
          <w:b/>
          <w:bCs/>
          <w:sz w:val="22"/>
          <w:szCs w:val="22"/>
        </w:rPr>
        <w:br/>
      </w:r>
      <w:r w:rsidRPr="008D4AD3">
        <w:rPr>
          <w:rFonts w:cs="Calibri"/>
          <w:sz w:val="22"/>
          <w:szCs w:val="22"/>
        </w:rPr>
        <w:t>O paciente apresenta evolução clínica favorável em relação ao quadro inicial de dor lombar, quadril direito e membro inferior direito, com melhora progressiva da dor e da funcionalidade. Recomenda-se a continuidade do tratamento fisioterapêutico para consolidação dos ganhos obtidos, progressão da capacidade funcional e abordagem das novas queixas musculoesqueléticas relatadas.</w:t>
      </w:r>
    </w:p>
    <w:p w14:paraId="5603F8AB" w14:textId="665E6E7D" w:rsidR="002152F4" w:rsidRPr="008E4E86" w:rsidRDefault="00C06911" w:rsidP="00680C59">
      <w:r>
        <w:rPr>
          <w:rFonts w:cs="Calibri"/>
          <w:b/>
          <w:bCs/>
          <w:sz w:val="22"/>
          <w:szCs w:val="22"/>
        </w:rPr>
        <w:pict w14:anchorId="71678A9D">
          <v:rect id="_x0000_i1034" style="width:0;height:1.5pt" o:hralign="center" o:hrstd="t" o:hr="t" fillcolor="#a0a0a0" stroked="f"/>
        </w:pict>
      </w:r>
    </w:p>
    <w:p w14:paraId="40C6C4CC" w14:textId="77777777" w:rsidR="002152F4" w:rsidRDefault="002152F4" w:rsidP="002152F4">
      <w:pPr>
        <w:spacing w:line="259" w:lineRule="auto"/>
        <w:rPr>
          <w:rFonts w:cs="Calibri"/>
          <w:noProof/>
          <w:sz w:val="22"/>
          <w:szCs w:val="22"/>
          <w:lang w:eastAsia="pt-BR"/>
        </w:rPr>
      </w:pPr>
      <w:r w:rsidRPr="00D85D7E">
        <w:rPr>
          <w:rFonts w:cs="Calibri"/>
          <w:noProof/>
          <w:sz w:val="22"/>
          <w:szCs w:val="22"/>
          <w:lang w:eastAsia="pt-BR"/>
        </w:rPr>
        <w:t>Me coloco à disposição para maiores</w:t>
      </w:r>
      <w:r w:rsidRPr="0098316E">
        <w:rPr>
          <w:rFonts w:cs="Calibri"/>
          <w:noProof/>
          <w:sz w:val="22"/>
          <w:szCs w:val="22"/>
          <w:lang w:eastAsia="pt-BR"/>
        </w:rPr>
        <w:t xml:space="preserve"> esclarecimentos ou para eventuais</w:t>
      </w:r>
      <w:r w:rsidRPr="00FD38C9">
        <w:rPr>
          <w:rFonts w:cs="Calibri"/>
          <w:noProof/>
          <w:sz w:val="22"/>
          <w:szCs w:val="22"/>
          <w:lang w:eastAsia="pt-BR"/>
        </w:rPr>
        <w:t xml:space="preserve"> ajustes no protocolo, conforme necessário.</w:t>
      </w:r>
    </w:p>
    <w:p w14:paraId="2478ACD7" w14:textId="77777777" w:rsidR="002152F4" w:rsidRPr="00FD38C9" w:rsidRDefault="002152F4" w:rsidP="002152F4">
      <w:pPr>
        <w:spacing w:before="240"/>
        <w:jc w:val="both"/>
        <w:rPr>
          <w:rFonts w:cs="Calibri"/>
          <w:noProof/>
          <w:sz w:val="22"/>
          <w:szCs w:val="22"/>
          <w:lang w:eastAsia="pt-BR"/>
        </w:rPr>
      </w:pPr>
    </w:p>
    <w:p w14:paraId="448B68B5" w14:textId="77777777" w:rsidR="002152F4" w:rsidRPr="001A3ABC" w:rsidRDefault="002152F4" w:rsidP="002152F4">
      <w:pPr>
        <w:jc w:val="both"/>
        <w:rPr>
          <w:rFonts w:ascii="Calibri" w:hAnsi="Calibri" w:cs="Calibri"/>
          <w:noProof/>
          <w:sz w:val="22"/>
          <w:szCs w:val="22"/>
          <w:lang w:eastAsia="pt-BR"/>
        </w:rPr>
      </w:pPr>
      <w:r w:rsidRPr="001A3ABC">
        <w:rPr>
          <w:rFonts w:ascii="Calibri" w:hAnsi="Calibri" w:cs="Calibri"/>
          <w:noProof/>
          <w:sz w:val="22"/>
          <w:szCs w:val="22"/>
        </w:rPr>
        <w:drawing>
          <wp:anchor distT="0" distB="0" distL="114300" distR="114300" simplePos="0" relativeHeight="251659264" behindDoc="0" locked="0" layoutInCell="1" allowOverlap="1" wp14:anchorId="455D70E1" wp14:editId="2CC0318B">
            <wp:simplePos x="0" y="0"/>
            <wp:positionH relativeFrom="margin">
              <wp:align>right</wp:align>
            </wp:positionH>
            <wp:positionV relativeFrom="paragraph">
              <wp:posOffset>34925</wp:posOffset>
            </wp:positionV>
            <wp:extent cx="2819400" cy="711200"/>
            <wp:effectExtent l="0" t="0" r="0" b="0"/>
            <wp:wrapNone/>
            <wp:docPr id="2" name="Imagem 2" descr="Texto, Cart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descr="Texto, Carta&#10;&#10;Descrição gerada automaticament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19400" cy="711200"/>
                    </a:xfrm>
                    <a:prstGeom prst="rect">
                      <a:avLst/>
                    </a:prstGeom>
                    <a:noFill/>
                  </pic:spPr>
                </pic:pic>
              </a:graphicData>
            </a:graphic>
            <wp14:sizeRelH relativeFrom="page">
              <wp14:pctWidth>0</wp14:pctWidth>
            </wp14:sizeRelH>
            <wp14:sizeRelV relativeFrom="page">
              <wp14:pctHeight>0</wp14:pctHeight>
            </wp14:sizeRelV>
          </wp:anchor>
        </w:drawing>
      </w:r>
      <w:r w:rsidRPr="001A3ABC">
        <w:rPr>
          <w:rFonts w:ascii="Calibri" w:hAnsi="Calibri" w:cs="Calibri"/>
          <w:noProof/>
          <w:sz w:val="22"/>
          <w:szCs w:val="22"/>
          <w:lang w:eastAsia="pt-BR"/>
        </w:rPr>
        <w:t>Att,</w:t>
      </w:r>
    </w:p>
    <w:p w14:paraId="333CAEDD" w14:textId="77777777" w:rsidR="002152F4" w:rsidRPr="001A3ABC" w:rsidRDefault="002152F4" w:rsidP="002152F4">
      <w:pPr>
        <w:spacing w:after="0" w:line="240" w:lineRule="auto"/>
        <w:jc w:val="both"/>
        <w:rPr>
          <w:rFonts w:ascii="Calibri" w:hAnsi="Calibri" w:cs="Calibri"/>
          <w:noProof/>
          <w:sz w:val="22"/>
          <w:szCs w:val="22"/>
          <w:lang w:eastAsia="pt-BR"/>
        </w:rPr>
      </w:pPr>
      <w:r w:rsidRPr="001A3ABC">
        <w:rPr>
          <w:rFonts w:ascii="Calibri" w:hAnsi="Calibri" w:cs="Calibri"/>
          <w:noProof/>
          <w:sz w:val="22"/>
          <w:szCs w:val="22"/>
          <w:lang w:eastAsia="pt-BR"/>
        </w:rPr>
        <w:t>Amanda Hitomi Notoya Minatto</w:t>
      </w:r>
    </w:p>
    <w:p w14:paraId="3A0D1639" w14:textId="77777777" w:rsidR="002152F4" w:rsidRDefault="002152F4" w:rsidP="002152F4">
      <w:pPr>
        <w:spacing w:after="0" w:line="240" w:lineRule="auto"/>
        <w:jc w:val="both"/>
        <w:rPr>
          <w:rFonts w:ascii="Calibri" w:hAnsi="Calibri" w:cs="Calibri"/>
          <w:noProof/>
          <w:sz w:val="22"/>
          <w:szCs w:val="22"/>
          <w:lang w:eastAsia="pt-BR"/>
        </w:rPr>
      </w:pPr>
      <w:r w:rsidRPr="001A3ABC">
        <w:rPr>
          <w:rFonts w:ascii="Calibri" w:hAnsi="Calibri" w:cs="Calibri"/>
          <w:noProof/>
          <w:sz w:val="22"/>
          <w:szCs w:val="22"/>
          <w:lang w:eastAsia="pt-BR"/>
        </w:rPr>
        <w:t xml:space="preserve">Crefito/3 – 215954 </w:t>
      </w:r>
      <w:r>
        <w:rPr>
          <w:rFonts w:ascii="Calibri" w:hAnsi="Calibri" w:cs="Calibri"/>
          <w:noProof/>
          <w:sz w:val="22"/>
          <w:szCs w:val="22"/>
          <w:lang w:eastAsia="pt-BR"/>
        </w:rPr>
        <w:t>–</w:t>
      </w:r>
      <w:r w:rsidRPr="001A3ABC">
        <w:rPr>
          <w:rFonts w:ascii="Calibri" w:hAnsi="Calibri" w:cs="Calibri"/>
          <w:noProof/>
          <w:sz w:val="22"/>
          <w:szCs w:val="22"/>
          <w:lang w:eastAsia="pt-BR"/>
        </w:rPr>
        <w:t xml:space="preserve"> F</w:t>
      </w:r>
    </w:p>
    <w:p w14:paraId="231A5C8E" w14:textId="5E9320BE" w:rsidR="002152F4" w:rsidRDefault="002152F4" w:rsidP="002152F4">
      <w:pPr>
        <w:spacing w:before="240"/>
        <w:jc w:val="center"/>
        <w:rPr>
          <w:rFonts w:ascii="Calibri" w:hAnsi="Calibri" w:cs="Calibri"/>
          <w:b/>
          <w:noProof/>
          <w:sz w:val="22"/>
          <w:szCs w:val="22"/>
          <w:lang w:eastAsia="pt-BR"/>
        </w:rPr>
      </w:pPr>
      <w:r>
        <w:rPr>
          <w:rFonts w:ascii="Calibri" w:hAnsi="Calibri" w:cs="Calibri"/>
          <w:b/>
          <w:noProof/>
          <w:sz w:val="22"/>
          <w:szCs w:val="22"/>
          <w:lang w:eastAsia="pt-BR"/>
        </w:rPr>
        <w:t>2</w:t>
      </w:r>
      <w:r w:rsidR="008D4AD3">
        <w:rPr>
          <w:rFonts w:ascii="Calibri" w:hAnsi="Calibri" w:cs="Calibri"/>
          <w:b/>
          <w:noProof/>
          <w:sz w:val="22"/>
          <w:szCs w:val="22"/>
          <w:lang w:eastAsia="pt-BR"/>
        </w:rPr>
        <w:t>8</w:t>
      </w:r>
      <w:r w:rsidRPr="001A3ABC">
        <w:rPr>
          <w:rFonts w:ascii="Calibri" w:hAnsi="Calibri" w:cs="Calibri"/>
          <w:b/>
          <w:noProof/>
          <w:sz w:val="22"/>
          <w:szCs w:val="22"/>
          <w:lang w:eastAsia="pt-BR"/>
        </w:rPr>
        <w:t xml:space="preserve"> de </w:t>
      </w:r>
      <w:r w:rsidR="008D4AD3">
        <w:rPr>
          <w:rFonts w:ascii="Calibri" w:hAnsi="Calibri" w:cs="Calibri"/>
          <w:b/>
          <w:noProof/>
          <w:sz w:val="22"/>
          <w:szCs w:val="22"/>
          <w:lang w:eastAsia="pt-BR"/>
        </w:rPr>
        <w:t>Abril</w:t>
      </w:r>
      <w:r>
        <w:rPr>
          <w:rFonts w:ascii="Calibri" w:hAnsi="Calibri" w:cs="Calibri"/>
          <w:b/>
          <w:noProof/>
          <w:sz w:val="22"/>
          <w:szCs w:val="22"/>
          <w:lang w:eastAsia="pt-BR"/>
        </w:rPr>
        <w:t xml:space="preserve"> </w:t>
      </w:r>
      <w:r w:rsidRPr="001A3ABC">
        <w:rPr>
          <w:rFonts w:ascii="Calibri" w:hAnsi="Calibri" w:cs="Calibri"/>
          <w:b/>
          <w:noProof/>
          <w:sz w:val="22"/>
          <w:szCs w:val="22"/>
          <w:lang w:eastAsia="pt-BR"/>
        </w:rPr>
        <w:t>de 202</w:t>
      </w:r>
      <w:r>
        <w:rPr>
          <w:rFonts w:ascii="Calibri" w:hAnsi="Calibri" w:cs="Calibri"/>
          <w:b/>
          <w:noProof/>
          <w:sz w:val="22"/>
          <w:szCs w:val="22"/>
          <w:lang w:eastAsia="pt-BR"/>
        </w:rPr>
        <w:t>6</w:t>
      </w:r>
    </w:p>
    <w:p w14:paraId="1FABA331" w14:textId="77777777" w:rsidR="008E4E86" w:rsidRPr="008E4E86" w:rsidRDefault="008E4E86" w:rsidP="008E4E86"/>
    <w:sectPr w:rsidR="008E4E86" w:rsidRPr="008E4E8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F5F5F"/>
    <w:multiLevelType w:val="multilevel"/>
    <w:tmpl w:val="0B00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4740D"/>
    <w:multiLevelType w:val="multilevel"/>
    <w:tmpl w:val="E46E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5F4C20"/>
    <w:multiLevelType w:val="multilevel"/>
    <w:tmpl w:val="406C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CB7E5E"/>
    <w:multiLevelType w:val="multilevel"/>
    <w:tmpl w:val="790A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05E28"/>
    <w:multiLevelType w:val="multilevel"/>
    <w:tmpl w:val="D082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464546"/>
    <w:multiLevelType w:val="multilevel"/>
    <w:tmpl w:val="813C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8C4A5F"/>
    <w:multiLevelType w:val="multilevel"/>
    <w:tmpl w:val="C5FC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2622096">
    <w:abstractNumId w:val="5"/>
  </w:num>
  <w:num w:numId="2" w16cid:durableId="1191920928">
    <w:abstractNumId w:val="1"/>
  </w:num>
  <w:num w:numId="3" w16cid:durableId="885871518">
    <w:abstractNumId w:val="4"/>
  </w:num>
  <w:num w:numId="4" w16cid:durableId="1571965176">
    <w:abstractNumId w:val="2"/>
  </w:num>
  <w:num w:numId="5" w16cid:durableId="990795606">
    <w:abstractNumId w:val="0"/>
  </w:num>
  <w:num w:numId="6" w16cid:durableId="571543310">
    <w:abstractNumId w:val="6"/>
  </w:num>
  <w:num w:numId="7" w16cid:durableId="17019331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E86"/>
    <w:rsid w:val="000914C4"/>
    <w:rsid w:val="000D136C"/>
    <w:rsid w:val="002152F4"/>
    <w:rsid w:val="00287EEF"/>
    <w:rsid w:val="002A500B"/>
    <w:rsid w:val="002D56BD"/>
    <w:rsid w:val="002E7680"/>
    <w:rsid w:val="00314BEF"/>
    <w:rsid w:val="004350FA"/>
    <w:rsid w:val="00474477"/>
    <w:rsid w:val="00511677"/>
    <w:rsid w:val="00680C59"/>
    <w:rsid w:val="00866912"/>
    <w:rsid w:val="008D4AD3"/>
    <w:rsid w:val="008E4E86"/>
    <w:rsid w:val="008F08FC"/>
    <w:rsid w:val="009C2C43"/>
    <w:rsid w:val="00A02065"/>
    <w:rsid w:val="00B30385"/>
    <w:rsid w:val="00CC1518"/>
    <w:rsid w:val="00D050F9"/>
    <w:rsid w:val="00DB2DF5"/>
    <w:rsid w:val="00DF57A8"/>
    <w:rsid w:val="00E36BEB"/>
    <w:rsid w:val="00F47310"/>
    <w:rsid w:val="00F7107C"/>
    <w:rsid w:val="00FA2CB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0177E"/>
  <w15:chartTrackingRefBased/>
  <w15:docId w15:val="{4C9CFB34-E12F-406B-8574-13F743F60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912"/>
  </w:style>
  <w:style w:type="paragraph" w:styleId="Ttulo1">
    <w:name w:val="heading 1"/>
    <w:basedOn w:val="Normal"/>
    <w:next w:val="Normal"/>
    <w:link w:val="Ttulo1Char"/>
    <w:uiPriority w:val="9"/>
    <w:qFormat/>
    <w:rsid w:val="008E4E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E4E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E4E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E4E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E4E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E4E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E4E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E4E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E4E8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E4E8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E4E8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E4E8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E4E8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E4E8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E4E8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E4E8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E4E8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E4E86"/>
    <w:rPr>
      <w:rFonts w:eastAsiaTheme="majorEastAsia" w:cstheme="majorBidi"/>
      <w:color w:val="272727" w:themeColor="text1" w:themeTint="D8"/>
    </w:rPr>
  </w:style>
  <w:style w:type="paragraph" w:styleId="Ttulo">
    <w:name w:val="Title"/>
    <w:basedOn w:val="Normal"/>
    <w:next w:val="Normal"/>
    <w:link w:val="TtuloChar"/>
    <w:uiPriority w:val="10"/>
    <w:qFormat/>
    <w:rsid w:val="008E4E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E4E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E4E8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E4E8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E4E86"/>
    <w:pPr>
      <w:spacing w:before="160"/>
      <w:jc w:val="center"/>
    </w:pPr>
    <w:rPr>
      <w:i/>
      <w:iCs/>
      <w:color w:val="404040" w:themeColor="text1" w:themeTint="BF"/>
    </w:rPr>
  </w:style>
  <w:style w:type="character" w:customStyle="1" w:styleId="CitaoChar">
    <w:name w:val="Citação Char"/>
    <w:basedOn w:val="Fontepargpadro"/>
    <w:link w:val="Citao"/>
    <w:uiPriority w:val="29"/>
    <w:rsid w:val="008E4E86"/>
    <w:rPr>
      <w:i/>
      <w:iCs/>
      <w:color w:val="404040" w:themeColor="text1" w:themeTint="BF"/>
    </w:rPr>
  </w:style>
  <w:style w:type="paragraph" w:styleId="PargrafodaLista">
    <w:name w:val="List Paragraph"/>
    <w:basedOn w:val="Normal"/>
    <w:uiPriority w:val="34"/>
    <w:qFormat/>
    <w:rsid w:val="008E4E86"/>
    <w:pPr>
      <w:ind w:left="720"/>
      <w:contextualSpacing/>
    </w:pPr>
  </w:style>
  <w:style w:type="character" w:styleId="nfaseIntensa">
    <w:name w:val="Intense Emphasis"/>
    <w:basedOn w:val="Fontepargpadro"/>
    <w:uiPriority w:val="21"/>
    <w:qFormat/>
    <w:rsid w:val="008E4E86"/>
    <w:rPr>
      <w:i/>
      <w:iCs/>
      <w:color w:val="0F4761" w:themeColor="accent1" w:themeShade="BF"/>
    </w:rPr>
  </w:style>
  <w:style w:type="paragraph" w:styleId="CitaoIntensa">
    <w:name w:val="Intense Quote"/>
    <w:basedOn w:val="Normal"/>
    <w:next w:val="Normal"/>
    <w:link w:val="CitaoIntensaChar"/>
    <w:uiPriority w:val="30"/>
    <w:qFormat/>
    <w:rsid w:val="008E4E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E4E86"/>
    <w:rPr>
      <w:i/>
      <w:iCs/>
      <w:color w:val="0F4761" w:themeColor="accent1" w:themeShade="BF"/>
    </w:rPr>
  </w:style>
  <w:style w:type="character" w:styleId="RefernciaIntensa">
    <w:name w:val="Intense Reference"/>
    <w:basedOn w:val="Fontepargpadro"/>
    <w:uiPriority w:val="32"/>
    <w:qFormat/>
    <w:rsid w:val="008E4E86"/>
    <w:rPr>
      <w:b/>
      <w:bCs/>
      <w:smallCaps/>
      <w:color w:val="0F4761" w:themeColor="accent1" w:themeShade="BF"/>
      <w:spacing w:val="5"/>
    </w:rPr>
  </w:style>
  <w:style w:type="paragraph" w:styleId="NormalWeb">
    <w:name w:val="Normal (Web)"/>
    <w:basedOn w:val="Normal"/>
    <w:uiPriority w:val="99"/>
    <w:semiHidden/>
    <w:unhideWhenUsed/>
    <w:rsid w:val="00680C5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437</Words>
  <Characters>2363</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Notoya</dc:creator>
  <cp:keywords/>
  <dc:description/>
  <cp:lastModifiedBy>Amanda Notoya</cp:lastModifiedBy>
  <cp:revision>2</cp:revision>
  <dcterms:created xsi:type="dcterms:W3CDTF">2026-04-28T18:28:00Z</dcterms:created>
  <dcterms:modified xsi:type="dcterms:W3CDTF">2026-04-28T18:28:00Z</dcterms:modified>
</cp:coreProperties>
</file>