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742C5" w14:textId="77777777" w:rsidR="00535C87" w:rsidRPr="00535C87" w:rsidRDefault="00535C87" w:rsidP="00535C87">
      <w:pPr>
        <w:numPr>
          <w:ilvl w:val="0"/>
          <w:numId w:val="1"/>
        </w:numPr>
      </w:pPr>
      <w:r w:rsidRPr="00535C87">
        <w:t>CONCLUSÃO</w:t>
      </w:r>
    </w:p>
    <w:p w14:paraId="71694699" w14:textId="77777777" w:rsidR="00535C87" w:rsidRPr="00535C87" w:rsidRDefault="00535C87" w:rsidP="00535C87">
      <w:r w:rsidRPr="00535C87">
        <w:t>6.1 Síntese dos resultados empíricos</w:t>
      </w:r>
    </w:p>
    <w:p w14:paraId="6EC63CE9" w14:textId="77777777" w:rsidR="00535C87" w:rsidRPr="00535C87" w:rsidRDefault="00535C87" w:rsidP="00535C87">
      <w:r w:rsidRPr="00535C87">
        <w:t xml:space="preserve">Este trabalho propôs avaliar se a aplicação sistemática de uma estratégia de </w:t>
      </w:r>
      <w:proofErr w:type="spellStart"/>
      <w:r w:rsidRPr="00535C87">
        <w:t>factor</w:t>
      </w:r>
      <w:proofErr w:type="spellEnd"/>
      <w:r w:rsidRPr="00535C87">
        <w:t xml:space="preserve"> </w:t>
      </w:r>
      <w:proofErr w:type="spellStart"/>
      <w:r w:rsidRPr="00535C87">
        <w:t>investing</w:t>
      </w:r>
      <w:proofErr w:type="spellEnd"/>
      <w:r w:rsidRPr="00535C87">
        <w:t>, operando sobre os fatores de Momentum, Baixa Volatilidade, Valor (P/VP) e Qualidade (ROIC), ao universo restrito de empresas selecionadas pelo Índice de Sustentabilidade Empresarial da B3 (ISE B3) é capaz de gerar retorno ajustado ao risco superior ao do mercado amplo brasileiro, representado pelo IBrX-100, no decênio compreendido entre 2016 e 2025. A motivação central residiu na tensão teórica entre Markowitz (1952), para quem qualquer restrição ao universo investível desloca a fronteira eficiente para posições inferiores, e Freeman (1984), cuja Teoria dos Stakeholders sugere que empresas com práticas ESG robustas estariam menos expostas a riscos operacionais, reputacionais e regulatórios, podendo compensar, ou mesmo superar, o custo da restrição.</w:t>
      </w:r>
    </w:p>
    <w:p w14:paraId="461BB50C" w14:textId="77777777" w:rsidR="00535C87" w:rsidRPr="00535C87" w:rsidRDefault="00535C87" w:rsidP="00535C87">
      <w:r w:rsidRPr="00535C87">
        <w:t xml:space="preserve">Os resultados empíricos do </w:t>
      </w:r>
      <w:proofErr w:type="spellStart"/>
      <w:r w:rsidRPr="00535C87">
        <w:t>backtest</w:t>
      </w:r>
      <w:proofErr w:type="spellEnd"/>
      <w:r w:rsidRPr="00535C87">
        <w:t xml:space="preserve"> revelam um quadro intermediário entre essas duas posições teóricas, com inclinação relativa em favor da implicação de Markowitz. A carteira Factor ESG obteve retorno acumulado de 227,15% no decênio, equivalente a 12,83% ao ano, com volatilidade de 23,81%, Índice de Sharpe de 0,25 e </w:t>
      </w:r>
      <w:proofErr w:type="spellStart"/>
      <w:r w:rsidRPr="00535C87">
        <w:t>drawdown</w:t>
      </w:r>
      <w:proofErr w:type="spellEnd"/>
      <w:r w:rsidRPr="00535C87">
        <w:t xml:space="preserve"> máximo de -47,17%. O IBrX-100, no mesmo intervalo, retornou 302,23% (15,23% ao ano), com volatilidade ligeiramente inferior (22,98%), Sharpe de 0,34 e </w:t>
      </w:r>
      <w:proofErr w:type="spellStart"/>
      <w:r w:rsidRPr="00535C87">
        <w:t>drawdown</w:t>
      </w:r>
      <w:proofErr w:type="spellEnd"/>
      <w:r w:rsidRPr="00535C87">
        <w:t xml:space="preserve"> máximo de -46,73%. O ISE B3 passivo, por sua vez, apresentou desempenho substancialmente inferior aos dois primeiros: retorno acumulado de 108,17% (7,75% ao ano), volatilidade de 22,79%, Sharpe de 0,05 e </w:t>
      </w:r>
      <w:proofErr w:type="spellStart"/>
      <w:r w:rsidRPr="00535C87">
        <w:t>drawdown</w:t>
      </w:r>
      <w:proofErr w:type="spellEnd"/>
      <w:r w:rsidRPr="00535C87">
        <w:t xml:space="preserve"> máximo de -43,86%.</w:t>
      </w:r>
    </w:p>
    <w:p w14:paraId="2FFD77AF" w14:textId="77777777" w:rsidR="00535C87" w:rsidRPr="00535C87" w:rsidRDefault="00535C87" w:rsidP="00535C87">
      <w:r w:rsidRPr="00535C87">
        <w:t xml:space="preserve">A leitura conjunta desses números autoriza duas afirmações distintas. Em primeiro lugar, a estratégia fatorial agregou valor relevante quando comparada ao próprio universo restrito do qual extraiu suas posições: o Sharpe da Factor ESG (0,25) é cinco vezes superior ao do ISE B3 passivo (0,05), e o retorno anualizado excede o do índice de referência ESG em mais de cinco pontos percentuais ao ano. Esse achado é internamente coerente com o resultado teórico de Pedersen, </w:t>
      </w:r>
      <w:proofErr w:type="spellStart"/>
      <w:r w:rsidRPr="00535C87">
        <w:t>Fitzgibbons</w:t>
      </w:r>
      <w:proofErr w:type="spellEnd"/>
      <w:r w:rsidRPr="00535C87">
        <w:t xml:space="preserve"> e </w:t>
      </w:r>
      <w:proofErr w:type="spellStart"/>
      <w:r w:rsidRPr="00535C87">
        <w:t>Pomorski</w:t>
      </w:r>
      <w:proofErr w:type="spellEnd"/>
      <w:r w:rsidRPr="00535C87">
        <w:t xml:space="preserve"> (2021), que demonstram, no contexto americano, que a incorporação de informação ESG ao processo de otimização eleva o Sharpe máximo atingível em cerca de 12% </w:t>
      </w:r>
      <w:proofErr w:type="spellStart"/>
      <w:r w:rsidRPr="00535C87">
        <w:t>ex</w:t>
      </w:r>
      <w:proofErr w:type="spellEnd"/>
      <w:r w:rsidRPr="00535C87">
        <w:t xml:space="preserve"> ante e 11% </w:t>
      </w:r>
      <w:proofErr w:type="spellStart"/>
      <w:r w:rsidRPr="00535C87">
        <w:t>ex</w:t>
      </w:r>
      <w:proofErr w:type="spellEnd"/>
      <w:r w:rsidRPr="00535C87">
        <w:t xml:space="preserve"> post quando o fator de governança é utilizado como sinal preditivo. Em segundo lugar, e em sentido oposto, a estratégia fatorial não foi suficiente para compensar o custo da restrição ESG sobre o mercado amplo: a Factor ESG ficou aproximadamente 2,4 pontos percentuais ao ano abaixo do IBrX-100, com Sharpe inferior e </w:t>
      </w:r>
      <w:proofErr w:type="spellStart"/>
      <w:r w:rsidRPr="00535C87">
        <w:t>drawdown</w:t>
      </w:r>
      <w:proofErr w:type="spellEnd"/>
      <w:r w:rsidRPr="00535C87">
        <w:t xml:space="preserve"> máximo ligeiramente mais profundo. A magnitude dessa diferença, cerca de 27% no Sharpe relativo, é substancialmente superior ao "custo de 3%" que Pedersen, </w:t>
      </w:r>
      <w:proofErr w:type="spellStart"/>
      <w:r w:rsidRPr="00535C87">
        <w:t>Fitzgibbons</w:t>
      </w:r>
      <w:proofErr w:type="spellEnd"/>
      <w:r w:rsidRPr="00535C87">
        <w:t xml:space="preserve"> e </w:t>
      </w:r>
      <w:proofErr w:type="spellStart"/>
      <w:r w:rsidRPr="00535C87">
        <w:t>Pomorski</w:t>
      </w:r>
      <w:proofErr w:type="spellEnd"/>
      <w:r w:rsidRPr="00535C87">
        <w:t xml:space="preserve"> (2021) estimaram para dobrar o escore ESG médio acima do nível ótimo, e converge para a região do "custo de 9%" associado a desviar fortemente o portfólio </w:t>
      </w:r>
      <w:proofErr w:type="gramStart"/>
      <w:r w:rsidRPr="00535C87">
        <w:t>do tangência</w:t>
      </w:r>
      <w:proofErr w:type="gramEnd"/>
      <w:r w:rsidRPr="00535C87">
        <w:t xml:space="preserve"> sem ESG.</w:t>
      </w:r>
    </w:p>
    <w:p w14:paraId="29E544C0" w14:textId="77777777" w:rsidR="00535C87" w:rsidRPr="00535C87" w:rsidRDefault="00535C87" w:rsidP="00535C87">
      <w:r w:rsidRPr="00535C87">
        <w:t>6.2 Discussão das hipóteses à luz da literatura</w:t>
      </w:r>
    </w:p>
    <w:p w14:paraId="5B8B3ADD" w14:textId="77777777" w:rsidR="00535C87" w:rsidRPr="00535C87" w:rsidRDefault="00535C87" w:rsidP="00535C87">
      <w:r w:rsidRPr="00535C87">
        <w:t>A leitura formal das três hipóteses do trabalho conduz a um conjunto de rejeições com nuances importantes, cada uma das quais merece confrontação direta com a literatura mobilizada na revisão.</w:t>
      </w:r>
    </w:p>
    <w:p w14:paraId="075E0435" w14:textId="77777777" w:rsidR="00535C87" w:rsidRPr="00535C87" w:rsidRDefault="00535C87" w:rsidP="00535C87">
      <w:r w:rsidRPr="00535C87">
        <w:lastRenderedPageBreak/>
        <w:t xml:space="preserve">Hipótese H₁ (retorno ajustado ao risco não inferior ao do mercado). Esta hipótese é rejeitada na versão agregada da carteira Factor ESG, cujo Sharpe (0,25) ficou aproximadamente 27% abaixo do Sharpe do IBrX-100 (0,34). O resultado é qualitativamente contrário ao consolidado por Friede, Busch e </w:t>
      </w:r>
      <w:proofErr w:type="spellStart"/>
      <w:r w:rsidRPr="00535C87">
        <w:t>Bassen</w:t>
      </w:r>
      <w:proofErr w:type="spellEnd"/>
      <w:r w:rsidRPr="00535C87">
        <w:t xml:space="preserve"> (2015), cuja meta-análise de mais de 2.200 estudos empíricos primários documentou que aproximadamente 90% dos estudos encontram relação não-negativa entre critérios ESG e desempenho financeiro corporativo. No entanto, o achado deste trabalho é qualitativamente convergente com o de Rezende, Nunes e Portela (2008), o único estudo da literatura nacional dedicado especificamente ao ISE: aqueles autores reportam, para o período de dezembro de 2005 a março de 2007, retorno mensal médio do ISE (2,32%) ligeiramente inferior ao do IBrX (2,57%), com diferença estatisticamente não significativa (p-valor de 0,91 no teste t bicaudal). A persistência do padrão "ISE ligeiramente abaixo do IBrX" ao longo de quase duas décadas, mesmo quando enriquecido por uma camada de seleção fatorial, sugere que o universo do ISE B3 de fato carrega uma penalidade estrutural moderada em relação ao mercado amplo brasileiro, e que essa penalidade não é integralmente compensada pela aplicação de fatores quantitativos de seleção.</w:t>
      </w:r>
    </w:p>
    <w:p w14:paraId="3CD42984" w14:textId="77777777" w:rsidR="00535C87" w:rsidRPr="00535C87" w:rsidRDefault="00535C87" w:rsidP="00535C87">
      <w:r w:rsidRPr="00535C87">
        <w:t>Hipótese H₂ (alfa positivo e estatisticamente significativo no modelo Fama-</w:t>
      </w:r>
      <w:proofErr w:type="spellStart"/>
      <w:r w:rsidRPr="00535C87">
        <w:t>French</w:t>
      </w:r>
      <w:proofErr w:type="spellEnd"/>
      <w:r w:rsidRPr="00535C87">
        <w:t xml:space="preserve">). Esta hipótese é rejeitada para a carteira agregada. O retorno absoluto inferior ao do benchmark amplo, combinado à volatilidade marginalmente superior, é </w:t>
      </w:r>
      <w:proofErr w:type="spellStart"/>
      <w:r w:rsidRPr="00535C87">
        <w:t>informacionalmente</w:t>
      </w:r>
      <w:proofErr w:type="spellEnd"/>
      <w:r w:rsidRPr="00535C87">
        <w:t xml:space="preserve"> incompatível com a presença de um prêmio ESG residual no período examinado. Este resultado, longe de surpreender, encontra sustentação teórica no modelo de equilíbrio de </w:t>
      </w:r>
      <w:proofErr w:type="spellStart"/>
      <w:r w:rsidRPr="00535C87">
        <w:t>Pástor</w:t>
      </w:r>
      <w:proofErr w:type="spellEnd"/>
      <w:r w:rsidRPr="00535C87">
        <w:t xml:space="preserve">, </w:t>
      </w:r>
      <w:proofErr w:type="spellStart"/>
      <w:r w:rsidRPr="00535C87">
        <w:t>Stambaugh</w:t>
      </w:r>
      <w:proofErr w:type="spellEnd"/>
      <w:r w:rsidRPr="00535C87">
        <w:t xml:space="preserve"> e Taylor (2021), segundo o qual ativos com perfil ESG superior devem apresentar retornos esperados inferiores aos de ativos "marrons", exatamente porque investidores aceitam um prêmio negativo pela preferência por sustentabilidade e pela proteção contra risco climático. Sob essa lente, a ausência de alfa positivo da Factor ESG não constitui evidência contra a relevância financeira dos critérios ESG, e sim evidência consistente com um regime de equilíbrio no qual o prêmio </w:t>
      </w:r>
      <w:proofErr w:type="spellStart"/>
      <w:r w:rsidRPr="00535C87">
        <w:t>ex</w:t>
      </w:r>
      <w:proofErr w:type="spellEnd"/>
      <w:r w:rsidRPr="00535C87">
        <w:t xml:space="preserve"> ante já foi parcialmente internalizado pelos preços, mesmo num mercado emergente. O resultado também é congruente, em espírito, com a tradição inaugurada por Jensen (1968), que demonstrou que 115 fundos mútuos americanos, no período 1945–1964, foram em média incapazes de superar uma estratégia passiva de mercado mesmo quando avaliados brutos de despesas, sugerindo que a obtenção sistemática de alfa positivo, sob qualquer filtro de seleção, é evento empiricamente raro.</w:t>
      </w:r>
    </w:p>
    <w:p w14:paraId="324972A3" w14:textId="77777777" w:rsidR="00535C87" w:rsidRPr="00535C87" w:rsidRDefault="00535C87" w:rsidP="00535C87">
      <w:r w:rsidRPr="00535C87">
        <w:t xml:space="preserve">Hipótese H₃ (proteção de cauda em períodos de estresse). Esta hipótese é parcialmente rejeitada. A magnitude do </w:t>
      </w:r>
      <w:proofErr w:type="spellStart"/>
      <w:r w:rsidRPr="00535C87">
        <w:t>drawdown</w:t>
      </w:r>
      <w:proofErr w:type="spellEnd"/>
      <w:r w:rsidRPr="00535C87">
        <w:t xml:space="preserve"> máximo da Factor ESG (-47,17%) é, na prática, indistinguível da observada no IBrX-100 (-46,73%) e, </w:t>
      </w:r>
      <w:proofErr w:type="spellStart"/>
      <w:r w:rsidRPr="00535C87">
        <w:t>contraintuitivamente</w:t>
      </w:r>
      <w:proofErr w:type="spellEnd"/>
      <w:r w:rsidRPr="00535C87">
        <w:t xml:space="preserve">, ligeiramente superior à do próprio ISE B3 passivo (-43,86%). Este resultado contrasta de forma mais aguda com o achado de Lins, </w:t>
      </w:r>
      <w:proofErr w:type="spellStart"/>
      <w:r w:rsidRPr="00535C87">
        <w:t>Servaes</w:t>
      </w:r>
      <w:proofErr w:type="spellEnd"/>
      <w:r w:rsidRPr="00535C87">
        <w:t xml:space="preserve"> e Tamayo (2017), que documentaram que empresas norte-americanas com alto capital social, medido por indicadores de CSR, apresentaram retornos acionários de quatro a sete pontos percentuais superiores aos de empresas comparáveis com baixo CSR durante a janela específica da crise financeira de 2008–2009 (agosto/2008 a março/2009), com um portfólio </w:t>
      </w:r>
      <w:proofErr w:type="spellStart"/>
      <w:r w:rsidRPr="00535C87">
        <w:t>long</w:t>
      </w:r>
      <w:proofErr w:type="spellEnd"/>
      <w:r w:rsidRPr="00535C87">
        <w:t xml:space="preserve">-short rendendo 74 </w:t>
      </w:r>
      <w:proofErr w:type="spellStart"/>
      <w:r w:rsidRPr="00535C87">
        <w:t>basis</w:t>
      </w:r>
      <w:proofErr w:type="spellEnd"/>
      <w:r w:rsidRPr="00535C87">
        <w:t xml:space="preserve"> points por mês durante a crise, efeito que se torna estatisticamente nulo em períodos não-críticos. A divergência entre os achados deste trabalho e os de Lins, </w:t>
      </w:r>
      <w:proofErr w:type="spellStart"/>
      <w:r w:rsidRPr="00535C87">
        <w:t>Servaes</w:t>
      </w:r>
      <w:proofErr w:type="spellEnd"/>
      <w:r w:rsidRPr="00535C87">
        <w:t xml:space="preserve"> e Tamayo (2017) admite ao menos três explicações não mutuamente excludentes. A primeira é diferença de proxy: o CSR mensurado pela base MSCI ESG </w:t>
      </w:r>
      <w:proofErr w:type="spellStart"/>
      <w:r w:rsidRPr="00535C87">
        <w:t>Stats</w:t>
      </w:r>
      <w:proofErr w:type="spellEnd"/>
      <w:r w:rsidRPr="00535C87">
        <w:t xml:space="preserve"> utilizada por aqueles autores é qualitativamente distinto do mecanismo de elegibilidade binária do ISE </w:t>
      </w:r>
      <w:r w:rsidRPr="00535C87">
        <w:lastRenderedPageBreak/>
        <w:t xml:space="preserve">B3, que opera por questionário e seleção. A segunda é a natureza dos choques: as crises que dominaram o período 2016–2025 no Brasil, recessão fiscal de 2015–2016, pandemia da Covid-19 em 2020 e ciclo de aperto monetário de 2021–2022, propagaram-se por canais macroeconômicos e cambiais, ao passo que o mecanismo ativador do capital social proposto por Lins, </w:t>
      </w:r>
      <w:proofErr w:type="spellStart"/>
      <w:r w:rsidRPr="00535C87">
        <w:t>Servaes</w:t>
      </w:r>
      <w:proofErr w:type="spellEnd"/>
      <w:r w:rsidRPr="00535C87">
        <w:t xml:space="preserve"> e Tamayo (2017) opera primordialmente sobre canais reputacionais e de confiança entre a empresa e seus stakeholders. A terceira é a estrutura setorial: a carteira brasileira é dominada por </w:t>
      </w:r>
      <w:proofErr w:type="spellStart"/>
      <w:r w:rsidRPr="00535C87">
        <w:t>utilities</w:t>
      </w:r>
      <w:proofErr w:type="spellEnd"/>
      <w:r w:rsidRPr="00535C87">
        <w:t>, bancos e telecomunicações, segmentos cuja sensibilidade à curva de juros tende a se sobrepor a qualquer efeito de "</w:t>
      </w:r>
      <w:proofErr w:type="spellStart"/>
      <w:r w:rsidRPr="00535C87">
        <w:t>downside</w:t>
      </w:r>
      <w:proofErr w:type="spellEnd"/>
      <w:r w:rsidRPr="00535C87">
        <w:t xml:space="preserve"> </w:t>
      </w:r>
      <w:proofErr w:type="spellStart"/>
      <w:r w:rsidRPr="00535C87">
        <w:t>protection</w:t>
      </w:r>
      <w:proofErr w:type="spellEnd"/>
      <w:r w:rsidRPr="00535C87">
        <w:t>" ESG em períodos de aperto monetário.</w:t>
      </w:r>
    </w:p>
    <w:p w14:paraId="46BFAE35" w14:textId="77777777" w:rsidR="00535C87" w:rsidRPr="00535C87" w:rsidRDefault="00535C87" w:rsidP="00535C87">
      <w:r w:rsidRPr="00535C87">
        <w:t>6.3 Por que a estratégia Factor ESG não capturou prêmio sobre o IBrX-100</w:t>
      </w:r>
    </w:p>
    <w:p w14:paraId="428AFCAC" w14:textId="77777777" w:rsidR="00535C87" w:rsidRPr="00535C87" w:rsidRDefault="00535C87" w:rsidP="00535C87">
      <w:r w:rsidRPr="00535C87">
        <w:t>Quatro fatores complementares concorrem para explicar a ausência de prêmio da estratégia Factor ESG sobre o mercado amplo, cada um deles ancorado em achado específico da literatura mobilizada.</w:t>
      </w:r>
    </w:p>
    <w:p w14:paraId="690C2F05" w14:textId="77777777" w:rsidR="00535C87" w:rsidRPr="00535C87" w:rsidRDefault="00535C87" w:rsidP="00535C87">
      <w:r w:rsidRPr="00535C87">
        <w:t xml:space="preserve">O primeiro fator é a concentração setorial do universo ISE B3, que viola precisamente o tipo de diversificação que Markowitz (1952) considerava essencial. Em passagem frequentemente citada, o autor adverte que "uma carteira de sessenta diferentes empresas ferroviárias não seria tão bem diversificada quanto uma carteira de mesmo tamanho contendo algumas ferroviárias, algumas de serviços públicos, de mineração e diversos tipos de manufatura"; o raciocínio é que firmas da mesma indústria tendem a ter desempenho ruim conjuntamente. A composição das carteiras anuais selecionadas pelo procedimento fatorial deste trabalho é dominada por empresas de grande capitalização e setores regulados, utilidades públicas (CMIG4, CPLE6, EGIE3, ENBR3, NEOE3), serviços financeiros (BBAS3, BBDC4, ITUB4, ITSA4, SANB11), consumo defensivo (ABEV3, NATU3, RADL3) e telecomunicações (VIVT3, TIMS3). Essa concentração estrutural, decorrência da própria metodologia do ISE B3, que favorece empresas com escala suficiente para investir em sistemas robustos de governança e reporte, eleva substancialmente as covariâncias </w:t>
      </w:r>
      <w:proofErr w:type="spellStart"/>
      <w:r w:rsidRPr="00535C87">
        <w:t>intra-portfólio</w:t>
      </w:r>
      <w:proofErr w:type="spellEnd"/>
      <w:r w:rsidRPr="00535C87">
        <w:t xml:space="preserve"> em períodos de estresse comum aos setores regulados, particularmente sob choques de taxa de juros.</w:t>
      </w:r>
    </w:p>
    <w:p w14:paraId="1374B92C" w14:textId="77777777" w:rsidR="00535C87" w:rsidRPr="00535C87" w:rsidRDefault="00535C87" w:rsidP="00535C87">
      <w:r w:rsidRPr="00535C87">
        <w:t>O segundo fator é a fragilidade empírica conhecida dos fatores Fama-</w:t>
      </w:r>
      <w:proofErr w:type="spellStart"/>
      <w:r w:rsidRPr="00535C87">
        <w:t>French</w:t>
      </w:r>
      <w:proofErr w:type="spellEnd"/>
      <w:r w:rsidRPr="00535C87">
        <w:t xml:space="preserve"> no mercado brasileiro. Nunes, Pinho e Nogueira Junior (2016) documentaram que, embora o fator de mercado seja consistentemente significativo na B3, os fatores SMB e HML apresentam instabilidade temporal substancial. Achados convergentes foram obtidos por </w:t>
      </w:r>
      <w:proofErr w:type="spellStart"/>
      <w:r w:rsidRPr="00535C87">
        <w:t>Securato</w:t>
      </w:r>
      <w:proofErr w:type="spellEnd"/>
      <w:r w:rsidRPr="00535C87">
        <w:t xml:space="preserve"> e Málaga (2013), que identificaram prêmio de tamanho negativo no Brasil, grandes empresas oferecendo retornos superiores às pequenas, exatamente o oposto do padrão americano, e por Barbedo, Araújo e </w:t>
      </w:r>
      <w:proofErr w:type="spellStart"/>
      <w:r w:rsidRPr="00535C87">
        <w:t>Rayes</w:t>
      </w:r>
      <w:proofErr w:type="spellEnd"/>
      <w:r w:rsidRPr="00535C87">
        <w:t xml:space="preserve"> (2010), que reportaram que SMB e HML deixam de explicar os retornos das carteiras brasileiras após 2006, período de quebra estrutural associado ao aumento significativo de liquidez na B3. </w:t>
      </w:r>
      <w:proofErr w:type="spellStart"/>
      <w:r w:rsidRPr="00535C87">
        <w:t>Securato</w:t>
      </w:r>
      <w:proofErr w:type="spellEnd"/>
      <w:r w:rsidRPr="00535C87">
        <w:t xml:space="preserve"> e Rogers (2009) chegam a sugerir, com base nessa evidência, que o modelo apropriado para o mercado brasileiro seria de dois fatores (mercado e tamanho), com o fator book-</w:t>
      </w:r>
      <w:proofErr w:type="spellStart"/>
      <w:r w:rsidRPr="00535C87">
        <w:t>to</w:t>
      </w:r>
      <w:proofErr w:type="spellEnd"/>
      <w:r w:rsidRPr="00535C87">
        <w:t>-</w:t>
      </w:r>
      <w:proofErr w:type="spellStart"/>
      <w:r w:rsidRPr="00535C87">
        <w:t>market</w:t>
      </w:r>
      <w:proofErr w:type="spellEnd"/>
      <w:r w:rsidRPr="00535C87">
        <w:t xml:space="preserve"> apresentando significância estatística limitada. Esse arcabouço empírico fragilizado dos fatores tradicionais reduz, a priori, a magnitude esperada do prêmio extraível pelo </w:t>
      </w:r>
      <w:proofErr w:type="spellStart"/>
      <w:r w:rsidRPr="00535C87">
        <w:t>factor</w:t>
      </w:r>
      <w:proofErr w:type="spellEnd"/>
      <w:r w:rsidRPr="00535C87">
        <w:t xml:space="preserve"> </w:t>
      </w:r>
      <w:proofErr w:type="spellStart"/>
      <w:r w:rsidRPr="00535C87">
        <w:t>investing</w:t>
      </w:r>
      <w:proofErr w:type="spellEnd"/>
      <w:r w:rsidRPr="00535C87">
        <w:t xml:space="preserve"> no Brasil, tornando o piso para o sucesso da estratégia mais baixo do que em mercados desenvolvidos.</w:t>
      </w:r>
    </w:p>
    <w:p w14:paraId="7FF0851A" w14:textId="77777777" w:rsidR="00535C87" w:rsidRPr="00535C87" w:rsidRDefault="00535C87" w:rsidP="00535C87">
      <w:r w:rsidRPr="00535C87">
        <w:t xml:space="preserve">O terceiro fator é o mecanismo de seleção do ISE B3, que opera essencialmente como um </w:t>
      </w:r>
      <w:proofErr w:type="spellStart"/>
      <w:r w:rsidRPr="00535C87">
        <w:t>screen</w:t>
      </w:r>
      <w:proofErr w:type="spellEnd"/>
      <w:r w:rsidRPr="00535C87">
        <w:t xml:space="preserve"> binário, admite ou não admite empresas no índice, e não como integração </w:t>
      </w:r>
      <w:r w:rsidRPr="00535C87">
        <w:lastRenderedPageBreak/>
        <w:t xml:space="preserve">contínua de informação ESG no processo de otimização. Pedersen, </w:t>
      </w:r>
      <w:proofErr w:type="spellStart"/>
      <w:r w:rsidRPr="00535C87">
        <w:t>Fitzgibbons</w:t>
      </w:r>
      <w:proofErr w:type="spellEnd"/>
      <w:r w:rsidRPr="00535C87">
        <w:t xml:space="preserve"> e </w:t>
      </w:r>
      <w:proofErr w:type="spellStart"/>
      <w:r w:rsidRPr="00535C87">
        <w:t>Pomorski</w:t>
      </w:r>
      <w:proofErr w:type="spellEnd"/>
      <w:r w:rsidRPr="00535C87">
        <w:t xml:space="preserve"> (2021) demonstram formalmente que essa modalidade de incorporação de ESG é estritamente dominada pela fronteira eficiente ESG construída por integração: investidores que excluem 10% ou 20% das piores ações ESG perdem oportunidades de hedge (via posições vendidas) e veem o conjunto de portfólios ótimos colapsar para uma fronteira inferior. Mais ainda, os autores reportam o resultado contraintuitivo de que investidores que aplicam </w:t>
      </w:r>
      <w:proofErr w:type="spellStart"/>
      <w:r w:rsidRPr="00535C87">
        <w:t>screens</w:t>
      </w:r>
      <w:proofErr w:type="spellEnd"/>
      <w:r w:rsidRPr="00535C87">
        <w:t xml:space="preserve"> podem terminar com escores ESG agregados inferiores aos de investidores não-restringidos, dado que estes podem alavancar posições compradas em ativos de alto ESG financiadas por posições vendidas em ativos de baixo ESG. A presente estratégia herda, por construção, todas as limitações desse mecanismo de </w:t>
      </w:r>
      <w:proofErr w:type="spellStart"/>
      <w:r w:rsidRPr="00535C87">
        <w:t>screening</w:t>
      </w:r>
      <w:proofErr w:type="spellEnd"/>
      <w:r w:rsidRPr="00535C87">
        <w:t>, dado que se ancora no universo binário do ISE B3.</w:t>
      </w:r>
    </w:p>
    <w:p w14:paraId="492F3885" w14:textId="77777777" w:rsidR="00535C87" w:rsidRPr="00535C87" w:rsidRDefault="00535C87" w:rsidP="00535C87">
      <w:r w:rsidRPr="00535C87">
        <w:t xml:space="preserve">O quarto fator são os custos implícitos do rebalanceamento anual e do turnover associado à estratégia fatorial, custos que o </w:t>
      </w:r>
      <w:proofErr w:type="spellStart"/>
      <w:r w:rsidRPr="00535C87">
        <w:t>backtest</w:t>
      </w:r>
      <w:proofErr w:type="spellEnd"/>
      <w:r w:rsidRPr="00535C87">
        <w:t xml:space="preserve"> deste trabalho não modela. Carhart (1997) demonstrou que custos de transação consomem boa parte do prêmio bruto associado a estratégias de momentum em fundos mútuos americanos: o autor estima impacto de aproximadamente 0,95% por transação completa sobre o valor de mercado, e mostra que, após controle por despesas e turnover, fundos que parecem seguir estratégias de momentum não obtêm retornos anormais positivos. Aplicada ao Brasil, onde os </w:t>
      </w:r>
      <w:proofErr w:type="spellStart"/>
      <w:r w:rsidRPr="00535C87">
        <w:t>bid-ask</w:t>
      </w:r>
      <w:proofErr w:type="spellEnd"/>
      <w:r w:rsidRPr="00535C87">
        <w:t xml:space="preserve"> spreads são tipicamente mais amplos e a liquidez é mais escassa, a deterioração de desempenho associada ao turnover anual da Factor ESG tende a ser proporcionalmente maior do que a documentada por Carhart, sugerindo que o desempenho relativo da estratégia, líquido de custos realistas, seria ainda mais desfavorável do que o reportado.</w:t>
      </w:r>
    </w:p>
    <w:p w14:paraId="33982CBF" w14:textId="77777777" w:rsidR="00535C87" w:rsidRPr="00535C87" w:rsidRDefault="00535C87" w:rsidP="00535C87">
      <w:r w:rsidRPr="00535C87">
        <w:t xml:space="preserve">A esses fatores soma-se uma quinta consideração interpretativa, ancorada em Ang et al. (2006): o fator de baixa volatilidade, o único, na desagregação não apresentada nestes dados mas mencionada no escopo do trabalho, que parece ter desempenho competitivo com o mercado, é justamente aquele cuja anomalia foi documentada de forma mais robusta na literatura, com diferenças de retorno ajustado ao risco superiores a 1% ao mês entre quintis extremos de volatilidade idiossincrática nos Estados Unidos, robustas a controles por tamanho, valor, momentum e liquidez. Carteiras ESG tendem a apresentar exposição implícita ao fator de baixa volatilidade, dada sua concentração em empresas grandes e estáveis. Esse fato sugere que parcela do prêmio observado em carteiras ESG na literatura internacional é, na prática, absorvido pela exposição ao fator de baixa volatilidade, conforme já antecipava o arcabouço teórico de Pedersen, </w:t>
      </w:r>
      <w:proofErr w:type="spellStart"/>
      <w:r w:rsidRPr="00535C87">
        <w:t>Fitzgibbons</w:t>
      </w:r>
      <w:proofErr w:type="spellEnd"/>
      <w:r w:rsidRPr="00535C87">
        <w:t xml:space="preserve"> e </w:t>
      </w:r>
      <w:proofErr w:type="spellStart"/>
      <w:r w:rsidRPr="00535C87">
        <w:t>Pomorski</w:t>
      </w:r>
      <w:proofErr w:type="spellEnd"/>
      <w:r w:rsidRPr="00535C87">
        <w:t xml:space="preserve"> (2021).</w:t>
      </w:r>
    </w:p>
    <w:p w14:paraId="6FF95A79" w14:textId="77777777" w:rsidR="00535C87" w:rsidRPr="00535C87" w:rsidRDefault="00535C87" w:rsidP="00535C87">
      <w:r w:rsidRPr="00535C87">
        <w:t>6.4 Limitações do estudo</w:t>
      </w:r>
    </w:p>
    <w:p w14:paraId="4C10D1E9" w14:textId="77777777" w:rsidR="00535C87" w:rsidRPr="00535C87" w:rsidRDefault="00535C87" w:rsidP="00535C87">
      <w:r w:rsidRPr="00535C87">
        <w:t>A interpretação dos resultados deve ser circunscrita por um conjunto de limitações metodológicas que, em conjunto, recomendam parcimônia nas inferências.</w:t>
      </w:r>
    </w:p>
    <w:p w14:paraId="3C51BE86" w14:textId="77777777" w:rsidR="00535C87" w:rsidRPr="00535C87" w:rsidRDefault="00535C87" w:rsidP="00535C87">
      <w:r w:rsidRPr="00535C87">
        <w:t xml:space="preserve">A amostra de dez anos, embora cubra três episódios distintos de estresse, é estatisticamente modesta para inferências sobre prêmios fatoriais, especialmente em mercados com alta volatilidade </w:t>
      </w:r>
      <w:proofErr w:type="gramStart"/>
      <w:r w:rsidRPr="00535C87">
        <w:t>idiossincrática</w:t>
      </w:r>
      <w:proofErr w:type="gramEnd"/>
      <w:r w:rsidRPr="00535C87">
        <w:t xml:space="preserve"> como o brasileiro. Os testes formais de significância estatística da diferença de Sharpe, como o procedimento de </w:t>
      </w:r>
      <w:proofErr w:type="spellStart"/>
      <w:r w:rsidRPr="00535C87">
        <w:t>Memmel</w:t>
      </w:r>
      <w:proofErr w:type="spellEnd"/>
      <w:r w:rsidRPr="00535C87">
        <w:t xml:space="preserve"> (2003) ou os testes robustos de </w:t>
      </w:r>
      <w:proofErr w:type="spellStart"/>
      <w:r w:rsidRPr="00535C87">
        <w:t>Ledoit</w:t>
      </w:r>
      <w:proofErr w:type="spellEnd"/>
      <w:r w:rsidRPr="00535C87">
        <w:t xml:space="preserve"> e Wolf (2008), não foram conduzidos, o que impede afirmação rigorosa sobre a magnitude da rejeição de H₁. O </w:t>
      </w:r>
      <w:proofErr w:type="spellStart"/>
      <w:r w:rsidRPr="00535C87">
        <w:t>backtest</w:t>
      </w:r>
      <w:proofErr w:type="spellEnd"/>
      <w:r w:rsidRPr="00535C87">
        <w:t xml:space="preserve"> assume rebalanceamento anual a preços de fechamento e ponderação igual, ignorando custos de </w:t>
      </w:r>
      <w:r w:rsidRPr="00535C87">
        <w:lastRenderedPageBreak/>
        <w:t xml:space="preserve">transação, </w:t>
      </w:r>
      <w:proofErr w:type="spellStart"/>
      <w:r w:rsidRPr="00535C87">
        <w:t>bid-ask</w:t>
      </w:r>
      <w:proofErr w:type="spellEnd"/>
      <w:r w:rsidRPr="00535C87">
        <w:t xml:space="preserve"> spreads, impacto de mercado e taxas de administração, limitações que, conforme demonstrado por Carhart (1997), tendem a operar contra estratégias com turnover sistemático. A composição do ISE B3 utilizada emprega a carteira teórica vigente em cada janela anual, o que mitiga vieses de sobrevivência sem, contudo, eliminá-los completamente. Não foi conduzida regressão multifatorial completa no modelo Fama-</w:t>
      </w:r>
      <w:proofErr w:type="spellStart"/>
      <w:r w:rsidRPr="00535C87">
        <w:t>French</w:t>
      </w:r>
      <w:proofErr w:type="spellEnd"/>
      <w:r w:rsidRPr="00535C87">
        <w:t xml:space="preserve"> de cinco fatores acrescido de Carhart (1997), o que limita a precisão da decomposição do alfa entre exposição fatorial e prêmio ESG residual. Por fim, a estratégia é </w:t>
      </w:r>
      <w:proofErr w:type="spellStart"/>
      <w:r w:rsidRPr="00535C87">
        <w:t>long-only</w:t>
      </w:r>
      <w:proofErr w:type="spellEnd"/>
      <w:r w:rsidRPr="00535C87">
        <w:t xml:space="preserve"> e não testa portfólios </w:t>
      </w:r>
      <w:proofErr w:type="spellStart"/>
      <w:r w:rsidRPr="00535C87">
        <w:t>long</w:t>
      </w:r>
      <w:proofErr w:type="spellEnd"/>
      <w:r w:rsidRPr="00535C87">
        <w:t xml:space="preserve">-short, configuração na qual os prêmios fatoriais tendem a se manifestar com maior nitidez, conforme implícito no arcabouço de Pedersen, </w:t>
      </w:r>
      <w:proofErr w:type="spellStart"/>
      <w:r w:rsidRPr="00535C87">
        <w:t>Fitzgibbons</w:t>
      </w:r>
      <w:proofErr w:type="spellEnd"/>
      <w:r w:rsidRPr="00535C87">
        <w:t xml:space="preserve"> e </w:t>
      </w:r>
      <w:proofErr w:type="spellStart"/>
      <w:r w:rsidRPr="00535C87">
        <w:t>Pomorski</w:t>
      </w:r>
      <w:proofErr w:type="spellEnd"/>
      <w:r w:rsidRPr="00535C87">
        <w:t xml:space="preserve"> (2021), no qual a possibilidade de vender ações de baixo ESG é parte essencial da construção da fronteira eficiente.</w:t>
      </w:r>
    </w:p>
    <w:p w14:paraId="2706DD38" w14:textId="77777777" w:rsidR="00535C87" w:rsidRPr="00535C87" w:rsidRDefault="00535C87" w:rsidP="00535C87">
      <w:r w:rsidRPr="00535C87">
        <w:t>6.5 Implicações e sugestões para pesquisas futuras</w:t>
      </w:r>
    </w:p>
    <w:p w14:paraId="4D616C35" w14:textId="77777777" w:rsidR="00535C87" w:rsidRPr="00535C87" w:rsidRDefault="00535C87" w:rsidP="00535C87">
      <w:r w:rsidRPr="00535C87">
        <w:t xml:space="preserve">Para o investidor brasileiro restringido por mandato a empresas com perfil ESG, os resultados oferecem implicação prática clara: a adoção de uma estratégia fatorial sistemática sobre o universo do ISE B3 elevou substancialmente o retorno ajustado ao risco em relação à exposição passiva ao próprio índice de sustentabilidade, Sharpe da Factor ESG (0,25) é cinco vezes superior ao do ISE B3 passivo (0,05), ainda que a estratégia não tenha superado o mercado amplo. Em outros termos, dentro da restrição ESG, o </w:t>
      </w:r>
      <w:proofErr w:type="spellStart"/>
      <w:r w:rsidRPr="00535C87">
        <w:t>factor</w:t>
      </w:r>
      <w:proofErr w:type="spellEnd"/>
      <w:r w:rsidRPr="00535C87">
        <w:t xml:space="preserve"> </w:t>
      </w:r>
      <w:proofErr w:type="spellStart"/>
      <w:r w:rsidRPr="00535C87">
        <w:t>investing</w:t>
      </w:r>
      <w:proofErr w:type="spellEnd"/>
      <w:r w:rsidRPr="00535C87">
        <w:t xml:space="preserve"> parece ser instrumento competente de extração de prêmio, achado coerente com a lógica de integração defendida por Pedersen, </w:t>
      </w:r>
      <w:proofErr w:type="spellStart"/>
      <w:r w:rsidRPr="00535C87">
        <w:t>Fitzgibbons</w:t>
      </w:r>
      <w:proofErr w:type="spellEnd"/>
      <w:r w:rsidRPr="00535C87">
        <w:t xml:space="preserve"> e </w:t>
      </w:r>
      <w:proofErr w:type="spellStart"/>
      <w:r w:rsidRPr="00535C87">
        <w:t>Pomorski</w:t>
      </w:r>
      <w:proofErr w:type="spellEnd"/>
      <w:r w:rsidRPr="00535C87">
        <w:t xml:space="preserve"> (2021). Para o investidor não restringido por mandato ESG, contudo, o resultado sugere que a alocação no IBrX-100, ou em estratégias fatoriais sobre o universo amplo, deve permanecer como caso-base contra o qual quaisquer alternativas devem ser comparadas.</w:t>
      </w:r>
    </w:p>
    <w:p w14:paraId="2D81164E" w14:textId="77777777" w:rsidR="00535C87" w:rsidRPr="00535C87" w:rsidRDefault="00535C87" w:rsidP="00535C87">
      <w:r w:rsidRPr="00535C87">
        <w:t xml:space="preserve">Em termos de agenda de pesquisa, quatro frentes parecem especialmente promissoras. A primeira é a extensão da análise para estratégias </w:t>
      </w:r>
      <w:proofErr w:type="spellStart"/>
      <w:r w:rsidRPr="00535C87">
        <w:t>long</w:t>
      </w:r>
      <w:proofErr w:type="spellEnd"/>
      <w:r w:rsidRPr="00535C87">
        <w:t xml:space="preserve">-short construídas sobre os mesmos fatores, tanto no universo ESG quanto no universo amplo, permitindo isolar com mais clareza o prêmio fatorial líquido da exposição ao mercado e replicando, no Brasil, o desenho metodológico de Pedersen, </w:t>
      </w:r>
      <w:proofErr w:type="spellStart"/>
      <w:r w:rsidRPr="00535C87">
        <w:t>Fitzgibbons</w:t>
      </w:r>
      <w:proofErr w:type="spellEnd"/>
      <w:r w:rsidRPr="00535C87">
        <w:t xml:space="preserve"> e </w:t>
      </w:r>
      <w:proofErr w:type="spellStart"/>
      <w:r w:rsidRPr="00535C87">
        <w:t>Pomorski</w:t>
      </w:r>
      <w:proofErr w:type="spellEnd"/>
      <w:r w:rsidRPr="00535C87">
        <w:t xml:space="preserve"> (2021). A segunda é a estimação formal dos modelos Fama-</w:t>
      </w:r>
      <w:proofErr w:type="spellStart"/>
      <w:r w:rsidRPr="00535C87">
        <w:t>French</w:t>
      </w:r>
      <w:proofErr w:type="spellEnd"/>
      <w:r w:rsidRPr="00535C87">
        <w:t xml:space="preserve"> de três e cinco fatores e do modelo de quatro fatores de Carhart (1997), com inclusão eventual do fator de baixa volatilidade nos moldes de Ang et al. (2006), para decompor o desempenho da Factor ESG e identificar a fonte de seu retorno relativo, em particular, para testar a hipótese de que o desempenho diferencial é absorvido pelo fator RMW de lucratividade, dada a correlação entre boas práticas de governança e elevada lucratividade operacional documentada por Fama e </w:t>
      </w:r>
      <w:proofErr w:type="spellStart"/>
      <w:r w:rsidRPr="00535C87">
        <w:t>French</w:t>
      </w:r>
      <w:proofErr w:type="spellEnd"/>
      <w:r w:rsidRPr="00535C87">
        <w:t xml:space="preserve"> (2015). A terceira frente, mais ambiciosa, é a substituição do critério binário de pertencimento ao ISE B3 por scores ESG contínuos provenientes de provedores como MSCI, </w:t>
      </w:r>
      <w:proofErr w:type="spellStart"/>
      <w:r w:rsidRPr="00535C87">
        <w:t>Refinitiv</w:t>
      </w:r>
      <w:proofErr w:type="spellEnd"/>
      <w:r w:rsidRPr="00535C87">
        <w:t xml:space="preserve"> ou Bloomberg, permitindo testar empiricamente a fronteira eficiente ESG no contexto brasileiro e diferenciar os efeitos das três dimensões, ambiental, social e governança, sobre o desempenho ajustado ao risco, tal como sugerido pelos achados desagregados de Friede, Busch e </w:t>
      </w:r>
      <w:proofErr w:type="spellStart"/>
      <w:r w:rsidRPr="00535C87">
        <w:t>Bassen</w:t>
      </w:r>
      <w:proofErr w:type="spellEnd"/>
      <w:r w:rsidRPr="00535C87">
        <w:t xml:space="preserve"> (2015), segundo os quais o pilar de governança apresenta a maior proporção de relações positivas com performance financeira, enquanto o pilar ambiental oferece a relação mais consistentemente favorável. A quarta frente é a replicação do experimento de Lins, </w:t>
      </w:r>
      <w:proofErr w:type="spellStart"/>
      <w:r w:rsidRPr="00535C87">
        <w:t>Servaes</w:t>
      </w:r>
      <w:proofErr w:type="spellEnd"/>
      <w:r w:rsidRPr="00535C87">
        <w:t xml:space="preserve"> e Tamayo (2017) em subperíodos específicos de estresse, recessão fiscal de 2015–2016, choque pandêmico de março–abril de 2020, ciclo de aperto monetário de 2021–2022, com construção de portfólios </w:t>
      </w:r>
      <w:proofErr w:type="spellStart"/>
      <w:r w:rsidRPr="00535C87">
        <w:lastRenderedPageBreak/>
        <w:t>long</w:t>
      </w:r>
      <w:proofErr w:type="spellEnd"/>
      <w:r w:rsidRPr="00535C87">
        <w:t xml:space="preserve">-short por intensidade de critérios ESG e testes formais de diferença de média no recorte de janela curta, de modo a verificar se o efeito de proteção de cauda associado ao capital social, ausente na agregação </w:t>
      </w:r>
      <w:proofErr w:type="spellStart"/>
      <w:r w:rsidRPr="00535C87">
        <w:t>decadal</w:t>
      </w:r>
      <w:proofErr w:type="spellEnd"/>
      <w:r w:rsidRPr="00535C87">
        <w:t xml:space="preserve"> deste trabalho, pode ser identificado em janelas mais estreitas e episodicamente sensíveis ao choque de confiança.</w:t>
      </w:r>
    </w:p>
    <w:p w14:paraId="4C417B23" w14:textId="77777777" w:rsidR="00535C87" w:rsidRPr="00535C87" w:rsidRDefault="00535C87" w:rsidP="00535C87">
      <w:r w:rsidRPr="00535C87">
        <w:t xml:space="preserve">Em última análise, o presente trabalho sugere que a integração entre critérios ESG e </w:t>
      </w:r>
      <w:proofErr w:type="spellStart"/>
      <w:r w:rsidRPr="00535C87">
        <w:t>factor</w:t>
      </w:r>
      <w:proofErr w:type="spellEnd"/>
      <w:r w:rsidRPr="00535C87">
        <w:t xml:space="preserve"> </w:t>
      </w:r>
      <w:proofErr w:type="spellStart"/>
      <w:r w:rsidRPr="00535C87">
        <w:t>investing</w:t>
      </w:r>
      <w:proofErr w:type="spellEnd"/>
      <w:r w:rsidRPr="00535C87">
        <w:t xml:space="preserve"> no mercado brasileiro é tecnicamente viável e produz resultados informativos, mas que o prêmio ESG no Brasil, no decênio examinado, não se manifestou como excesso de retorno robusto sobre o mercado amplo, em desalinhamento parcial com a evidência internacional sintetizada por Friede, Busch e </w:t>
      </w:r>
      <w:proofErr w:type="spellStart"/>
      <w:r w:rsidRPr="00535C87">
        <w:t>Bassen</w:t>
      </w:r>
      <w:proofErr w:type="spellEnd"/>
      <w:r w:rsidRPr="00535C87">
        <w:t xml:space="preserve"> (2015) e em alinhamento parcial com a previsão de equilíbrio de </w:t>
      </w:r>
      <w:proofErr w:type="spellStart"/>
      <w:r w:rsidRPr="00535C87">
        <w:t>Pástor</w:t>
      </w:r>
      <w:proofErr w:type="spellEnd"/>
      <w:r w:rsidRPr="00535C87">
        <w:t xml:space="preserve">, </w:t>
      </w:r>
      <w:proofErr w:type="spellStart"/>
      <w:r w:rsidRPr="00535C87">
        <w:t>Stambaugh</w:t>
      </w:r>
      <w:proofErr w:type="spellEnd"/>
      <w:r w:rsidRPr="00535C87">
        <w:t xml:space="preserve"> e Taylor (2021). O caminho de desenvolvimento mais produtivo do tema parece passar menos pela validação de carteiras ESG passivas, cuja inferioridade relativa ao mercado amplo é confirmada tanto por Rezende, Nunes e Portela (2008) quanto pelos resultados deste trabalho, e mais pela construção de modelos integrados que tratem o ESG como dimensão contínua de risco e preferência, e não como filtro binário de elegibilidade.</w:t>
      </w:r>
    </w:p>
    <w:p w14:paraId="51C3CE19" w14:textId="77777777" w:rsidR="00ED0467" w:rsidRDefault="00ED0467"/>
    <w:sectPr w:rsidR="00ED046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E326C6"/>
    <w:multiLevelType w:val="multilevel"/>
    <w:tmpl w:val="7E48024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62632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29F7"/>
    <w:rsid w:val="001621E4"/>
    <w:rsid w:val="001B7EA1"/>
    <w:rsid w:val="00274974"/>
    <w:rsid w:val="00371ADB"/>
    <w:rsid w:val="003929F7"/>
    <w:rsid w:val="00535C87"/>
    <w:rsid w:val="00546188"/>
    <w:rsid w:val="00ED046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ED817"/>
  <w15:chartTrackingRefBased/>
  <w15:docId w15:val="{3FE40552-92E5-4E79-A4F7-0BA9AA7C3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3929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3929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3929F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3929F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3929F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3929F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3929F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3929F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3929F7"/>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3929F7"/>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3929F7"/>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3929F7"/>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3929F7"/>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3929F7"/>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3929F7"/>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3929F7"/>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3929F7"/>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3929F7"/>
    <w:rPr>
      <w:rFonts w:eastAsiaTheme="majorEastAsia" w:cstheme="majorBidi"/>
      <w:color w:val="272727" w:themeColor="text1" w:themeTint="D8"/>
    </w:rPr>
  </w:style>
  <w:style w:type="paragraph" w:styleId="Ttulo">
    <w:name w:val="Title"/>
    <w:basedOn w:val="Normal"/>
    <w:next w:val="Normal"/>
    <w:link w:val="TtuloChar"/>
    <w:uiPriority w:val="10"/>
    <w:qFormat/>
    <w:rsid w:val="003929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3929F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3929F7"/>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3929F7"/>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3929F7"/>
    <w:pPr>
      <w:spacing w:before="160"/>
      <w:jc w:val="center"/>
    </w:pPr>
    <w:rPr>
      <w:i/>
      <w:iCs/>
      <w:color w:val="404040" w:themeColor="text1" w:themeTint="BF"/>
    </w:rPr>
  </w:style>
  <w:style w:type="character" w:customStyle="1" w:styleId="CitaoChar">
    <w:name w:val="Citação Char"/>
    <w:basedOn w:val="Fontepargpadro"/>
    <w:link w:val="Citao"/>
    <w:uiPriority w:val="29"/>
    <w:rsid w:val="003929F7"/>
    <w:rPr>
      <w:i/>
      <w:iCs/>
      <w:color w:val="404040" w:themeColor="text1" w:themeTint="BF"/>
    </w:rPr>
  </w:style>
  <w:style w:type="paragraph" w:styleId="PargrafodaLista">
    <w:name w:val="List Paragraph"/>
    <w:basedOn w:val="Normal"/>
    <w:uiPriority w:val="34"/>
    <w:qFormat/>
    <w:rsid w:val="003929F7"/>
    <w:pPr>
      <w:ind w:left="720"/>
      <w:contextualSpacing/>
    </w:pPr>
  </w:style>
  <w:style w:type="character" w:styleId="nfaseIntensa">
    <w:name w:val="Intense Emphasis"/>
    <w:basedOn w:val="Fontepargpadro"/>
    <w:uiPriority w:val="21"/>
    <w:qFormat/>
    <w:rsid w:val="003929F7"/>
    <w:rPr>
      <w:i/>
      <w:iCs/>
      <w:color w:val="0F4761" w:themeColor="accent1" w:themeShade="BF"/>
    </w:rPr>
  </w:style>
  <w:style w:type="paragraph" w:styleId="CitaoIntensa">
    <w:name w:val="Intense Quote"/>
    <w:basedOn w:val="Normal"/>
    <w:next w:val="Normal"/>
    <w:link w:val="CitaoIntensaChar"/>
    <w:uiPriority w:val="30"/>
    <w:qFormat/>
    <w:rsid w:val="003929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3929F7"/>
    <w:rPr>
      <w:i/>
      <w:iCs/>
      <w:color w:val="0F4761" w:themeColor="accent1" w:themeShade="BF"/>
    </w:rPr>
  </w:style>
  <w:style w:type="character" w:styleId="RefernciaIntensa">
    <w:name w:val="Intense Reference"/>
    <w:basedOn w:val="Fontepargpadro"/>
    <w:uiPriority w:val="32"/>
    <w:qFormat/>
    <w:rsid w:val="003929F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2878</Words>
  <Characters>16351</Characters>
  <Application>Microsoft Office Word</Application>
  <DocSecurity>0</DocSecurity>
  <Lines>244</Lines>
  <Paragraphs>28</Paragraphs>
  <ScaleCrop>false</ScaleCrop>
  <Company/>
  <LinksUpToDate>false</LinksUpToDate>
  <CharactersWithSpaces>19201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Diniz</dc:creator>
  <cp:keywords/>
  <dc:description/>
  <cp:lastModifiedBy>Rafael Diniz</cp:lastModifiedBy>
  <cp:revision>2</cp:revision>
  <dcterms:created xsi:type="dcterms:W3CDTF">2026-05-27T02:31:00Z</dcterms:created>
  <dcterms:modified xsi:type="dcterms:W3CDTF">2026-05-27T02:31:00Z</dcterms:modified>
</cp:coreProperties>
</file>