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aps/>
          <w:color w:val="1B3A6B"/>
          <w:sz w:val="30"/>
          <w:szCs w:val="30"/>
        </w:rPr>
        <w:t xml:space="preserve">UNIVERSIDAD EXTERNADO DE COLOMBIA</w:t>
      </w:r>
    </w:p>
    <w:p>
      <w:pPr>
        <w:spacing w:after="60"/>
        <w:jc w:val="center"/>
      </w:pPr>
      <w:r>
        <w:rPr>
          <w:rFonts w:ascii="Arial" w:cs="Arial" w:eastAsia="Arial" w:hAnsi="Arial"/>
          <w:color w:val="6B6B6B"/>
          <w:sz w:val="23"/>
          <w:szCs w:val="23"/>
        </w:rPr>
        <w:t xml:space="preserve">Facultad de Administración de Empresas</w:t>
      </w:r>
    </w:p>
    <w:p>
      <w:pPr>
        <w:spacing w:after="900"/>
        <w:jc w:val="center"/>
      </w:pPr>
      <w:r>
        <w:rPr>
          <w:rFonts w:ascii="Arial" w:cs="Arial" w:eastAsia="Arial" w:hAnsi="Arial"/>
          <w:color w:val="6B6B6B"/>
          <w:sz w:val="23"/>
          <w:szCs w:val="23"/>
        </w:rPr>
        <w:t xml:space="preserve">Marketing Analytics · Planeación de Medios</w:t>
      </w:r>
    </w:p>
    <w:p>
      <w:pPr>
        <w:pBdr>
          <w:top w:val="single" w:color="2E5F9A" w:sz="12"/>
          <w:bottom w:val="single" w:color="2E5F9A" w:sz="12"/>
        </w:pBdr>
        <w:spacing w:after="0"/>
        <w:jc w:val="center"/>
      </w:pPr>
      <w:r>
        <w:rPr>
          <w:sz w:val="4"/>
          <w:szCs w:val="4"/>
        </w:rPr>
        <w:t xml:space="preserve"/>
      </w:r>
    </w:p>
    <w:p>
      <w:pPr>
        <w:spacing w:after="40"/>
      </w:pPr>
      <w:r>
        <w:t xml:space="preserve"/>
      </w:r>
    </w:p>
    <w:p>
      <w:pPr>
        <w:spacing w:after="200"/>
        <w:jc w:val="center"/>
      </w:pPr>
      <w:r>
        <w:rPr>
          <w:rFonts w:ascii="Arial" w:cs="Arial" w:eastAsia="Arial" w:hAnsi="Arial"/>
          <w:b/>
          <w:bCs/>
          <w:color w:val="1B3A6B"/>
          <w:sz w:val="44"/>
          <w:szCs w:val="44"/>
        </w:rPr>
        <w:t xml:space="preserve">Modelamiento del Mix de Marketing para Subway Colombia</w:t>
      </w:r>
    </w:p>
    <w:p>
      <w:pPr>
        <w:spacing w:after="40"/>
        <w:jc w:val="center"/>
      </w:pPr>
      <w:r>
        <w:rPr>
          <w:rFonts w:ascii="Arial" w:cs="Arial" w:eastAsia="Arial" w:hAnsi="Arial"/>
          <w:i/>
          <w:iCs/>
          <w:color w:val="2E5F9A"/>
          <w:sz w:val="28"/>
          <w:szCs w:val="28"/>
        </w:rPr>
        <w:t xml:space="preserve">Análisis de Efectividad Publicitaria mediante Robyn y Google Trends</w:t>
      </w:r>
    </w:p>
    <w:p>
      <w:pPr>
        <w:spacing w:after="400"/>
      </w:pPr>
      <w:r>
        <w:t xml:space="preserve"/>
      </w:r>
    </w:p>
    <w:p>
      <w:pPr>
        <w:spacing w:after="100"/>
        <w:jc w:val="center"/>
      </w:pPr>
      <w:r>
        <w:rPr>
          <w:rFonts w:ascii="Arial" w:cs="Arial" w:eastAsia="Arial" w:hAnsi="Arial"/>
          <w:b/>
          <w:bCs/>
          <w:color w:val="1B3A6B"/>
          <w:sz w:val="24"/>
          <w:szCs w:val="24"/>
        </w:rPr>
        <w:t xml:space="preserve">Autores:</w:t>
      </w:r>
    </w:p>
    <w:p>
      <w:pPr>
        <w:spacing w:after="60"/>
        <w:jc w:val="center"/>
      </w:pPr>
      <w:r>
        <w:rPr>
          <w:rFonts w:ascii="Arial" w:cs="Arial" w:eastAsia="Arial" w:hAnsi="Arial"/>
          <w:color w:val="3A3A3A"/>
          <w:sz w:val="24"/>
          <w:szCs w:val="24"/>
        </w:rPr>
        <w:t xml:space="preserve">Juan Sarmiento</w:t>
      </w:r>
    </w:p>
    <w:p>
      <w:pPr>
        <w:spacing w:after="300"/>
        <w:jc w:val="center"/>
      </w:pPr>
      <w:r>
        <w:rPr>
          <w:rFonts w:ascii="Arial" w:cs="Arial" w:eastAsia="Arial" w:hAnsi="Arial"/>
          <w:color w:val="3A3A3A"/>
          <w:sz w:val="24"/>
          <w:szCs w:val="24"/>
        </w:rPr>
        <w:t xml:space="preserve">Rafael Orozco</w:t>
      </w:r>
    </w:p>
    <w:p>
      <w:pPr>
        <w:spacing w:after="80"/>
        <w:jc w:val="center"/>
      </w:pPr>
      <w:r>
        <w:rPr>
          <w:rFonts w:ascii="Arial" w:cs="Arial" w:eastAsia="Arial" w:hAnsi="Arial"/>
          <w:b/>
          <w:bCs/>
          <w:color w:val="1B3A6B"/>
          <w:sz w:val="22"/>
          <w:szCs w:val="22"/>
        </w:rPr>
        <w:t xml:space="preserve">Período analizado:</w:t>
      </w:r>
    </w:p>
    <w:p>
      <w:pPr>
        <w:spacing w:after="80"/>
        <w:jc w:val="center"/>
      </w:pPr>
      <w:r>
        <w:rPr>
          <w:rFonts w:ascii="Arial" w:cs="Arial" w:eastAsia="Arial" w:hAnsi="Arial"/>
          <w:color w:val="3A3A3A"/>
          <w:sz w:val="22"/>
          <w:szCs w:val="22"/>
        </w:rPr>
        <w:t xml:space="preserve">Enero 2025 – Marzo 2026</w:t>
      </w:r>
    </w:p>
    <w:p>
      <w:pPr>
        <w:spacing w:after="80"/>
        <w:jc w:val="center"/>
      </w:pPr>
      <w:r>
        <w:rPr>
          <w:rFonts w:ascii="Arial" w:cs="Arial" w:eastAsia="Arial" w:hAnsi="Arial"/>
          <w:color w:val="3A3A3A"/>
          <w:sz w:val="22"/>
          <w:szCs w:val="22"/>
        </w:rPr>
        <w:t xml:space="preserve">Bogotá D.C., 2026</w:t>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Resumen Ejecutivo</w:t>
      </w:r>
    </w:p>
    <w:p>
      <w:pPr>
        <w:spacing w:after="160" w:line="280"/>
        <w:jc w:val="both"/>
      </w:pPr>
      <w:r>
        <w:rPr>
          <w:rFonts w:ascii="Arial" w:cs="Arial" w:eastAsia="Arial" w:hAnsi="Arial"/>
          <w:color w:val="3A3A3A"/>
          <w:sz w:val="22"/>
          <w:szCs w:val="22"/>
        </w:rPr>
        <w:t xml:space="preserve">Este trabajo aplica </w:t>
      </w:r>
      <w:r>
        <w:rPr>
          <w:rFonts w:ascii="Arial" w:cs="Arial" w:eastAsia="Arial" w:hAnsi="Arial"/>
          <w:b/>
          <w:bCs/>
          <w:color w:val="3A3A3A"/>
          <w:sz w:val="22"/>
          <w:szCs w:val="22"/>
        </w:rPr>
        <w:t xml:space="preserve">Robyn</w:t>
      </w:r>
      <w:r>
        <w:rPr>
          <w:rFonts w:ascii="Arial" w:cs="Arial" w:eastAsia="Arial" w:hAnsi="Arial"/>
          <w:color w:val="3A3A3A"/>
          <w:sz w:val="22"/>
          <w:szCs w:val="22"/>
        </w:rPr>
        <w:t xml:space="preserve">, la herramienta de modelamiento del mix de marketing (MMM) de código abierto desarrollada por Meta, al caso de </w:t>
      </w:r>
      <w:r>
        <w:rPr>
          <w:rFonts w:ascii="Arial" w:cs="Arial" w:eastAsia="Arial" w:hAnsi="Arial"/>
          <w:b/>
          <w:bCs/>
          <w:color w:val="3A3A3A"/>
          <w:sz w:val="22"/>
          <w:szCs w:val="22"/>
        </w:rPr>
        <w:t xml:space="preserve">Subway Colombia</w:t>
      </w:r>
      <w:r>
        <w:rPr>
          <w:rFonts w:ascii="Arial" w:cs="Arial" w:eastAsia="Arial" w:hAnsi="Arial"/>
          <w:color w:val="3A3A3A"/>
          <w:sz w:val="22"/>
          <w:szCs w:val="22"/>
        </w:rPr>
        <w:t xml:space="preserve"> durante el período enero 2025 – marzo 2026. Se utilizó el índice semanal de </w:t>
      </w:r>
      <w:r>
        <w:rPr>
          <w:rFonts w:ascii="Arial" w:cs="Arial" w:eastAsia="Arial" w:hAnsi="Arial"/>
          <w:b/>
          <w:bCs/>
          <w:color w:val="3A3A3A"/>
          <w:sz w:val="22"/>
          <w:szCs w:val="22"/>
        </w:rPr>
        <w:t xml:space="preserve">Google Trends</w:t>
      </w:r>
      <w:r>
        <w:rPr>
          <w:rFonts w:ascii="Arial" w:cs="Arial" w:eastAsia="Arial" w:hAnsi="Arial"/>
          <w:color w:val="3A3A3A"/>
          <w:sz w:val="22"/>
          <w:szCs w:val="22"/>
        </w:rPr>
        <w:t xml:space="preserve"> para la consulta "Subway Colombia" como variable dependiente (proxy del interés y demanda de la marca), junto con las inversiones semanales en ocho canales publicitarios como variables de medios. El modelo seleccionado del frente de Pareto alcanzó un </w:t>
      </w:r>
      <w:r>
        <w:rPr>
          <w:rFonts w:ascii="Arial" w:cs="Arial" w:eastAsia="Arial" w:hAnsi="Arial"/>
          <w:b/>
          <w:bCs/>
          <w:color w:val="3A3A3A"/>
          <w:sz w:val="22"/>
          <w:szCs w:val="22"/>
        </w:rPr>
        <w:t xml:space="preserve">R² ajustado de 0,834</w:t>
      </w:r>
      <w:r>
        <w:rPr>
          <w:rFonts w:ascii="Arial" w:cs="Arial" w:eastAsia="Arial" w:hAnsi="Arial"/>
          <w:color w:val="3A3A3A"/>
          <w:sz w:val="22"/>
          <w:szCs w:val="22"/>
        </w:rPr>
        <w:t xml:space="preserve">, con NRMSE de 0,172 y DECOMP.RSSD de 0,089, indicadores que sitúan el ajuste dentro de rangos aceptables para la duración de la serie analizada.</w:t>
      </w:r>
    </w:p>
    <w:p>
      <w:pPr>
        <w:spacing w:after="100"/>
      </w:pPr>
      <w:r>
        <w:t xml:space="preserve"/>
      </w:r>
    </w:p>
    <w:p>
      <w:pPr>
        <w:spacing w:after="160" w:line="280"/>
        <w:jc w:val="both"/>
      </w:pPr>
      <w:r>
        <w:rPr>
          <w:rFonts w:ascii="Arial" w:cs="Arial" w:eastAsia="Arial" w:hAnsi="Arial"/>
          <w:color w:val="3A3A3A"/>
          <w:sz w:val="22"/>
          <w:szCs w:val="22"/>
        </w:rPr>
        <w:t xml:space="preserve">Los principales hallazgos del modelo son cuatro. Primero, la </w:t>
      </w:r>
      <w:r>
        <w:rPr>
          <w:rFonts w:ascii="Arial" w:cs="Arial" w:eastAsia="Arial" w:hAnsi="Arial"/>
          <w:b/>
          <w:bCs/>
          <w:color w:val="3A3A3A"/>
          <w:sz w:val="22"/>
          <w:szCs w:val="22"/>
        </w:rPr>
        <w:t xml:space="preserve">línea base no atribuible a medios pagos representa el 52,3% del interés semanal</w:t>
      </w:r>
      <w:r>
        <w:rPr>
          <w:rFonts w:ascii="Arial" w:cs="Arial" w:eastAsia="Arial" w:hAnsi="Arial"/>
          <w:color w:val="3A3A3A"/>
          <w:sz w:val="22"/>
          <w:szCs w:val="22"/>
        </w:rPr>
        <w:t xml:space="preserve"> de Subway en Google Trends, lo cual indica que la marca sostiene una demanda orgánica relevante incluso sin presión publicitaria, aunque su comportamiento es decreciente en la segunda mitad del período. Segundo, la </w:t>
      </w:r>
      <w:r>
        <w:rPr>
          <w:rFonts w:ascii="Arial" w:cs="Arial" w:eastAsia="Arial" w:hAnsi="Arial"/>
          <w:b/>
          <w:bCs/>
          <w:color w:val="3A3A3A"/>
          <w:sz w:val="22"/>
          <w:szCs w:val="22"/>
        </w:rPr>
        <w:t xml:space="preserve">TV Nacional es el canal de mayor contribución absoluta (17,8%)</w:t>
      </w:r>
      <w:r>
        <w:rPr>
          <w:rFonts w:ascii="Arial" w:cs="Arial" w:eastAsia="Arial" w:hAnsi="Arial"/>
          <w:color w:val="3A3A3A"/>
          <w:sz w:val="22"/>
          <w:szCs w:val="22"/>
        </w:rPr>
        <w:t xml:space="preserve">, pero también uno de los más saturados: el modelo estima que el 71% de su potencial de respuesta ya fue capturado en el período, con rendimientos decrecientes marcados a partir de ciertas semanas de alta inversión. Tercero, los </w:t>
      </w:r>
      <w:r>
        <w:rPr>
          <w:rFonts w:ascii="Arial" w:cs="Arial" w:eastAsia="Arial" w:hAnsi="Arial"/>
          <w:b/>
          <w:bCs/>
          <w:color w:val="3A3A3A"/>
          <w:sz w:val="22"/>
          <w:szCs w:val="22"/>
        </w:rPr>
        <w:t xml:space="preserve">canales digitales muestran el mayor retorno por peso invertido</w:t>
      </w:r>
      <w:r>
        <w:rPr>
          <w:rFonts w:ascii="Arial" w:cs="Arial" w:eastAsia="Arial" w:hAnsi="Arial"/>
          <w:color w:val="3A3A3A"/>
          <w:sz w:val="22"/>
          <w:szCs w:val="22"/>
        </w:rPr>
        <w:t xml:space="preserve"> (Facebook Ads: 4,82 unidades de índice por millón COP; YouTube: 3,71) pero representan apenas el 4,5% de la inversión total, lo que los convierte en los canales más subaprovechados del mix. Cuarto, el </w:t>
      </w:r>
      <w:r>
        <w:rPr>
          <w:rFonts w:ascii="Arial" w:cs="Arial" w:eastAsia="Arial" w:hAnsi="Arial"/>
          <w:b/>
          <w:bCs/>
          <w:color w:val="3A3A3A"/>
          <w:sz w:val="22"/>
          <w:szCs w:val="22"/>
        </w:rPr>
        <w:t xml:space="preserve">optimizador de presupuesto de Robyn</w:t>
      </w:r>
      <w:r>
        <w:rPr>
          <w:rFonts w:ascii="Arial" w:cs="Arial" w:eastAsia="Arial" w:hAnsi="Arial"/>
          <w:color w:val="3A3A3A"/>
          <w:sz w:val="22"/>
          <w:szCs w:val="22"/>
        </w:rPr>
        <w:t xml:space="preserve"> sugiere que manteniendo el mismo nivel de gasto total, una reasignación hacia canales digitales y TV Suscripción generaría un incremento estimado del </w:t>
      </w:r>
      <w:r>
        <w:rPr>
          <w:rFonts w:ascii="Arial" w:cs="Arial" w:eastAsia="Arial" w:hAnsi="Arial"/>
          <w:b/>
          <w:bCs/>
          <w:color w:val="3A3A3A"/>
          <w:sz w:val="22"/>
          <w:szCs w:val="22"/>
        </w:rPr>
        <w:t xml:space="preserve">23,4%</w:t>
      </w:r>
      <w:r>
        <w:rPr>
          <w:rFonts w:ascii="Arial" w:cs="Arial" w:eastAsia="Arial" w:hAnsi="Arial"/>
          <w:color w:val="3A3A3A"/>
          <w:sz w:val="22"/>
          <w:szCs w:val="22"/>
        </w:rPr>
        <w:t xml:space="preserve"> en el índice promedio semanal de Google Trends.</w:t>
      </w:r>
    </w:p>
    <w:p>
      <w:pPr>
        <w:spacing w:after="100"/>
      </w:pPr>
      <w:r>
        <w:t xml:space="preserve"/>
      </w:r>
    </w:p>
    <w:p>
      <w:pPr>
        <w:spacing w:after="160" w:line="280"/>
        <w:jc w:val="both"/>
      </w:pPr>
      <w:r>
        <w:rPr>
          <w:rFonts w:ascii="Arial" w:cs="Arial" w:eastAsia="Arial" w:hAnsi="Arial"/>
          <w:color w:val="3A3A3A"/>
          <w:sz w:val="22"/>
          <w:szCs w:val="22"/>
        </w:rPr>
        <w:t xml:space="preserve">Las recomendaciones derivadas del modelo apuntan a tres movimientos prioritarios: (1) reducir la sobreinversión en Publicidad Exterior y TV Nacional, que operan cerca del punto de saturación; (2) redirigir al menos el 28% del presupuesto hacia Facebook Ads y YouTube, donde la curva de respuesta se encuentra en la zona de mayores rendimientos; y (3) consolidar una presencia continua en lugar de oleadas de inversión, dada la velocidad de decaimiento publicitario (adstock) registrada por el modelo.</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1. Introducción</w:t>
      </w:r>
    </w:p>
    <w:p>
      <w:pPr>
        <w:spacing w:after="160" w:line="280"/>
        <w:jc w:val="both"/>
      </w:pPr>
      <w:r>
        <w:rPr>
          <w:rFonts w:ascii="Arial" w:cs="Arial" w:eastAsia="Arial" w:hAnsi="Arial"/>
          <w:color w:val="3A3A3A"/>
          <w:sz w:val="22"/>
          <w:szCs w:val="22"/>
        </w:rPr>
        <w:t xml:space="preserve">Uno de los problemas más persistentes en la gestión de marcas comerciales es saber, con precisión razonable, cuánto está generando cada canal publicitario. Un área de TV, una campaña de exterior o una inversión en Facebook producen efectos que se superponen en el tiempo, que interactúan entre sí y que compiten con factores exógenos como la estacionalidad, las condiciones económicas y el comportamiento del consumidor. Sin una herramienta analítica que diferencie estos efectos, las decisiones de inversión se basan principalmente en la intuición o en métricas de corto plazo que no capturan el impacto completo de cada canal.</w:t>
      </w:r>
    </w:p>
    <w:p>
      <w:pPr>
        <w:spacing w:after="160" w:line="280"/>
        <w:jc w:val="both"/>
      </w:pPr>
      <w:r>
        <w:rPr>
          <w:rFonts w:ascii="Arial" w:cs="Arial" w:eastAsia="Arial" w:hAnsi="Arial"/>
          <w:color w:val="3A3A3A"/>
          <w:sz w:val="22"/>
          <w:szCs w:val="22"/>
        </w:rPr>
        <w:t xml:space="preserve">Este trabajo aborda ese problema en el contexto de </w:t>
      </w:r>
      <w:r>
        <w:rPr>
          <w:rFonts w:ascii="Arial" w:cs="Arial" w:eastAsia="Arial" w:hAnsi="Arial"/>
          <w:b/>
          <w:bCs/>
          <w:color w:val="3A3A3A"/>
          <w:sz w:val="22"/>
          <w:szCs w:val="22"/>
        </w:rPr>
        <w:t xml:space="preserve">Subway Colombia</w:t>
      </w:r>
      <w:r>
        <w:rPr>
          <w:rFonts w:ascii="Arial" w:cs="Arial" w:eastAsia="Arial" w:hAnsi="Arial"/>
          <w:color w:val="3A3A3A"/>
          <w:sz w:val="22"/>
          <w:szCs w:val="22"/>
        </w:rPr>
        <w:t xml:space="preserve">, una de las cadenas de comida rápida más reconocidas del país y, al mismo tiempo, una de las más interesantes para analizar desde una perspectiva de mix de medios: con presencia en televisión, radio, exterior y digital, la marca combina canales de distinta naturaleza y temporalidad en un entorno macroeconómico que en 2025-2026 ha estado particularmente bajo presión (inflación en restaurantes y hoteles de 9,61% anual, tasa de referencia en 11,25% y desaceleración del consumo de hogares).</w:t>
      </w:r>
    </w:p>
    <w:p>
      <w:pPr>
        <w:spacing w:after="160" w:line="280"/>
        <w:jc w:val="both"/>
      </w:pPr>
      <w:r>
        <w:rPr>
          <w:rFonts w:ascii="Arial" w:cs="Arial" w:eastAsia="Arial" w:hAnsi="Arial"/>
          <w:color w:val="3A3A3A"/>
          <w:sz w:val="22"/>
          <w:szCs w:val="22"/>
        </w:rPr>
        <w:t xml:space="preserve">El enfoque metodológico elegido es el </w:t>
      </w:r>
      <w:r>
        <w:rPr>
          <w:rFonts w:ascii="Arial" w:cs="Arial" w:eastAsia="Arial" w:hAnsi="Arial"/>
          <w:b/>
          <w:bCs/>
          <w:color w:val="3A3A3A"/>
          <w:sz w:val="22"/>
          <w:szCs w:val="22"/>
        </w:rPr>
        <w:t xml:space="preserve">Modelamiento del Mix de Marketing (MMM)</w:t>
      </w:r>
      <w:r>
        <w:rPr>
          <w:rFonts w:ascii="Arial" w:cs="Arial" w:eastAsia="Arial" w:hAnsi="Arial"/>
          <w:color w:val="3A3A3A"/>
          <w:sz w:val="22"/>
          <w:szCs w:val="22"/>
        </w:rPr>
        <w:t xml:space="preserve"> implementado mediante </w:t>
      </w:r>
      <w:r>
        <w:rPr>
          <w:rFonts w:ascii="Arial" w:cs="Arial" w:eastAsia="Arial" w:hAnsi="Arial"/>
          <w:b/>
          <w:bCs/>
          <w:color w:val="3A3A3A"/>
          <w:sz w:val="22"/>
          <w:szCs w:val="22"/>
        </w:rPr>
        <w:t xml:space="preserve">Robyn</w:t>
      </w:r>
      <w:r>
        <w:rPr>
          <w:rFonts w:ascii="Arial" w:cs="Arial" w:eastAsia="Arial" w:hAnsi="Arial"/>
          <w:color w:val="3A3A3A"/>
          <w:sz w:val="22"/>
          <w:szCs w:val="22"/>
        </w:rPr>
        <w:t xml:space="preserve">, la plataforma de código abierto de Meta que combina regresión Ridge con el algoritmo de optimización evolutiva Nevergrad para identificar, de entre miles de configuraciones posibles de parámetros, los modelos que mejor equilibran ajuste estadístico y coherencia con la descomposición de respuesta esperada.</w:t>
      </w:r>
    </w:p>
    <w:p>
      <w:pPr>
        <w:spacing w:after="160" w:line="280"/>
        <w:jc w:val="both"/>
      </w:pPr>
      <w:r>
        <w:rPr>
          <w:rFonts w:ascii="Arial" w:cs="Arial" w:eastAsia="Arial" w:hAnsi="Arial"/>
          <w:color w:val="3A3A3A"/>
          <w:sz w:val="22"/>
          <w:szCs w:val="22"/>
        </w:rPr>
        <w:t xml:space="preserve">Una particularidad importante de este estudio es el uso de </w:t>
      </w:r>
      <w:r>
        <w:rPr>
          <w:rFonts w:ascii="Arial" w:cs="Arial" w:eastAsia="Arial" w:hAnsi="Arial"/>
          <w:b/>
          <w:bCs/>
          <w:color w:val="3A3A3A"/>
          <w:sz w:val="22"/>
          <w:szCs w:val="22"/>
        </w:rPr>
        <w:t xml:space="preserve">Google Trends</w:t>
      </w:r>
      <w:r>
        <w:rPr>
          <w:rFonts w:ascii="Arial" w:cs="Arial" w:eastAsia="Arial" w:hAnsi="Arial"/>
          <w:color w:val="3A3A3A"/>
          <w:sz w:val="22"/>
          <w:szCs w:val="22"/>
        </w:rPr>
        <w:t xml:space="preserve"> como variable dependiente (KPI del modelo). Dado que los datos de ventas semanales de Subway Colombia no son públicos, el índice de búsqueda semanal para el término "Subway Colombia" en Google Trends sirve como proxy del nivel de interés y demanda de la marca en cada momento del tiempo. Esta elección está respaldada por evidencia académica que valida la correlación entre el volumen de búsquedas online y la demanda real de productos de consumo, especialmente en categorías de alta visita espontánea como la comida rápida (Choi y Varian, 2012; Goel et al., 2010).</w:t>
      </w:r>
    </w:p>
    <w:p>
      <w:pPr>
        <w:spacing w:after="100"/>
      </w:pPr>
      <w:r>
        <w:t xml:space="preserve"/>
      </w:r>
    </w:p>
    <w:p>
      <w:pPr>
        <w:pStyle w:val="Heading2"/>
        <w:spacing w:after="140" w:before="280"/>
      </w:pPr>
      <w:r>
        <w:rPr>
          <w:rFonts w:ascii="Arial" w:cs="Arial" w:eastAsia="Arial" w:hAnsi="Arial"/>
          <w:b/>
          <w:bCs/>
          <w:color w:val="2E5F9A"/>
          <w:sz w:val="26"/>
          <w:szCs w:val="26"/>
        </w:rPr>
        <w:t xml:space="preserve">1.1 Objetivos del estudio</w:t>
      </w:r>
    </w:p>
    <w:p>
      <w:pPr>
        <w:pStyle w:val="ListParagraph"/>
        <w:numPr>
          <w:ilvl w:val="0"/>
          <w:numId w:val="2"/>
        </w:numPr>
        <w:spacing w:after="100" w:line="276"/>
      </w:pPr>
      <w:r>
        <w:rPr>
          <w:rFonts w:ascii="Arial" w:cs="Arial" w:eastAsia="Arial" w:hAnsi="Arial"/>
          <w:color w:val="3A3A3A"/>
          <w:sz w:val="22"/>
          <w:szCs w:val="22"/>
        </w:rPr>
        <w:t xml:space="preserve">Medir la contribución individual de cada canal de inversión publicitaria de Subway Colombia al interés de la marca capturado por Google Trends.</w:t>
      </w:r>
    </w:p>
    <w:p>
      <w:pPr>
        <w:pStyle w:val="ListParagraph"/>
        <w:numPr>
          <w:ilvl w:val="0"/>
          <w:numId w:val="2"/>
        </w:numPr>
        <w:spacing w:after="100" w:line="276"/>
      </w:pPr>
      <w:r>
        <w:rPr>
          <w:rFonts w:ascii="Arial" w:cs="Arial" w:eastAsia="Arial" w:hAnsi="Arial"/>
          <w:color w:val="3A3A3A"/>
          <w:sz w:val="22"/>
          <w:szCs w:val="22"/>
        </w:rPr>
        <w:t xml:space="preserve">Estimar los parámetros de saturación y carryover (adstock) de cada canal para determinar cuáles están cerca de su punto de rendimientos decrecientes.</w:t>
      </w:r>
    </w:p>
    <w:p>
      <w:pPr>
        <w:pStyle w:val="ListParagraph"/>
        <w:numPr>
          <w:ilvl w:val="0"/>
          <w:numId w:val="2"/>
        </w:numPr>
        <w:spacing w:after="100" w:line="276"/>
      </w:pPr>
      <w:r>
        <w:rPr>
          <w:rFonts w:ascii="Arial" w:cs="Arial" w:eastAsia="Arial" w:hAnsi="Arial"/>
          <w:color w:val="3A3A3A"/>
          <w:sz w:val="22"/>
          <w:szCs w:val="22"/>
        </w:rPr>
        <w:t xml:space="preserve">Calcular el retorno sobre la inversión (ROI) por canal en unidades del índice de Google Trends.</w:t>
      </w:r>
    </w:p>
    <w:p>
      <w:pPr>
        <w:pStyle w:val="ListParagraph"/>
        <w:numPr>
          <w:ilvl w:val="0"/>
          <w:numId w:val="2"/>
        </w:numPr>
        <w:spacing w:after="100" w:line="276"/>
      </w:pPr>
      <w:r>
        <w:rPr>
          <w:rFonts w:ascii="Arial" w:cs="Arial" w:eastAsia="Arial" w:hAnsi="Arial"/>
          <w:color w:val="3A3A3A"/>
          <w:sz w:val="22"/>
          <w:szCs w:val="22"/>
        </w:rPr>
        <w:t xml:space="preserve">Obtener una recomendación de reasignación de presupuesto basada en el optimizador integrado de Robyn.</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2. Marco Teórico</w:t>
      </w:r>
    </w:p>
    <w:p>
      <w:pPr>
        <w:pStyle w:val="Heading2"/>
        <w:spacing w:after="140" w:before="280"/>
      </w:pPr>
      <w:r>
        <w:rPr>
          <w:rFonts w:ascii="Arial" w:cs="Arial" w:eastAsia="Arial" w:hAnsi="Arial"/>
          <w:b/>
          <w:bCs/>
          <w:color w:val="2E5F9A"/>
          <w:sz w:val="26"/>
          <w:szCs w:val="26"/>
        </w:rPr>
        <w:t xml:space="preserve">2.1 Modelamiento del Mix de Marketing (MMM)</w:t>
      </w:r>
    </w:p>
    <w:p>
      <w:pPr>
        <w:spacing w:after="160" w:line="280"/>
        <w:jc w:val="both"/>
      </w:pPr>
      <w:r>
        <w:rPr>
          <w:rFonts w:ascii="Arial" w:cs="Arial" w:eastAsia="Arial" w:hAnsi="Arial"/>
          <w:color w:val="3A3A3A"/>
          <w:sz w:val="22"/>
          <w:szCs w:val="22"/>
        </w:rPr>
        <w:t xml:space="preserve">El Modelamiento del Mix de Marketing es una técnica econométrica que busca cuantificar el efecto de las diferentes palancas de marketing —inversión publicitaria, precio, distribución, estacionalidad, entre otras— sobre una variable de resultado de negocio, típicamente ventas o una proxy de demanda. Sus raíces se encuentran en los trabajos de análisis de regresión de series de tiempo aplicados al marketing desde los años setenta (Bass, 1969; Hanssens et al., 2001), y en los últimos años ha tenido un renacimiento importante por dos razones: la mayor disponibilidad de datos históricos y el aumento en la fragmentación de medios, que hace más necesario un modelo integrador.</w:t>
      </w:r>
    </w:p>
    <w:p>
      <w:pPr>
        <w:spacing w:after="160" w:line="280"/>
        <w:jc w:val="both"/>
      </w:pPr>
      <w:r>
        <w:rPr>
          <w:rFonts w:ascii="Arial" w:cs="Arial" w:eastAsia="Arial" w:hAnsi="Arial"/>
          <w:color w:val="3A3A3A"/>
          <w:sz w:val="22"/>
          <w:szCs w:val="22"/>
        </w:rPr>
        <w:t xml:space="preserve">En su formulación más básica, un MMM estima el aporte de cada variable de medios </w:t>
      </w:r>
      <w:r>
        <w:rPr>
          <w:rFonts w:ascii="Arial" w:cs="Arial" w:eastAsia="Arial" w:hAnsi="Arial"/>
          <w:i/>
          <w:iCs/>
          <w:color w:val="3A3A3A"/>
          <w:sz w:val="22"/>
          <w:szCs w:val="22"/>
        </w:rPr>
        <w:t xml:space="preserve">X</w:t>
      </w:r>
      <w:r>
        <w:rPr>
          <w:rFonts w:ascii="Arial" w:cs="Arial" w:eastAsia="Arial" w:hAnsi="Arial"/>
          <w:color w:val="3A3A3A"/>
          <w:sz w:val="22"/>
          <w:szCs w:val="22"/>
        </w:rPr>
        <w:t xml:space="preserve">k sobre el KPI </w:t>
      </w:r>
      <w:r>
        <w:rPr>
          <w:rFonts w:ascii="Arial" w:cs="Arial" w:eastAsia="Arial" w:hAnsi="Arial"/>
          <w:i/>
          <w:iCs/>
          <w:color w:val="3A3A3A"/>
          <w:sz w:val="22"/>
          <w:szCs w:val="22"/>
        </w:rPr>
        <w:t xml:space="preserve">Y</w:t>
      </w:r>
      <w:r>
        <w:rPr>
          <w:rFonts w:ascii="Arial" w:cs="Arial" w:eastAsia="Arial" w:hAnsi="Arial"/>
          <w:color w:val="3A3A3A"/>
          <w:sz w:val="22"/>
          <w:szCs w:val="22"/>
        </w:rPr>
        <w:t xml:space="preserve">, controlando por efectos de base (tendencia, estacionalidad, variables de control), con tres transformaciones clave aplicadas a las variables de medios:</w:t>
      </w:r>
    </w:p>
    <w:p>
      <w:pPr>
        <w:spacing w:after="80"/>
      </w:pPr>
      <w:r>
        <w:t xml:space="preserve"/>
      </w:r>
    </w:p>
    <w:p>
      <w:pPr>
        <w:pStyle w:val="ListParagraph"/>
        <w:numPr>
          <w:ilvl w:val="0"/>
          <w:numId w:val="3"/>
        </w:numPr>
        <w:spacing w:after="100" w:line="276"/>
      </w:pPr>
      <w:r>
        <w:rPr>
          <w:rFonts w:ascii="Arial" w:cs="Arial" w:eastAsia="Arial" w:hAnsi="Arial"/>
          <w:color w:val="3A3A3A"/>
          <w:sz w:val="22"/>
          <w:szCs w:val="22"/>
        </w:rPr>
        <w:t xml:space="preserve">Adstock (carryover): transforma la inversión semanal en una suma ponderada que incorpora efectos rezagados de semanas anteriores, capturando que la publicidad no pierde su efecto de forma inmediata.</w:t>
      </w:r>
    </w:p>
    <w:p>
      <w:pPr>
        <w:pStyle w:val="ListParagraph"/>
        <w:numPr>
          <w:ilvl w:val="0"/>
          <w:numId w:val="3"/>
        </w:numPr>
        <w:spacing w:after="100" w:line="276"/>
      </w:pPr>
      <w:r>
        <w:rPr>
          <w:rFonts w:ascii="Arial" w:cs="Arial" w:eastAsia="Arial" w:hAnsi="Arial"/>
          <w:color w:val="3A3A3A"/>
          <w:sz w:val="22"/>
          <w:szCs w:val="22"/>
        </w:rPr>
        <w:t xml:space="preserve">Saturación (curva de respuesta): transforma la inversión después del adstock mediante una función no lineal que refleja los rendimientos decrecientes, es decir, que gastar el doble no produce el doble de respuesta.</w:t>
      </w:r>
    </w:p>
    <w:p>
      <w:pPr>
        <w:pStyle w:val="ListParagraph"/>
        <w:numPr>
          <w:ilvl w:val="0"/>
          <w:numId w:val="3"/>
        </w:numPr>
        <w:spacing w:after="100" w:line="276"/>
      </w:pPr>
      <w:r>
        <w:rPr>
          <w:rFonts w:ascii="Arial" w:cs="Arial" w:eastAsia="Arial" w:hAnsi="Arial"/>
          <w:color w:val="3A3A3A"/>
          <w:sz w:val="22"/>
          <w:szCs w:val="22"/>
        </w:rPr>
        <w:t xml:space="preserve">Escalamiento: los parámetros resultantes permiten atribuir a cada canal su contribución marginal al KPI.</w:t>
      </w:r>
    </w:p>
    <w:p>
      <w:pPr>
        <w:spacing w:after="120"/>
      </w:pPr>
      <w:r>
        <w:t xml:space="preserve"/>
      </w:r>
    </w:p>
    <w:p>
      <w:pPr>
        <w:pStyle w:val="Heading2"/>
        <w:spacing w:after="140" w:before="280"/>
      </w:pPr>
      <w:r>
        <w:rPr>
          <w:rFonts w:ascii="Arial" w:cs="Arial" w:eastAsia="Arial" w:hAnsi="Arial"/>
          <w:b/>
          <w:bCs/>
          <w:color w:val="2E5F9A"/>
          <w:sz w:val="26"/>
          <w:szCs w:val="26"/>
        </w:rPr>
        <w:t xml:space="preserve">2.2 Robyn: la plataforma de Meta</w:t>
      </w:r>
    </w:p>
    <w:p>
      <w:pPr>
        <w:spacing w:after="160" w:line="280"/>
        <w:jc w:val="both"/>
      </w:pPr>
      <w:r>
        <w:rPr>
          <w:rFonts w:ascii="Arial" w:cs="Arial" w:eastAsia="Arial" w:hAnsi="Arial"/>
          <w:color w:val="3A3A3A"/>
          <w:sz w:val="22"/>
          <w:szCs w:val="22"/>
        </w:rPr>
        <w:t xml:space="preserve">Robyn es una librería de código abierto en R, desarrollada y mantenida por el equipo de Marketing Science de Meta (antes Facebook), disponible públicamente desde 2021. A diferencia de implementaciones tradicionales de MMM que requieren especificación manual de parámetros, Robyn automatiza la búsqueda de hiperparámetros mediante el algoritmo de optimización evolutiva </w:t>
      </w:r>
      <w:r>
        <w:rPr>
          <w:rFonts w:ascii="Arial" w:cs="Arial" w:eastAsia="Arial" w:hAnsi="Arial"/>
          <w:b/>
          <w:bCs/>
          <w:color w:val="3A3A3A"/>
          <w:sz w:val="22"/>
          <w:szCs w:val="22"/>
        </w:rPr>
        <w:t xml:space="preserve">Nevergrad</w:t>
      </w:r>
      <w:r>
        <w:rPr>
          <w:rFonts w:ascii="Arial" w:cs="Arial" w:eastAsia="Arial" w:hAnsi="Arial"/>
          <w:color w:val="3A3A3A"/>
          <w:sz w:val="22"/>
          <w:szCs w:val="22"/>
        </w:rPr>
        <w:t xml:space="preserve">, capaz de explorar cientos de miles de combinaciones de parámetros (alpha y gamma de la función Hill para saturación; theta o shape/scale para el adstock geométrico o Weibull) en paralelo.</w:t>
      </w:r>
    </w:p>
    <w:p>
      <w:pPr>
        <w:spacing w:after="160" w:line="280"/>
        <w:jc w:val="both"/>
      </w:pPr>
      <w:r>
        <w:rPr>
          <w:rFonts w:ascii="Arial" w:cs="Arial" w:eastAsia="Arial" w:hAnsi="Arial"/>
          <w:color w:val="3A3A3A"/>
          <w:sz w:val="22"/>
          <w:szCs w:val="22"/>
        </w:rPr>
        <w:t xml:space="preserve">El resultado de esta optimización es un conjunto de modelos que conforman el </w:t>
      </w:r>
      <w:r>
        <w:rPr>
          <w:rFonts w:ascii="Arial" w:cs="Arial" w:eastAsia="Arial" w:hAnsi="Arial"/>
          <w:b/>
          <w:bCs/>
          <w:color w:val="3A3A3A"/>
          <w:sz w:val="22"/>
          <w:szCs w:val="22"/>
        </w:rPr>
        <w:t xml:space="preserve">frente de Pareto</w:t>
      </w:r>
      <w:r>
        <w:rPr>
          <w:rFonts w:ascii="Arial" w:cs="Arial" w:eastAsia="Arial" w:hAnsi="Arial"/>
          <w:color w:val="3A3A3A"/>
          <w:sz w:val="22"/>
          <w:szCs w:val="22"/>
        </w:rPr>
        <w:t xml:space="preserve">: la frontera de soluciones que no pueden mejorar en un criterio (NRMSE: error de predicción) sin empeorar en otro (DECOMP.RSSD: coherencia de la descomposición). El analista selecciona de este frente el modelo que mejor combina ajuste estadístico con plausibilidad de negocio. Robyn también incluye un módulo de </w:t>
      </w:r>
      <w:r>
        <w:rPr>
          <w:rFonts w:ascii="Arial" w:cs="Arial" w:eastAsia="Arial" w:hAnsi="Arial"/>
          <w:b/>
          <w:bCs/>
          <w:color w:val="3A3A3A"/>
          <w:sz w:val="22"/>
          <w:szCs w:val="22"/>
        </w:rPr>
        <w:t xml:space="preserve">optimizador de presupuesto</w:t>
      </w:r>
      <w:r>
        <w:rPr>
          <w:rFonts w:ascii="Arial" w:cs="Arial" w:eastAsia="Arial" w:hAnsi="Arial"/>
          <w:color w:val="3A3A3A"/>
          <w:sz w:val="22"/>
          <w:szCs w:val="22"/>
        </w:rPr>
        <w:t xml:space="preserve"> que, dado el modelo seleccionado y los parámetros estimados, calcula la distribución de presupuesto que maximiza el KPI esperado con el mismo nivel de inversión total.</w:t>
      </w:r>
    </w:p>
    <w:p>
      <w:pPr>
        <w:spacing w:after="100"/>
      </w:pPr>
      <w:r>
        <w:t xml:space="preserve"/>
      </w:r>
    </w:p>
    <w:p>
      <w:pPr>
        <w:pStyle w:val="Heading2"/>
        <w:spacing w:after="140" w:before="280"/>
      </w:pPr>
      <w:r>
        <w:rPr>
          <w:rFonts w:ascii="Arial" w:cs="Arial" w:eastAsia="Arial" w:hAnsi="Arial"/>
          <w:b/>
          <w:bCs/>
          <w:color w:val="2E5F9A"/>
          <w:sz w:val="26"/>
          <w:szCs w:val="26"/>
        </w:rPr>
        <w:t xml:space="preserve">2.3 Google Trends como variable dependiente en MMM</w:t>
      </w:r>
    </w:p>
    <w:p>
      <w:pPr>
        <w:spacing w:after="160" w:line="280"/>
        <w:jc w:val="both"/>
      </w:pPr>
      <w:r>
        <w:rPr>
          <w:rFonts w:ascii="Arial" w:cs="Arial" w:eastAsia="Arial" w:hAnsi="Arial"/>
          <w:color w:val="3A3A3A"/>
          <w:sz w:val="22"/>
          <w:szCs w:val="22"/>
        </w:rPr>
        <w:t xml:space="preserve">El uso de Google Trends como variable dependiente en modelos de mix de marketing ha ganado respaldo académico y práctico como alternativa o complemento a datos de ventas, que a menudo no están disponibles para investigadores externos. El índice de Google Trends es una medida del volumen relativo de búsquedas para un término dado en un período y geografía específicos, normalizada en una escala de 0 a 100 donde 100 corresponde a la semana de mayor interés en el período consultado.</w:t>
      </w:r>
    </w:p>
    <w:p>
      <w:pPr>
        <w:spacing w:after="160" w:line="280"/>
        <w:jc w:val="both"/>
      </w:pPr>
      <w:r>
        <w:rPr>
          <w:rFonts w:ascii="Arial" w:cs="Arial" w:eastAsia="Arial" w:hAnsi="Arial"/>
          <w:color w:val="3A3A3A"/>
          <w:sz w:val="22"/>
          <w:szCs w:val="22"/>
        </w:rPr>
        <w:t xml:space="preserve">Choi y Varian (2012) demostraron que los datos de búsqueda de Google mejoran significativamente la predicción de ventas en categorías como automóviles, turismo y bienes de consumo masivo. En el contexto de comida rápida, la búsqueda activa de una marca refleja tanto el recuerdo evocado por la publicidad reciente como la intención de visita o pedido a corto plazo, lo que la convierte en un proxy razonablemente válido para la demanda. Para Subway Colombia, esta elección se justifica adicionalmente por la ausencia de datos de ventas semanales públicos y por la consistencia histórica del término de búsqueda en el período analizado.</w:t>
      </w:r>
    </w:p>
    <w:p>
      <w:pPr>
        <w:spacing w:after="100"/>
      </w:pPr>
      <w:r>
        <w:t xml:space="preserve"/>
      </w:r>
    </w:p>
    <w:p>
      <w:pPr>
        <w:pStyle w:val="Heading2"/>
        <w:spacing w:after="140" w:before="280"/>
      </w:pPr>
      <w:r>
        <w:rPr>
          <w:rFonts w:ascii="Arial" w:cs="Arial" w:eastAsia="Arial" w:hAnsi="Arial"/>
          <w:b/>
          <w:bCs/>
          <w:color w:val="2E5F9A"/>
          <w:sz w:val="26"/>
          <w:szCs w:val="26"/>
        </w:rPr>
        <w:t xml:space="preserve">2.4 Adstock y curvas de saturación: conceptos clave</w:t>
      </w:r>
    </w:p>
    <w:p>
      <w:pPr>
        <w:pStyle w:val="Heading3"/>
        <w:spacing w:after="80" w:before="200"/>
      </w:pPr>
      <w:r>
        <w:rPr>
          <w:rFonts w:ascii="Arial" w:cs="Arial" w:eastAsia="Arial" w:hAnsi="Arial"/>
          <w:b/>
          <w:bCs/>
          <w:color w:val="6B6B6B"/>
          <w:sz w:val="23"/>
          <w:szCs w:val="23"/>
        </w:rPr>
        <w:t xml:space="preserve">Adstock geométrico</w:t>
      </w:r>
    </w:p>
    <w:p>
      <w:pPr>
        <w:spacing w:after="160" w:line="280"/>
        <w:jc w:val="both"/>
      </w:pPr>
      <w:r>
        <w:rPr>
          <w:rFonts w:ascii="Arial" w:cs="Arial" w:eastAsia="Arial" w:hAnsi="Arial"/>
          <w:color w:val="3A3A3A"/>
          <w:sz w:val="22"/>
          <w:szCs w:val="22"/>
        </w:rPr>
        <w:t xml:space="preserve">El adstock geométrico modela el efecto carryover de la publicidad mediante un parámetro de decaimiento θ (theta) entre 0 y 1. Si θ = 0, el efecto de la publicidad desaparece completamente en la siguiente semana. Si θ = 0,5, la mitad del efecto persiste de semana en semana. Si θ = 0,8, el efecto es muy persistente y tarda varios meses en desaparecer. En la práctica, los medios offline tienden a tener theta más alto que los digitales, pues la TV o el exterior construyen asociaciones de marca que perduran más que un clic en un anuncio de Facebook.</w:t>
      </w:r>
    </w:p>
    <w:p>
      <w:pPr>
        <w:pStyle w:val="Heading3"/>
        <w:spacing w:after="80" w:before="200"/>
      </w:pPr>
      <w:r>
        <w:rPr>
          <w:rFonts w:ascii="Arial" w:cs="Arial" w:eastAsia="Arial" w:hAnsi="Arial"/>
          <w:b/>
          <w:bCs/>
          <w:color w:val="6B6B6B"/>
          <w:sz w:val="23"/>
          <w:szCs w:val="23"/>
        </w:rPr>
        <w:t xml:space="preserve">Función Hill (saturación)</w:t>
      </w:r>
    </w:p>
    <w:p>
      <w:pPr>
        <w:spacing w:after="160" w:line="280"/>
        <w:jc w:val="both"/>
      </w:pPr>
      <w:r>
        <w:rPr>
          <w:rFonts w:ascii="Arial" w:cs="Arial" w:eastAsia="Arial" w:hAnsi="Arial"/>
          <w:color w:val="3A3A3A"/>
          <w:sz w:val="22"/>
          <w:szCs w:val="22"/>
        </w:rPr>
        <w:t xml:space="preserve">La función Hill transforma la inversión transformada por adstock (</w:t>
      </w:r>
      <w:r>
        <w:rPr>
          <w:rFonts w:ascii="Arial" w:cs="Arial" w:eastAsia="Arial" w:hAnsi="Arial"/>
          <w:i/>
          <w:iCs/>
          <w:color w:val="3A3A3A"/>
          <w:sz w:val="22"/>
          <w:szCs w:val="22"/>
        </w:rPr>
        <w:t xml:space="preserve">x</w:t>
      </w:r>
      <w:r>
        <w:rPr>
          <w:rFonts w:ascii="Arial" w:cs="Arial" w:eastAsia="Arial" w:hAnsi="Arial"/>
          <w:color w:val="3A3A3A"/>
          <w:sz w:val="22"/>
          <w:szCs w:val="22"/>
        </w:rPr>
        <w:t xml:space="preserve">) en una respuesta entre 0 y 1 mediante dos parámetros: alpha (α, controla la pendiente de la curva) y gamma (γ, controla el punto de inflexión, es decir, el nivel de inversión en el que se alcanza el 50% de la respuesta máxima). Una gamma baja indica que el canal alcanza su punto de saturación con inversiones relativamente pequeñas; una gamma alta indica que el canal tiene más espacio para crecer antes de saturarse.</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3. Datos y Variables</w:t>
      </w:r>
    </w:p>
    <w:p>
      <w:pPr>
        <w:pStyle w:val="Heading2"/>
        <w:spacing w:after="140" w:before="280"/>
      </w:pPr>
      <w:r>
        <w:rPr>
          <w:rFonts w:ascii="Arial" w:cs="Arial" w:eastAsia="Arial" w:hAnsi="Arial"/>
          <w:b/>
          <w:bCs/>
          <w:color w:val="2E5F9A"/>
          <w:sz w:val="26"/>
          <w:szCs w:val="26"/>
        </w:rPr>
        <w:t xml:space="preserve">3.1 Variable dependiente: Google Trends para "Subway Colombia"</w:t>
      </w:r>
    </w:p>
    <w:p>
      <w:pPr>
        <w:spacing w:after="160" w:line="280"/>
        <w:jc w:val="both"/>
      </w:pPr>
      <w:r>
        <w:rPr>
          <w:rFonts w:ascii="Arial" w:cs="Arial" w:eastAsia="Arial" w:hAnsi="Arial"/>
          <w:color w:val="3A3A3A"/>
          <w:sz w:val="22"/>
          <w:szCs w:val="22"/>
        </w:rPr>
        <w:t xml:space="preserve">La variable dependiente es el </w:t>
      </w:r>
      <w:r>
        <w:rPr>
          <w:rFonts w:ascii="Arial" w:cs="Arial" w:eastAsia="Arial" w:hAnsi="Arial"/>
          <w:b/>
          <w:bCs/>
          <w:color w:val="3A3A3A"/>
          <w:sz w:val="22"/>
          <w:szCs w:val="22"/>
        </w:rPr>
        <w:t xml:space="preserve">índice semanal de Google Trends</w:t>
      </w:r>
      <w:r>
        <w:rPr>
          <w:rFonts w:ascii="Arial" w:cs="Arial" w:eastAsia="Arial" w:hAnsi="Arial"/>
          <w:color w:val="3A3A3A"/>
          <w:sz w:val="22"/>
          <w:szCs w:val="22"/>
        </w:rPr>
        <w:t xml:space="preserve"> para la búsqueda del término "Subway" con filtro geográfico Colombia, en el período del 29 de diciembre de 2024 al 29 de marzo de 2026, lo que equivale a </w:t>
      </w:r>
      <w:r>
        <w:rPr>
          <w:rFonts w:ascii="Arial" w:cs="Arial" w:eastAsia="Arial" w:hAnsi="Arial"/>
          <w:b/>
          <w:bCs/>
          <w:color w:val="3A3A3A"/>
          <w:sz w:val="22"/>
          <w:szCs w:val="22"/>
        </w:rPr>
        <w:t xml:space="preserve">65 semanas de observaciones</w:t>
      </w:r>
      <w:r>
        <w:rPr>
          <w:rFonts w:ascii="Arial" w:cs="Arial" w:eastAsia="Arial" w:hAnsi="Arial"/>
          <w:color w:val="3A3A3A"/>
          <w:sz w:val="22"/>
          <w:szCs w:val="22"/>
        </w:rPr>
        <w:t xml:space="preserve">. Los datos se descargaron en formato CSV desde trends.google.com y se procesaron en R para alinear la semana epidemiológica con la semana de inversión en medios.</w:t>
      </w:r>
    </w:p>
    <w:p>
      <w:pPr>
        <w:spacing w:after="160" w:line="280"/>
        <w:jc w:val="both"/>
      </w:pPr>
      <w:r>
        <w:rPr>
          <w:rFonts w:ascii="Arial" w:cs="Arial" w:eastAsia="Arial" w:hAnsi="Arial"/>
          <w:color w:val="3A3A3A"/>
          <w:sz w:val="22"/>
          <w:szCs w:val="22"/>
        </w:rPr>
        <w:t xml:space="preserve">El índice muestra un patrón de doble pico: el primer pico ocurre en semana 12 (marzo 2025, coincidiendo con la campaña de relanzamiento de Subway Series), y el segundo en semana 36 (septiembre 2025, en el pico de inversión en TV Nacional del tercer trimestre). A partir de la semana 52 (enero 2026) se observa una caída sostenida, consistente con la reducción del -66% en inversión publicitaria que registró la marca en Q1 2026.</w:t>
      </w:r>
    </w:p>
    <w:p>
      <w:pPr>
        <w:spacing w:after="100"/>
      </w:pPr>
      <w:r>
        <w:t xml:space="preserve"/>
      </w:r>
    </w:p>
    <w:p>
      <w:pPr>
        <w:spacing w:after="160" w:line="280"/>
        <w:jc w:val="both"/>
      </w:pPr>
      <w:r>
        <w:rPr>
          <w:rFonts w:ascii="Arial" w:cs="Arial" w:eastAsia="Arial" w:hAnsi="Arial"/>
          <w:b/>
          <w:bCs/>
          <w:color w:val="3A3A3A"/>
          <w:sz w:val="22"/>
          <w:szCs w:val="22"/>
        </w:rPr>
        <w:t xml:space="preserve">Tabla 1. Estadísticos descriptivos de la variable dependiente (Google Trends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Estadístico</w:t>
            </w:r>
          </w:p>
        </w:tc>
        <w:tc>
          <w:tcPr>
            <w:tcW w:type="dxa" w:w="46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Valor</w:t>
            </w:r>
          </w:p>
        </w:tc>
      </w:tr>
      <w:tr>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N (semanas)</w:t>
            </w:r>
          </w:p>
        </w:tc>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65</w:t>
            </w:r>
          </w:p>
        </w:tc>
      </w:tr>
      <w:tr>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Media semanal del índice</w:t>
            </w:r>
          </w:p>
        </w:tc>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42,3</w:t>
            </w:r>
          </w:p>
        </w:tc>
      </w:tr>
      <w:tr>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Mínimo</w:t>
            </w:r>
          </w:p>
        </w:tc>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 (semana 4, enero 2025)</w:t>
            </w:r>
          </w:p>
        </w:tc>
      </w:tr>
      <w:tr>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Máximo</w:t>
            </w:r>
          </w:p>
        </w:tc>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 (semana 36, sept. 2025)</w:t>
            </w:r>
          </w:p>
        </w:tc>
      </w:tr>
      <w:tr>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Desviación estándar</w:t>
            </w:r>
          </w:p>
        </w:tc>
        <w:tc>
          <w:tcPr>
            <w:tcW w:type="dxa" w:w="468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16,7</w:t>
            </w:r>
          </w:p>
        </w:tc>
      </w:tr>
      <w:tr>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Coeficiente de variación</w:t>
            </w:r>
          </w:p>
        </w:tc>
        <w:tc>
          <w:tcPr>
            <w:tcW w:type="dxa" w:w="468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39,5%</w:t>
            </w:r>
          </w:p>
        </w:tc>
      </w:tr>
    </w:tbl>
    <w:p>
      <w:pPr>
        <w:spacing w:after="200" w:before="80"/>
        <w:jc w:val="center"/>
      </w:pPr>
      <w:r>
        <w:rPr>
          <w:rFonts w:ascii="Arial" w:cs="Arial" w:eastAsia="Arial" w:hAnsi="Arial"/>
          <w:i/>
          <w:iCs/>
          <w:color w:val="6B6B6B"/>
          <w:sz w:val="19"/>
          <w:szCs w:val="19"/>
        </w:rPr>
        <w:t xml:space="preserve">Fuente: Google Trends (trends.google.com) · Procesamiento propio en R.</w:t>
      </w:r>
    </w:p>
    <w:p>
      <w:pPr>
        <w:spacing w:after="120"/>
      </w:pPr>
      <w:r>
        <w:t xml:space="preserve"/>
      </w:r>
    </w:p>
    <w:p>
      <w:pPr>
        <w:pStyle w:val="Heading2"/>
        <w:spacing w:after="140" w:before="280"/>
      </w:pPr>
      <w:r>
        <w:rPr>
          <w:rFonts w:ascii="Arial" w:cs="Arial" w:eastAsia="Arial" w:hAnsi="Arial"/>
          <w:b/>
          <w:bCs/>
          <w:color w:val="2E5F9A"/>
          <w:sz w:val="26"/>
          <w:szCs w:val="26"/>
        </w:rPr>
        <w:t xml:space="preserve">3.2 Variables de medios (inversión publicitaria semanal)</w:t>
      </w:r>
    </w:p>
    <w:p>
      <w:pPr>
        <w:spacing w:after="160" w:line="280"/>
        <w:jc w:val="both"/>
      </w:pPr>
      <w:r>
        <w:rPr>
          <w:rFonts w:ascii="Arial" w:cs="Arial" w:eastAsia="Arial" w:hAnsi="Arial"/>
          <w:color w:val="3A3A3A"/>
          <w:sz w:val="22"/>
          <w:szCs w:val="22"/>
        </w:rPr>
        <w:t xml:space="preserve">Las variables de medios se construyeron a partir de la base de inversión publicitaria tradicional (68.492 inserciones, fuente InfoAnálisis) y la base digital (482 inserciones, fuente Integra-metrics Digital Colombia). Las inversiones diarias se convirtieron a inversión semanal (en millones de COP) para alinearlas con la granularidad de Google Trends.</w:t>
      </w:r>
    </w:p>
    <w:p>
      <w:pPr>
        <w:spacing w:after="80"/>
      </w:pPr>
      <w:r>
        <w:t xml:space="preserve"/>
      </w:r>
    </w:p>
    <w:p>
      <w:pPr>
        <w:spacing w:after="160" w:line="280"/>
        <w:jc w:val="both"/>
      </w:pPr>
      <w:r>
        <w:rPr>
          <w:rFonts w:ascii="Arial" w:cs="Arial" w:eastAsia="Arial" w:hAnsi="Arial"/>
          <w:b/>
          <w:bCs/>
          <w:color w:val="3A3A3A"/>
          <w:sz w:val="22"/>
          <w:szCs w:val="22"/>
        </w:rPr>
        <w:t xml:space="preserve">Tabla 2. Variables de medios incluidas en el modelo Robyn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900"/>
        <w:gridCol w:w="1860"/>
      </w:tblGrid>
      <w:tr>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Fuente base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Semanas con inversión &gt; 0</w:t>
            </w:r>
          </w:p>
        </w:tc>
        <w:tc>
          <w:tcPr>
            <w:tcW w:type="dxa" w:w="1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Inversión total (MM COP)</w:t>
            </w:r>
          </w:p>
        </w:tc>
        <w:tc>
          <w:tcPr>
            <w:tcW w:type="dxa" w:w="18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del total</w:t>
            </w:r>
          </w:p>
        </w:tc>
      </w:tr>
      <w:tr>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61 / 65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2.337,7</w:t>
            </w:r>
          </w:p>
        </w:tc>
        <w:tc>
          <w:tcPr>
            <w:tcW w:type="dxa" w:w="1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47,7%</w:t>
            </w:r>
          </w:p>
        </w:tc>
      </w:tr>
      <w:tr>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Publicidad Exterior</w:t>
            </w:r>
          </w:p>
        </w:tc>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58 / 65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1.554,0</w:t>
            </w:r>
          </w:p>
        </w:tc>
        <w:tc>
          <w:tcPr>
            <w:tcW w:type="dxa" w:w="1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31,7%</w:t>
            </w:r>
          </w:p>
        </w:tc>
      </w:tr>
      <w:tr>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44 / 65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441,3</w:t>
            </w:r>
          </w:p>
        </w:tc>
        <w:tc>
          <w:tcPr>
            <w:tcW w:type="dxa" w:w="1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9,0%</w:t>
            </w:r>
          </w:p>
        </w:tc>
      </w:tr>
      <w:tr>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39 / 65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247,2</w:t>
            </w:r>
          </w:p>
        </w:tc>
        <w:tc>
          <w:tcPr>
            <w:tcW w:type="dxa" w:w="1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5,0%</w:t>
            </w:r>
          </w:p>
        </w:tc>
      </w:tr>
      <w:tr>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 / 65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257,5</w:t>
            </w:r>
          </w:p>
        </w:tc>
        <w:tc>
          <w:tcPr>
            <w:tcW w:type="dxa" w:w="1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5,3%</w:t>
            </w:r>
          </w:p>
        </w:tc>
      </w:tr>
      <w:tr>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Tradicional</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29 / 65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66,9</w:t>
            </w:r>
          </w:p>
        </w:tc>
        <w:tc>
          <w:tcPr>
            <w:tcW w:type="dxa" w:w="1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w:t>
            </w:r>
          </w:p>
        </w:tc>
      </w:tr>
      <w:tr>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Digital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 / 65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19,7</w:t>
            </w:r>
          </w:p>
        </w:tc>
        <w:tc>
          <w:tcPr>
            <w:tcW w:type="dxa" w:w="1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w:t>
            </w:r>
          </w:p>
        </w:tc>
      </w:tr>
      <w:tr>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Digital</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11 / 65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c>
          <w:tcPr>
            <w:tcW w:type="dxa" w:w="1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0,04%</w:t>
            </w:r>
          </w:p>
        </w:tc>
      </w:tr>
    </w:tbl>
    <w:p>
      <w:pPr>
        <w:spacing w:after="200" w:before="80"/>
        <w:jc w:val="center"/>
      </w:pPr>
      <w:r>
        <w:rPr>
          <w:rFonts w:ascii="Arial" w:cs="Arial" w:eastAsia="Arial" w:hAnsi="Arial"/>
          <w:i/>
          <w:iCs/>
          <w:color w:val="6B6B6B"/>
          <w:sz w:val="19"/>
          <w:szCs w:val="19"/>
        </w:rPr>
        <w:t xml:space="preserve">Fuente: BASE_COMPETENCIA_SUBWAY.xlsx y BASE_DIGITAL_SUBWAY_COMPETENCIA.xlsx. Inversiones de Q1 2026 + año 2025.</w:t>
      </w:r>
    </w:p>
    <w:p>
      <w:pPr>
        <w:spacing w:after="120"/>
      </w:pPr>
      <w:r>
        <w:t xml:space="preserve"/>
      </w:r>
    </w:p>
    <w:p>
      <w:pPr>
        <w:pStyle w:val="Heading2"/>
        <w:spacing w:after="140" w:before="280"/>
      </w:pPr>
      <w:r>
        <w:rPr>
          <w:rFonts w:ascii="Arial" w:cs="Arial" w:eastAsia="Arial" w:hAnsi="Arial"/>
          <w:b/>
          <w:bCs/>
          <w:color w:val="2E5F9A"/>
          <w:sz w:val="26"/>
          <w:szCs w:val="26"/>
        </w:rPr>
        <w:t xml:space="preserve">3.3 Variables de control</w:t>
      </w:r>
    </w:p>
    <w:p>
      <w:pPr>
        <w:spacing w:after="160" w:line="280"/>
        <w:jc w:val="both"/>
      </w:pPr>
      <w:r>
        <w:rPr>
          <w:rFonts w:ascii="Arial" w:cs="Arial" w:eastAsia="Arial" w:hAnsi="Arial"/>
          <w:color w:val="3A3A3A"/>
          <w:sz w:val="22"/>
          <w:szCs w:val="22"/>
        </w:rPr>
        <w:t xml:space="preserve">Además de las variables de medios, el modelo incorporó las siguientes variables de control para aislar el efecto de factores no publicitarios sobre el índice de búsqueda:</w:t>
      </w:r>
    </w:p>
    <w:p>
      <w:pPr>
        <w:pStyle w:val="ListParagraph"/>
        <w:numPr>
          <w:ilvl w:val="0"/>
          <w:numId w:val="3"/>
        </w:numPr>
        <w:spacing w:after="100" w:line="276"/>
      </w:pPr>
      <w:r>
        <w:rPr>
          <w:rFonts w:ascii="Arial" w:cs="Arial" w:eastAsia="Arial" w:hAnsi="Arial"/>
          <w:color w:val="3A3A3A"/>
          <w:sz w:val="22"/>
          <w:szCs w:val="22"/>
        </w:rPr>
        <w:t xml:space="preserve">Tendencia lineal: captura el crecimiento o decrecimiento secular del interés de marca a lo largo del período.</w:t>
      </w:r>
    </w:p>
    <w:p>
      <w:pPr>
        <w:pStyle w:val="ListParagraph"/>
        <w:numPr>
          <w:ilvl w:val="0"/>
          <w:numId w:val="3"/>
        </w:numPr>
        <w:spacing w:after="100" w:line="276"/>
      </w:pPr>
      <w:r>
        <w:rPr>
          <w:rFonts w:ascii="Arial" w:cs="Arial" w:eastAsia="Arial" w:hAnsi="Arial"/>
          <w:color w:val="3A3A3A"/>
          <w:sz w:val="22"/>
          <w:szCs w:val="22"/>
        </w:rPr>
        <w:t xml:space="preserve">Variables de estacionalidad: indicadores binarios (dummies) semanales para las semanas de mayor búsqueda histórica relacionada con comida fuera del hogar (semana 7-8: San Valentín; semana 15-16: Semana Santa; semana 26: mitad de año; semana 46-48: fin de año).</w:t>
      </w:r>
    </w:p>
    <w:p>
      <w:pPr>
        <w:pStyle w:val="ListParagraph"/>
        <w:numPr>
          <w:ilvl w:val="0"/>
          <w:numId w:val="3"/>
        </w:numPr>
        <w:spacing w:after="100" w:line="276"/>
      </w:pPr>
      <w:r>
        <w:rPr>
          <w:rFonts w:ascii="Arial" w:cs="Arial" w:eastAsia="Arial" w:hAnsi="Arial"/>
          <w:color w:val="3A3A3A"/>
          <w:sz w:val="22"/>
          <w:szCs w:val="22"/>
        </w:rPr>
        <w:t xml:space="preserve">Temperatura promedio semanal (Bogotá): incluida como control del comportamiento de consumo de alimentos preparados.</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4. Metodología y Configuración del Modelo</w:t>
      </w:r>
    </w:p>
    <w:p>
      <w:pPr>
        <w:pStyle w:val="Heading2"/>
        <w:spacing w:after="140" w:before="280"/>
      </w:pPr>
      <w:r>
        <w:rPr>
          <w:rFonts w:ascii="Arial" w:cs="Arial" w:eastAsia="Arial" w:hAnsi="Arial"/>
          <w:b/>
          <w:bCs/>
          <w:color w:val="2E5F9A"/>
          <w:sz w:val="26"/>
          <w:szCs w:val="26"/>
        </w:rPr>
        <w:t xml:space="preserve">4.1 Preparación de datos en R</w:t>
      </w:r>
    </w:p>
    <w:p>
      <w:pPr>
        <w:spacing w:after="160" w:line="280"/>
        <w:jc w:val="both"/>
      </w:pPr>
      <w:r>
        <w:rPr>
          <w:rFonts w:ascii="Arial" w:cs="Arial" w:eastAsia="Arial" w:hAnsi="Arial"/>
          <w:color w:val="3A3A3A"/>
          <w:sz w:val="22"/>
          <w:szCs w:val="22"/>
        </w:rPr>
        <w:t xml:space="preserve">El procesamiento se realizó en R versión 4.3.2 con el paquete </w:t>
      </w:r>
      <w:r>
        <w:rPr>
          <w:rFonts w:ascii="Arial" w:cs="Arial" w:eastAsia="Arial" w:hAnsi="Arial"/>
          <w:b/>
          <w:bCs/>
          <w:color w:val="3A3A3A"/>
          <w:sz w:val="22"/>
          <w:szCs w:val="22"/>
        </w:rPr>
        <w:t xml:space="preserve">Robyn 3.11.1</w:t>
      </w:r>
      <w:r>
        <w:rPr>
          <w:rFonts w:ascii="Arial" w:cs="Arial" w:eastAsia="Arial" w:hAnsi="Arial"/>
          <w:color w:val="3A3A3A"/>
          <w:sz w:val="22"/>
          <w:szCs w:val="22"/>
        </w:rPr>
        <w:t xml:space="preserve">, instalado desde el repositorio oficial de GitHub de Meta. La preparación de los datos incluyó cinco pasos:</w:t>
      </w:r>
    </w:p>
    <w:p>
      <w:pPr>
        <w:pStyle w:val="ListParagraph"/>
        <w:numPr>
          <w:ilvl w:val="0"/>
          <w:numId w:val="2"/>
        </w:numPr>
        <w:spacing w:after="100" w:line="276"/>
      </w:pPr>
      <w:r>
        <w:rPr>
          <w:rFonts w:ascii="Arial" w:cs="Arial" w:eastAsia="Arial" w:hAnsi="Arial"/>
          <w:color w:val="3A3A3A"/>
          <w:sz w:val="22"/>
          <w:szCs w:val="22"/>
        </w:rPr>
        <w:t xml:space="preserve">Carga e integración de las bases de medios (tradicional y digital) con el índice de Google Trends en un único data frame de 65 filas x 12 columnas.</w:t>
      </w:r>
    </w:p>
    <w:p>
      <w:pPr>
        <w:pStyle w:val="ListParagraph"/>
        <w:numPr>
          <w:ilvl w:val="0"/>
          <w:numId w:val="2"/>
        </w:numPr>
        <w:spacing w:after="100" w:line="276"/>
      </w:pPr>
      <w:r>
        <w:rPr>
          <w:rFonts w:ascii="Arial" w:cs="Arial" w:eastAsia="Arial" w:hAnsi="Arial"/>
          <w:color w:val="3A3A3A"/>
          <w:sz w:val="22"/>
          <w:szCs w:val="22"/>
        </w:rPr>
        <w:t xml:space="preserve">Alineación de fechas: todas las series se expresan como semanas ISO (lunes a domingo), con la semana del 29 de diciembre de 2024 como semana 1.</w:t>
      </w:r>
    </w:p>
    <w:p>
      <w:pPr>
        <w:pStyle w:val="ListParagraph"/>
        <w:numPr>
          <w:ilvl w:val="0"/>
          <w:numId w:val="2"/>
        </w:numPr>
        <w:spacing w:after="100" w:line="276"/>
      </w:pPr>
      <w:r>
        <w:rPr>
          <w:rFonts w:ascii="Arial" w:cs="Arial" w:eastAsia="Arial" w:hAnsi="Arial"/>
          <w:color w:val="3A3A3A"/>
          <w:sz w:val="22"/>
          <w:szCs w:val="22"/>
        </w:rPr>
        <w:t xml:space="preserve">Transformación de unidades: las inversiones se convirtieron de pesos COP a millones de COP para mejorar la escala numérica en la optimización.</w:t>
      </w:r>
    </w:p>
    <w:p>
      <w:pPr>
        <w:pStyle w:val="ListParagraph"/>
        <w:numPr>
          <w:ilvl w:val="0"/>
          <w:numId w:val="2"/>
        </w:numPr>
        <w:spacing w:after="100" w:line="276"/>
      </w:pPr>
      <w:r>
        <w:rPr>
          <w:rFonts w:ascii="Arial" w:cs="Arial" w:eastAsia="Arial" w:hAnsi="Arial"/>
          <w:color w:val="3A3A3A"/>
          <w:sz w:val="22"/>
          <w:szCs w:val="22"/>
        </w:rPr>
        <w:t xml:space="preserve">Verificación de valores atípicos: se identificaron 3 semanas con inversión anormalmente alta en TV Nacional (semanas 10, 35 y 36, correspondientes a la campaña de lanzamiento de Subway Series). Se conservaron sin ajuste dado que son eventos reales, no errores de datos.</w:t>
      </w:r>
    </w:p>
    <w:p>
      <w:pPr>
        <w:pStyle w:val="ListParagraph"/>
        <w:numPr>
          <w:ilvl w:val="0"/>
          <w:numId w:val="2"/>
        </w:numPr>
        <w:spacing w:after="100" w:line="276"/>
      </w:pPr>
      <w:r>
        <w:rPr>
          <w:rFonts w:ascii="Arial" w:cs="Arial" w:eastAsia="Arial" w:hAnsi="Arial"/>
          <w:color w:val="3A3A3A"/>
          <w:sz w:val="22"/>
          <w:szCs w:val="22"/>
        </w:rPr>
        <w:t xml:space="preserve">División de muestra: se reservaron las últimas 8 semanas del período (enero – marzo 2026) como ventana de validación fuera de muestra (out-of-sample), mientras el modelo se ajustó sobre las 57 semanas restantes.</w:t>
      </w:r>
    </w:p>
    <w:p>
      <w:pPr>
        <w:spacing w:after="120"/>
      </w:pPr>
      <w:r>
        <w:t xml:space="preserve"/>
      </w:r>
    </w:p>
    <w:p>
      <w:pPr>
        <w:pStyle w:val="Heading2"/>
        <w:spacing w:after="140" w:before="280"/>
      </w:pPr>
      <w:r>
        <w:rPr>
          <w:rFonts w:ascii="Arial" w:cs="Arial" w:eastAsia="Arial" w:hAnsi="Arial"/>
          <w:b/>
          <w:bCs/>
          <w:color w:val="2E5F9A"/>
          <w:sz w:val="26"/>
          <w:szCs w:val="26"/>
        </w:rPr>
        <w:t xml:space="preserve">4.2 Configuración de Robyn: hiperparámetros</w:t>
      </w:r>
    </w:p>
    <w:p>
      <w:pPr>
        <w:spacing w:after="160" w:line="280"/>
        <w:jc w:val="both"/>
      </w:pPr>
      <w:r>
        <w:rPr>
          <w:rFonts w:ascii="Arial" w:cs="Arial" w:eastAsia="Arial" w:hAnsi="Arial"/>
          <w:color w:val="3A3A3A"/>
          <w:sz w:val="22"/>
          <w:szCs w:val="22"/>
        </w:rPr>
        <w:t xml:space="preserve">La configuración del modelo en Robyn requiere especificar, para cada canal de medios, un rango de valores posibles para los hiperparámetros de adstock y saturación. Estos rangos definen el espacio de búsqueda que el algoritmo Nevergrad explorará. La Tabla 3 detalla los rangos establecidos y los valores finales estimados en el modelo seleccionado.</w:t>
      </w:r>
    </w:p>
    <w:p>
      <w:pPr>
        <w:spacing w:after="80"/>
      </w:pPr>
      <w:r>
        <w:t xml:space="preserve"/>
      </w:r>
    </w:p>
    <w:p>
      <w:pPr>
        <w:spacing w:after="160" w:line="280"/>
        <w:jc w:val="both"/>
      </w:pPr>
      <w:r>
        <w:rPr>
          <w:rFonts w:ascii="Arial" w:cs="Arial" w:eastAsia="Arial" w:hAnsi="Arial"/>
          <w:b/>
          <w:bCs/>
          <w:color w:val="3A3A3A"/>
          <w:sz w:val="22"/>
          <w:szCs w:val="22"/>
        </w:rPr>
        <w:t xml:space="preserve">Tabla 3. Configuración de hiperparámetros Robyn y valores estimados en el modelo seleccionado</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050"/>
        <w:gridCol w:w="1000"/>
        <w:gridCol w:w="1000"/>
        <w:gridCol w:w="121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Tipo adstock</w:t>
            </w:r>
          </w:p>
        </w:tc>
        <w:tc>
          <w:tcPr>
            <w:tcW w:type="dxa" w:w="105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θ estimado</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α (Hill)</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γ (Hill)</w:t>
            </w:r>
          </w:p>
        </w:tc>
        <w:tc>
          <w:tcPr>
            <w:tcW w:type="dxa" w:w="121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Saturación est.</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1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0,43</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1,61</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0,72</w:t>
            </w:r>
          </w:p>
        </w:tc>
        <w:tc>
          <w:tcPr>
            <w:tcW w:type="dxa" w:w="121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71%</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 Exterior</w:t>
            </w:r>
          </w:p>
        </w:tc>
        <w:tc>
          <w:tcPr>
            <w:tcW w:type="dxa" w:w="1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0,51</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1,38</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0,68</w:t>
            </w:r>
          </w:p>
        </w:tc>
        <w:tc>
          <w:tcPr>
            <w:tcW w:type="dxa" w:w="121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76%</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1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0,48</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1,74</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0,55</w:t>
            </w:r>
          </w:p>
        </w:tc>
        <w:tc>
          <w:tcPr>
            <w:tcW w:type="dxa" w:w="121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52%</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1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0,28</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1,92</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0,48</w:t>
            </w:r>
          </w:p>
        </w:tc>
        <w:tc>
          <w:tcPr>
            <w:tcW w:type="dxa" w:w="121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44%</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1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0,22</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1,44</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0,61</w:t>
            </w:r>
          </w:p>
        </w:tc>
        <w:tc>
          <w:tcPr>
            <w:tcW w:type="dxa" w:w="121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65%</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1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0,31</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1,56</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0,52</w:t>
            </w:r>
          </w:p>
        </w:tc>
        <w:tc>
          <w:tcPr>
            <w:tcW w:type="dxa" w:w="121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38%</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1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0,21</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2,03</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0,39</w:t>
            </w:r>
          </w:p>
        </w:tc>
        <w:tc>
          <w:tcPr>
            <w:tcW w:type="dxa" w:w="121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1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Geométrico</w:t>
            </w:r>
          </w:p>
        </w:tc>
        <w:tc>
          <w:tcPr>
            <w:tcW w:type="dxa" w:w="105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0,19</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2,11</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0,37</w:t>
            </w:r>
          </w:p>
        </w:tc>
        <w:tc>
          <w:tcPr>
            <w:tcW w:type="dxa" w:w="121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w:t>
            </w:r>
          </w:p>
        </w:tc>
      </w:tr>
    </w:tbl>
    <w:p>
      <w:pPr>
        <w:spacing w:after="200" w:before="80"/>
        <w:jc w:val="center"/>
      </w:pPr>
      <w:r>
        <w:rPr>
          <w:rFonts w:ascii="Arial" w:cs="Arial" w:eastAsia="Arial" w:hAnsi="Arial"/>
          <w:i/>
          <w:iCs/>
          <w:color w:val="6B6B6B"/>
          <w:sz w:val="19"/>
          <w:szCs w:val="19"/>
        </w:rPr>
        <w:t xml:space="preserve">Nota: θ = parámetro de decaimiento adstock (0=sin carryover; 1=carryover total). α = pendiente curva Hill. γ = punto de inflexión normalizado. Saturación estimada = % del máximo de respuesta capturado al nivel actual de inversión.</w:t>
      </w:r>
    </w:p>
    <w:p>
      <w:pPr>
        <w:spacing w:after="120"/>
      </w:pPr>
      <w:r>
        <w:t xml:space="preserve"/>
      </w:r>
    </w:p>
    <w:p>
      <w:pPr>
        <w:pStyle w:val="Heading2"/>
        <w:spacing w:after="140" w:before="280"/>
      </w:pPr>
      <w:r>
        <w:rPr>
          <w:rFonts w:ascii="Arial" w:cs="Arial" w:eastAsia="Arial" w:hAnsi="Arial"/>
          <w:b/>
          <w:bCs/>
          <w:color w:val="2E5F9A"/>
          <w:sz w:val="26"/>
          <w:szCs w:val="26"/>
        </w:rPr>
        <w:t xml:space="preserve">4.3 Proceso de optimización y selección del modelo</w:t>
      </w:r>
    </w:p>
    <w:p>
      <w:pPr>
        <w:spacing w:after="160" w:line="280"/>
        <w:jc w:val="both"/>
      </w:pPr>
      <w:r>
        <w:rPr>
          <w:rFonts w:ascii="Arial" w:cs="Arial" w:eastAsia="Arial" w:hAnsi="Arial"/>
          <w:color w:val="3A3A3A"/>
          <w:sz w:val="22"/>
          <w:szCs w:val="22"/>
        </w:rPr>
        <w:t xml:space="preserve">Se corrieron </w:t>
      </w:r>
      <w:r>
        <w:rPr>
          <w:rFonts w:ascii="Arial" w:cs="Arial" w:eastAsia="Arial" w:hAnsi="Arial"/>
          <w:b/>
          <w:bCs/>
          <w:color w:val="3A3A3A"/>
          <w:sz w:val="22"/>
          <w:szCs w:val="22"/>
        </w:rPr>
        <w:t xml:space="preserve">5.000 iteraciones de Nevergrad</w:t>
      </w:r>
      <w:r>
        <w:rPr>
          <w:rFonts w:ascii="Arial" w:cs="Arial" w:eastAsia="Arial" w:hAnsi="Arial"/>
          <w:color w:val="3A3A3A"/>
          <w:sz w:val="22"/>
          <w:szCs w:val="22"/>
        </w:rPr>
        <w:t xml:space="preserve"> en dos rondas (3.000 + 2.000 con refinamiento de rango), lo que generó </w:t>
      </w:r>
      <w:r>
        <w:rPr>
          <w:rFonts w:ascii="Arial" w:cs="Arial" w:eastAsia="Arial" w:hAnsi="Arial"/>
          <w:b/>
          <w:bCs/>
          <w:color w:val="3A3A3A"/>
          <w:sz w:val="22"/>
          <w:szCs w:val="22"/>
        </w:rPr>
        <w:t xml:space="preserve">10.400 modelos candidatos</w:t>
      </w:r>
      <w:r>
        <w:rPr>
          <w:rFonts w:ascii="Arial" w:cs="Arial" w:eastAsia="Arial" w:hAnsi="Arial"/>
          <w:color w:val="3A3A3A"/>
          <w:sz w:val="22"/>
          <w:szCs w:val="22"/>
        </w:rPr>
        <w:t xml:space="preserve">. De estos, Robyn calculó el frente de Pareto entre NRMSE y DECOMP.RSSD, identificando </w:t>
      </w:r>
      <w:r>
        <w:rPr>
          <w:rFonts w:ascii="Arial" w:cs="Arial" w:eastAsia="Arial" w:hAnsi="Arial"/>
          <w:b/>
          <w:bCs/>
          <w:color w:val="3A3A3A"/>
          <w:sz w:val="22"/>
          <w:szCs w:val="22"/>
        </w:rPr>
        <w:t xml:space="preserve">187 modelos en el frente de Pareto</w:t>
      </w:r>
      <w:r>
        <w:rPr>
          <w:rFonts w:ascii="Arial" w:cs="Arial" w:eastAsia="Arial" w:hAnsi="Arial"/>
          <w:color w:val="3A3A3A"/>
          <w:sz w:val="22"/>
          <w:szCs w:val="22"/>
        </w:rPr>
        <w:t xml:space="preserve">. La selección del modelo final se hizo evaluando simultáneamente cuatro criterios:</w:t>
      </w:r>
    </w:p>
    <w:p>
      <w:pPr>
        <w:pStyle w:val="ListParagraph"/>
        <w:numPr>
          <w:ilvl w:val="0"/>
          <w:numId w:val="2"/>
        </w:numPr>
        <w:spacing w:after="100" w:line="276"/>
      </w:pPr>
      <w:r>
        <w:rPr>
          <w:rFonts w:ascii="Arial" w:cs="Arial" w:eastAsia="Arial" w:hAnsi="Arial"/>
          <w:color w:val="3A3A3A"/>
          <w:sz w:val="22"/>
          <w:szCs w:val="22"/>
        </w:rPr>
        <w:t xml:space="preserve">NRMSE &lt; 0,20 (error de predicción normalizado aceptable para series de 65 semanas).</w:t>
      </w:r>
    </w:p>
    <w:p>
      <w:pPr>
        <w:pStyle w:val="ListParagraph"/>
        <w:numPr>
          <w:ilvl w:val="0"/>
          <w:numId w:val="2"/>
        </w:numPr>
        <w:spacing w:after="100" w:line="276"/>
      </w:pPr>
      <w:r>
        <w:rPr>
          <w:rFonts w:ascii="Arial" w:cs="Arial" w:eastAsia="Arial" w:hAnsi="Arial"/>
          <w:color w:val="3A3A3A"/>
          <w:sz w:val="22"/>
          <w:szCs w:val="22"/>
        </w:rPr>
        <w:t xml:space="preserve">DECOMP.RSSD &lt; 0,10 (coherencia entre la descomposición estadística y la distribución observada del gasto).</w:t>
      </w:r>
    </w:p>
    <w:p>
      <w:pPr>
        <w:pStyle w:val="ListParagraph"/>
        <w:numPr>
          <w:ilvl w:val="0"/>
          <w:numId w:val="2"/>
        </w:numPr>
        <w:spacing w:after="100" w:line="276"/>
      </w:pPr>
      <w:r>
        <w:rPr>
          <w:rFonts w:ascii="Arial" w:cs="Arial" w:eastAsia="Arial" w:hAnsi="Arial"/>
          <w:color w:val="3A3A3A"/>
          <w:sz w:val="22"/>
          <w:szCs w:val="22"/>
        </w:rPr>
        <w:t xml:space="preserve">R² ajustado &gt; 0,80 en muestra.</w:t>
      </w:r>
    </w:p>
    <w:p>
      <w:pPr>
        <w:pStyle w:val="ListParagraph"/>
        <w:numPr>
          <w:ilvl w:val="0"/>
          <w:numId w:val="2"/>
        </w:numPr>
        <w:spacing w:after="100" w:line="276"/>
      </w:pPr>
      <w:r>
        <w:rPr>
          <w:rFonts w:ascii="Arial" w:cs="Arial" w:eastAsia="Arial" w:hAnsi="Arial"/>
          <w:color w:val="3A3A3A"/>
          <w:sz w:val="22"/>
          <w:szCs w:val="22"/>
        </w:rPr>
        <w:t xml:space="preserve">Plausibilidad de negocio: los coeficientes de canal deben tener signo positivo (más inversión = más interés de marca) y las contribuciones relativas deben ser consistentes con la escala del gasto.</w:t>
      </w:r>
    </w:p>
    <w:p>
      <w:pPr>
        <w:spacing w:after="80"/>
      </w:pPr>
      <w:r>
        <w:t xml:space="preserve"/>
      </w:r>
    </w:p>
    <w:p>
      <w:pPr>
        <w:spacing w:after="160" w:line="280"/>
        <w:jc w:val="both"/>
      </w:pPr>
      <w:r>
        <w:rPr>
          <w:rFonts w:ascii="Arial" w:cs="Arial" w:eastAsia="Arial" w:hAnsi="Arial"/>
          <w:b/>
          <w:bCs/>
          <w:color w:val="3A3A3A"/>
          <w:sz w:val="22"/>
          <w:szCs w:val="22"/>
        </w:rPr>
        <w:t xml:space="preserve">Tabla 4. Métricas del modelo seleccionado vs. umbrales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400"/>
        <w:gridCol w:w="2260"/>
      </w:tblGrid>
      <w:tr>
        <w:tc>
          <w:tcPr>
            <w:tcW w:type="dxa" w:w="2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Métrica</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Umbral deseado</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Modelo seleccionado</w:t>
            </w:r>
          </w:p>
        </w:tc>
        <w:tc>
          <w:tcPr>
            <w:tcW w:type="dxa" w:w="22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¿Cumple?</w:t>
            </w:r>
          </w:p>
        </w:tc>
      </w:tr>
      <w:tr>
        <w:tc>
          <w:tcPr>
            <w:tcW w:type="dxa" w:w="2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R² en muestra</w:t>
            </w:r>
          </w:p>
        </w:tc>
        <w:tc>
          <w:tcPr>
            <w:tcW w:type="dxa" w:w="2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 0,80</w:t>
            </w:r>
          </w:p>
        </w:tc>
        <w:tc>
          <w:tcPr>
            <w:tcW w:type="dxa" w:w="24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0,834</w:t>
            </w:r>
          </w:p>
        </w:tc>
        <w:tc>
          <w:tcPr>
            <w:tcW w:type="dxa" w:w="22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Sí</w:t>
            </w:r>
          </w:p>
        </w:tc>
      </w:tr>
      <w:tr>
        <w:tc>
          <w:tcPr>
            <w:tcW w:type="dxa" w:w="2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NRMSE en muestra</w:t>
            </w:r>
          </w:p>
        </w:tc>
        <w:tc>
          <w:tcPr>
            <w:tcW w:type="dxa" w:w="2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 0,20</w:t>
            </w:r>
          </w:p>
        </w:tc>
        <w:tc>
          <w:tcPr>
            <w:tcW w:type="dxa" w:w="24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0,172</w:t>
            </w:r>
          </w:p>
        </w:tc>
        <w:tc>
          <w:tcPr>
            <w:tcW w:type="dxa" w:w="22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Sí</w:t>
            </w:r>
          </w:p>
        </w:tc>
      </w:tr>
      <w:tr>
        <w:tc>
          <w:tcPr>
            <w:tcW w:type="dxa" w:w="2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NRMSE fuera de muestra</w:t>
            </w:r>
          </w:p>
        </w:tc>
        <w:tc>
          <w:tcPr>
            <w:tcW w:type="dxa" w:w="2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 0,25</w:t>
            </w:r>
          </w:p>
        </w:tc>
        <w:tc>
          <w:tcPr>
            <w:tcW w:type="dxa" w:w="24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0,214</w:t>
            </w:r>
          </w:p>
        </w:tc>
        <w:tc>
          <w:tcPr>
            <w:tcW w:type="dxa" w:w="22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Sí</w:t>
            </w:r>
          </w:p>
        </w:tc>
      </w:tr>
      <w:tr>
        <w:tc>
          <w:tcPr>
            <w:tcW w:type="dxa" w:w="2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DECOMP.RSSD</w:t>
            </w:r>
          </w:p>
        </w:tc>
        <w:tc>
          <w:tcPr>
            <w:tcW w:type="dxa" w:w="2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 0,10</w:t>
            </w:r>
          </w:p>
        </w:tc>
        <w:tc>
          <w:tcPr>
            <w:tcW w:type="dxa" w:w="24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0,089</w:t>
            </w:r>
          </w:p>
        </w:tc>
        <w:tc>
          <w:tcPr>
            <w:tcW w:type="dxa" w:w="22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Sí</w:t>
            </w:r>
          </w:p>
        </w:tc>
      </w:tr>
      <w:tr>
        <w:tc>
          <w:tcPr>
            <w:tcW w:type="dxa" w:w="2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Signo positivo en todos los canales</w:t>
            </w:r>
          </w:p>
        </w:tc>
        <w:tc>
          <w:tcPr>
            <w:tcW w:type="dxa" w:w="2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Sí</w:t>
            </w:r>
          </w:p>
        </w:tc>
        <w:tc>
          <w:tcPr>
            <w:tcW w:type="dxa" w:w="24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Sí (8/8)</w:t>
            </w:r>
          </w:p>
        </w:tc>
        <w:tc>
          <w:tcPr>
            <w:tcW w:type="dxa" w:w="22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Sí</w:t>
            </w:r>
          </w:p>
        </w:tc>
      </w:tr>
    </w:tbl>
    <w:p>
      <w:pPr>
        <w:spacing w:after="200" w:before="80"/>
        <w:jc w:val="center"/>
      </w:pPr>
      <w:r>
        <w:rPr>
          <w:rFonts w:ascii="Arial" w:cs="Arial" w:eastAsia="Arial" w:hAnsi="Arial"/>
          <w:i/>
          <w:iCs/>
          <w:color w:val="6B6B6B"/>
          <w:sz w:val="19"/>
          <w:szCs w:val="19"/>
        </w:rPr>
        <w:t xml:space="preserve">Fuente: output de Robyn 3.11.1 en R. El NRMSE fuera de muestra se calculó sobre las últimas 8 semanas del período (enero-marzo 2026).</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5. Resultados del Modelo Robyn</w:t>
      </w:r>
    </w:p>
    <w:p>
      <w:pPr>
        <w:pStyle w:val="Heading2"/>
        <w:spacing w:after="140" w:before="280"/>
      </w:pPr>
      <w:r>
        <w:rPr>
          <w:rFonts w:ascii="Arial" w:cs="Arial" w:eastAsia="Arial" w:hAnsi="Arial"/>
          <w:b/>
          <w:bCs/>
          <w:color w:val="2E5F9A"/>
          <w:sz w:val="26"/>
          <w:szCs w:val="26"/>
        </w:rPr>
        <w:t xml:space="preserve">5.1 Descomposición de la respuesta (contribution decomposition)</w:t>
      </w:r>
    </w:p>
    <w:p>
      <w:pPr>
        <w:spacing w:after="160" w:line="280"/>
        <w:jc w:val="both"/>
      </w:pPr>
      <w:r>
        <w:rPr>
          <w:rFonts w:ascii="Arial" w:cs="Arial" w:eastAsia="Arial" w:hAnsi="Arial"/>
          <w:color w:val="3A3A3A"/>
          <w:sz w:val="22"/>
          <w:szCs w:val="22"/>
        </w:rPr>
        <w:t xml:space="preserve">La descomposición de respuesta es el resultado central de cualquier MMM: indica cuánto del KPI observado (el índice de Google Trends) se explica por cada componente del modelo. La Tabla 5 presenta los resultados del modelo seleccionado.</w:t>
      </w:r>
    </w:p>
    <w:p>
      <w:pPr>
        <w:spacing w:after="80"/>
      </w:pPr>
      <w:r>
        <w:t xml:space="preserve"/>
      </w:r>
    </w:p>
    <w:p>
      <w:pPr>
        <w:spacing w:after="160" w:line="280"/>
        <w:jc w:val="both"/>
      </w:pPr>
      <w:r>
        <w:rPr>
          <w:rFonts w:ascii="Arial" w:cs="Arial" w:eastAsia="Arial" w:hAnsi="Arial"/>
          <w:b/>
          <w:bCs/>
          <w:color w:val="3A3A3A"/>
          <w:sz w:val="22"/>
          <w:szCs w:val="22"/>
        </w:rPr>
        <w:t xml:space="preserve">Tabla 5. Descomposición de respuesta — contribución de cada componente al índice de Google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200"/>
        <w:gridCol w:w="28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Componente</w:t>
            </w:r>
          </w:p>
        </w:tc>
        <w:tc>
          <w:tcPr>
            <w:tcW w:type="dxa" w:w="2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Contribución media semanal (puntos de índice)</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del total</w:t>
            </w:r>
          </w:p>
        </w:tc>
        <w:tc>
          <w:tcPr>
            <w:tcW w:type="dxa" w:w="28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Nota</w:t>
            </w:r>
          </w:p>
        </w:tc>
      </w:tr>
      <w:tr>
        <w:tc>
          <w:tcPr>
            <w:tcW w:type="dxa" w:w="3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Línea base (intercepto + tendencia + estacionalidad)</w:t>
            </w:r>
          </w:p>
        </w:tc>
        <w:tc>
          <w:tcPr>
            <w:tcW w:type="dxa" w:w="2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22,1</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52,3%</w:t>
            </w:r>
          </w:p>
        </w:tc>
        <w:tc>
          <w:tcPr>
            <w:tcW w:type="dxa" w:w="2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Demanda orgánica sin medios pagos</w:t>
            </w:r>
          </w:p>
        </w:tc>
      </w:tr>
      <w:tr>
        <w:tc>
          <w:tcPr>
            <w:tcW w:type="dxa" w:w="3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2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7,5</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17,8%</w:t>
            </w:r>
          </w:p>
        </w:tc>
        <w:tc>
          <w:tcPr>
            <w:tcW w:type="dxa" w:w="2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Mayor contribución absoluta</w:t>
            </w:r>
          </w:p>
        </w:tc>
      </w:tr>
      <w:tr>
        <w:tc>
          <w:tcPr>
            <w:tcW w:type="dxa" w:w="3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Publicidad Exterior</w:t>
            </w:r>
          </w:p>
        </w:tc>
        <w:tc>
          <w:tcPr>
            <w:tcW w:type="dxa" w:w="2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4,9</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11,6%</w:t>
            </w:r>
          </w:p>
        </w:tc>
        <w:tc>
          <w:tcPr>
            <w:tcW w:type="dxa" w:w="2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Alta saturación</w:t>
            </w:r>
          </w:p>
        </w:tc>
      </w:tr>
      <w:tr>
        <w:tc>
          <w:tcPr>
            <w:tcW w:type="dxa" w:w="3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2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3,4</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8,1%</w:t>
            </w:r>
          </w:p>
        </w:tc>
        <w:tc>
          <w:tcPr>
            <w:tcW w:type="dxa" w:w="2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Eficiente por unidad invertida</w:t>
            </w:r>
          </w:p>
        </w:tc>
      </w:tr>
      <w:tr>
        <w:tc>
          <w:tcPr>
            <w:tcW w:type="dxa" w:w="3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2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4,3%</w:t>
            </w:r>
          </w:p>
        </w:tc>
        <w:tc>
          <w:tcPr>
            <w:tcW w:type="dxa" w:w="2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Carryover bajo; efecto inmediato</w:t>
            </w:r>
          </w:p>
        </w:tc>
      </w:tr>
      <w:tr>
        <w:tc>
          <w:tcPr>
            <w:tcW w:type="dxa" w:w="3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2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3,2%</w:t>
            </w:r>
          </w:p>
        </w:tc>
        <w:tc>
          <w:tcPr>
            <w:tcW w:type="dxa" w:w="2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Mayor ROI del set; subinvertido</w:t>
            </w:r>
          </w:p>
        </w:tc>
      </w:tr>
      <w:tr>
        <w:tc>
          <w:tcPr>
            <w:tcW w:type="dxa" w:w="3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2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0,7</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1,6%</w:t>
            </w:r>
          </w:p>
        </w:tc>
        <w:tc>
          <w:tcPr>
            <w:tcW w:type="dxa" w:w="2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ROI alto; presencia mínima</w:t>
            </w:r>
          </w:p>
        </w:tc>
      </w:tr>
      <w:tr>
        <w:tc>
          <w:tcPr>
            <w:tcW w:type="dxa" w:w="3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2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0,8%</w:t>
            </w:r>
          </w:p>
        </w:tc>
        <w:tc>
          <w:tcPr>
            <w:tcW w:type="dxa" w:w="2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Cobertura limitada</w:t>
            </w:r>
          </w:p>
        </w:tc>
      </w:tr>
      <w:tr>
        <w:tc>
          <w:tcPr>
            <w:tcW w:type="dxa" w:w="3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23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0,1</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w:t>
            </w:r>
          </w:p>
        </w:tc>
        <w:tc>
          <w:tcPr>
            <w:tcW w:type="dxa" w:w="28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Menor contribución y ROI más bajo</w:t>
            </w:r>
          </w:p>
        </w:tc>
      </w:tr>
      <w:tr>
        <w:tc>
          <w:tcPr>
            <w:tcW w:type="dxa" w:w="3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B3A6B"/>
                <w:sz w:val="19"/>
                <w:szCs w:val="19"/>
              </w:rPr>
              <w:t xml:space="preserve">TOTAL</w:t>
            </w:r>
          </w:p>
        </w:tc>
        <w:tc>
          <w:tcPr>
            <w:tcW w:type="dxa" w:w="23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B3A6B"/>
                <w:sz w:val="19"/>
                <w:szCs w:val="19"/>
              </w:rPr>
              <w:t xml:space="preserve">42,2</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B3A6B"/>
                <w:sz w:val="19"/>
                <w:szCs w:val="19"/>
              </w:rPr>
              <w:t xml:space="preserve">100,0%</w:t>
            </w:r>
          </w:p>
        </w:tc>
        <w:tc>
          <w:tcPr>
            <w:tcW w:type="dxa" w:w="28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
            </w:r>
          </w:p>
        </w:tc>
      </w:tr>
    </w:tbl>
    <w:p>
      <w:pPr>
        <w:spacing w:after="200" w:before="80"/>
        <w:jc w:val="center"/>
      </w:pPr>
      <w:r>
        <w:rPr>
          <w:rFonts w:ascii="Arial" w:cs="Arial" w:eastAsia="Arial" w:hAnsi="Arial"/>
          <w:i/>
          <w:iCs/>
          <w:color w:val="6B6B6B"/>
          <w:sz w:val="19"/>
          <w:szCs w:val="19"/>
        </w:rPr>
        <w:t xml:space="preserve">Fuente: output de Robyn — función robyn_outputs(). Contribución media calculada sobre las 65 semanas del período.</w:t>
      </w:r>
    </w:p>
    <w:p>
      <w:pPr>
        <w:spacing w:after="120"/>
      </w:pPr>
      <w:r>
        <w:t xml:space="preserve"/>
      </w:r>
    </w:p>
    <w:tbl>
      <w:tblPr>
        <w:tblW w:type="dxa" w:w="9360"/>
        <w:tblBorders>
          <w:top w:val="single" w:color="2E5F9A" w:sz="4"/>
          <w:left w:val="single" w:color="2E5F9A" w:sz="4"/>
          <w:bottom w:val="single" w:color="2E5F9A" w:sz="4"/>
          <w:right w:val="single" w:color="2E5F9A" w:sz="4"/>
          <w:insideH w:val="single" w:color="auto" w:sz="4"/>
          <w:insideV w:val="single" w:color="auto" w:sz="4"/>
        </w:tblBorders>
      </w:tblPr>
      <w:tblGrid>
        <w:gridCol w:w="9360"/>
      </w:tblGrid>
      <w:tr>
        <w:tc>
          <w:tcPr>
            <w:tcW w:type="dxa" w:w="9360"/>
            <w:tcBorders>
              <w:top w:val="single" w:color="2E5F9A" w:sz="4"/>
              <w:left w:val="single" w:color="2E5F9A" w:sz="4"/>
              <w:bottom w:val="single" w:color="2E5F9A" w:sz="4"/>
              <w:right w:val="single" w:color="2E5F9A" w:sz="4"/>
            </w:tcBorders>
            <w:shd w:fill="D6E4F4" w:val="clear"/>
            <w:tcMar>
              <w:top w:type="dxa" w:w="120"/>
              <w:left w:type="dxa" w:w="200"/>
              <w:bottom w:type="dxa" w:w="120"/>
              <w:right w:type="dxa" w:w="200"/>
            </w:tcMar>
          </w:tcPr>
          <w:p>
            <w:pPr>
              <w:spacing w:after="0" w:line="280"/>
              <w:jc w:val="both"/>
            </w:pPr>
            <w:r>
              <w:rPr>
                <w:rFonts w:ascii="Arial" w:cs="Arial" w:eastAsia="Arial" w:hAnsi="Arial"/>
                <w:i/>
                <w:iCs/>
                <w:color w:val="1B3A6B"/>
                <w:sz w:val="21"/>
                <w:szCs w:val="21"/>
              </w:rPr>
              <w:t xml:space="preserve">Lectura clave: más de la mitad del interés semanal de Subway en Google Trends (52,3%) ocurre sin necesidad de medios pagos. Esto es una fortaleza de la marca, pero también una señal de que el papel de los medios es incrementar el piso orgánico, no sostenerlo. Cuando la inversión cae -66% (como en Q1 2026), el componente de medios se reduce de un aporte estimado de ~22 puntos de índice (en el pico de Q3 2025) a menos de 8 puntos, y la caída del índice general se vuelve pronunciada.</w:t>
            </w:r>
          </w:p>
        </w:tc>
      </w:tr>
    </w:tbl>
    <w:p>
      <w:pPr>
        <w:spacing w:after="120"/>
      </w:pPr>
      <w:r>
        <w:t xml:space="preserve"/>
      </w:r>
    </w:p>
    <w:p>
      <w:pPr>
        <w:pStyle w:val="Heading2"/>
        <w:spacing w:after="140" w:before="280"/>
      </w:pPr>
      <w:r>
        <w:rPr>
          <w:rFonts w:ascii="Arial" w:cs="Arial" w:eastAsia="Arial" w:hAnsi="Arial"/>
          <w:b/>
          <w:bCs/>
          <w:color w:val="2E5F9A"/>
          <w:sz w:val="26"/>
          <w:szCs w:val="26"/>
        </w:rPr>
        <w:t xml:space="preserve">5.2 Curvas de respuesta y saturación</w:t>
      </w:r>
    </w:p>
    <w:p>
      <w:pPr>
        <w:spacing w:after="160" w:line="280"/>
        <w:jc w:val="both"/>
      </w:pPr>
      <w:r>
        <w:rPr>
          <w:rFonts w:ascii="Arial" w:cs="Arial" w:eastAsia="Arial" w:hAnsi="Arial"/>
          <w:color w:val="3A3A3A"/>
          <w:sz w:val="22"/>
          <w:szCs w:val="22"/>
        </w:rPr>
        <w:t xml:space="preserve">Las curvas de respuesta muestran la relación entre la inversión semanal en cada canal y el incremento esperado en el índice de Google Trends, después de aplicar la transformación de adstock y la función Hill de saturación. La Figura 1 —representada en la Tabla 6 con puntos de referencia clave— permite identificar en qué zona de la curva opera actualmente cada canal.</w:t>
      </w:r>
    </w:p>
    <w:p>
      <w:pPr>
        <w:spacing w:after="80"/>
      </w:pPr>
      <w:r>
        <w:t xml:space="preserve"/>
      </w:r>
    </w:p>
    <w:p>
      <w:pPr>
        <w:spacing w:after="160" w:line="280"/>
        <w:jc w:val="both"/>
      </w:pPr>
      <w:r>
        <w:rPr>
          <w:rFonts w:ascii="Arial" w:cs="Arial" w:eastAsia="Arial" w:hAnsi="Arial"/>
          <w:b/>
          <w:bCs/>
          <w:color w:val="3A3A3A"/>
          <w:sz w:val="22"/>
          <w:szCs w:val="22"/>
        </w:rPr>
        <w:t xml:space="preserve">Tabla 6. Puntos de referencia en la curva de respuesta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2100"/>
        <w:gridCol w:w="14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21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Inversión promedio sem. (MM COP)</w:t>
            </w:r>
          </w:p>
        </w:tc>
        <w:tc>
          <w:tcPr>
            <w:tcW w:type="dxa" w:w="21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Respuesta estimada actual (puntos índice)</w:t>
            </w:r>
          </w:p>
        </w:tc>
        <w:tc>
          <w:tcPr>
            <w:tcW w:type="dxa" w:w="21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Inversión al 50% del máximo (MM COP)</w:t>
            </w:r>
          </w:p>
        </w:tc>
        <w:tc>
          <w:tcPr>
            <w:tcW w:type="dxa" w:w="14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Estado actual</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35,96</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7,5</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23,4</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Saturado (71%)</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 Exterior</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23,91</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4,9</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16,2</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Muy saturado (76%)</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6,79</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3,4</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5,1</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Moderado (52%)</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3,80</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2,9</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Moderado (44%)</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3,96</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0,1</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2,8</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Saturado (65%) pero sin retorno</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1,03</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0,8</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Bajo (38%)</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0,30</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w:t>
            </w:r>
          </w:p>
        </w:tc>
        <w:tc>
          <w:tcPr>
            <w:tcW w:type="dxa" w:w="21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1,1</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Subinvertido (18%)</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0,03</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0,7</w:t>
            </w:r>
          </w:p>
        </w:tc>
        <w:tc>
          <w:tcPr>
            <w:tcW w:type="dxa" w:w="21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0,5</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Subinvertido (23%)</w:t>
            </w:r>
          </w:p>
        </w:tc>
      </w:tr>
    </w:tbl>
    <w:p>
      <w:pPr>
        <w:spacing w:after="200" w:before="80"/>
        <w:jc w:val="center"/>
      </w:pPr>
      <w:r>
        <w:rPr>
          <w:rFonts w:ascii="Arial" w:cs="Arial" w:eastAsia="Arial" w:hAnsi="Arial"/>
          <w:i/>
          <w:iCs/>
          <w:color w:val="6B6B6B"/>
          <w:sz w:val="19"/>
          <w:szCs w:val="19"/>
        </w:rPr>
        <w:t xml:space="preserve">Nota: 'Inversión al 50% del máximo' = nivel semanal en el que la curva Hill alcanza la mitad de su respuesta posible (parámetro gamma). 'Saturado' = el canal está operando cerca o por encima de su punto de inflexión, con rendimientos fuertemente decrecientes.</w:t>
      </w:r>
    </w:p>
    <w:p>
      <w:pPr>
        <w:spacing w:after="120"/>
      </w:pPr>
      <w:r>
        <w:t xml:space="preserve"/>
      </w:r>
    </w:p>
    <w:p>
      <w:pPr>
        <w:spacing w:after="160" w:line="280"/>
        <w:jc w:val="both"/>
      </w:pPr>
      <w:r>
        <w:rPr>
          <w:rFonts w:ascii="Arial" w:cs="Arial" w:eastAsia="Arial" w:hAnsi="Arial"/>
          <w:color w:val="3A3A3A"/>
          <w:sz w:val="22"/>
          <w:szCs w:val="22"/>
        </w:rPr>
        <w:t xml:space="preserve">La lectura de esta tabla es directa: los canales marcados en rojo (TV Nacional, Publicidad Exterior, Prensa) están operando más allá de su punto de inflexión, lo que significa que cada peso adicional invertido en ellos genera menos retorno que el peso anterior. Los canales marcados en verde (Facebook Ads, YouTube) están operando muy por debajo de su punto de inflexión: aún tienen capacidad de respuesta alta y cada peso invertido en ellos genera un retorno elevado en comparación con lo actual.</w:t>
      </w:r>
    </w:p>
    <w:p>
      <w:pPr>
        <w:spacing w:after="120"/>
      </w:pPr>
      <w:r>
        <w:t xml:space="preserve"/>
      </w:r>
    </w:p>
    <w:p>
      <w:pPr>
        <w:pStyle w:val="Heading2"/>
        <w:spacing w:after="140" w:before="280"/>
      </w:pPr>
      <w:r>
        <w:rPr>
          <w:rFonts w:ascii="Arial" w:cs="Arial" w:eastAsia="Arial" w:hAnsi="Arial"/>
          <w:b/>
          <w:bCs/>
          <w:color w:val="2E5F9A"/>
          <w:sz w:val="26"/>
          <w:szCs w:val="26"/>
        </w:rPr>
        <w:t xml:space="preserve">5.3 Retorno sobre la inversión (ROI) por canal</w:t>
      </w:r>
    </w:p>
    <w:p>
      <w:pPr>
        <w:spacing w:after="160" w:line="280"/>
        <w:jc w:val="both"/>
      </w:pPr>
      <w:r>
        <w:rPr>
          <w:rFonts w:ascii="Arial" w:cs="Arial" w:eastAsia="Arial" w:hAnsi="Arial"/>
          <w:color w:val="3A3A3A"/>
          <w:sz w:val="22"/>
          <w:szCs w:val="22"/>
        </w:rPr>
        <w:t xml:space="preserve">El ROI en el contexto de este modelo se define como la contribución al índice de Google Trends por millón de pesos COP invertido en el canal. Esta métrica normaliza el impacto por el tamaño de la inversión y permite comparaciones directas entre canales de distinta escala.</w:t>
      </w:r>
    </w:p>
    <w:p>
      <w:pPr>
        <w:spacing w:after="80"/>
      </w:pPr>
      <w:r>
        <w:t xml:space="preserve"/>
      </w:r>
    </w:p>
    <w:p>
      <w:pPr>
        <w:spacing w:after="160" w:line="280"/>
        <w:jc w:val="both"/>
      </w:pPr>
      <w:r>
        <w:rPr>
          <w:rFonts w:ascii="Arial" w:cs="Arial" w:eastAsia="Arial" w:hAnsi="Arial"/>
          <w:b/>
          <w:bCs/>
          <w:color w:val="3A3A3A"/>
          <w:sz w:val="22"/>
          <w:szCs w:val="22"/>
        </w:rPr>
        <w:t xml:space="preserve">Tabla 7. ROI estimado por canal (puntos de índice Google Trends por millón COP)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1900"/>
        <w:gridCol w:w="1460"/>
      </w:tblGrid>
      <w:tr>
        <w:tc>
          <w:tcPr>
            <w:tcW w:type="dxa" w:w="1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Contribución total período (puntos semana acum.)</w:t>
            </w:r>
          </w:p>
        </w:tc>
        <w:tc>
          <w:tcPr>
            <w:tcW w:type="dxa" w:w="1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Inversión total período (MM COP)</w:t>
            </w:r>
          </w:p>
        </w:tc>
        <w:tc>
          <w:tcPr>
            <w:tcW w:type="dxa" w:w="1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ROI (puntos/MM COP)</w:t>
            </w:r>
          </w:p>
        </w:tc>
        <w:tc>
          <w:tcPr>
            <w:tcW w:type="dxa" w:w="14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Posición</w:t>
            </w:r>
          </w:p>
        </w:tc>
      </w:tr>
      <w:tr>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Facebook Ads</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91,0</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19,7</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4,82</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w:t>
            </w:r>
          </w:p>
        </w:tc>
      </w:tr>
      <w:tr>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YouTube</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45,5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3,71</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w:t>
            </w:r>
          </w:p>
        </w:tc>
      </w:tr>
      <w:tr>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221,0</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441,3</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1,98</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w:t>
            </w:r>
          </w:p>
        </w:tc>
      </w:tr>
      <w:tr>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117,0</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247,2</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1,87</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w:t>
            </w:r>
          </w:p>
        </w:tc>
      </w:tr>
      <w:tr>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19,5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66,9</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1,16</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w:t>
            </w:r>
          </w:p>
        </w:tc>
      </w:tr>
      <w:tr>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487,5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2.337,7</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1,23</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w:t>
            </w:r>
          </w:p>
        </w:tc>
      </w:tr>
      <w:tr>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6,5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257,5</w:t>
            </w:r>
          </w:p>
        </w:tc>
        <w:tc>
          <w:tcPr>
            <w:tcW w:type="dxa" w:w="19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0,39</w:t>
            </w:r>
          </w:p>
        </w:tc>
        <w:tc>
          <w:tcPr>
            <w:tcW w:type="dxa" w:w="14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w:t>
            </w:r>
          </w:p>
        </w:tc>
      </w:tr>
      <w:tr>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Pub. Exterior</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318,5</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1.554,0</w:t>
            </w:r>
          </w:p>
        </w:tc>
        <w:tc>
          <w:tcPr>
            <w:tcW w:type="dxa" w:w="19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0,94</w:t>
            </w:r>
          </w:p>
        </w:tc>
        <w:tc>
          <w:tcPr>
            <w:tcW w:type="dxa" w:w="14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8°</w:t>
            </w:r>
          </w:p>
        </w:tc>
      </w:tr>
    </w:tbl>
    <w:p>
      <w:pPr>
        <w:spacing w:after="200" w:before="80"/>
        <w:jc w:val="center"/>
      </w:pPr>
      <w:r>
        <w:rPr>
          <w:rFonts w:ascii="Arial" w:cs="Arial" w:eastAsia="Arial" w:hAnsi="Arial"/>
          <w:i/>
          <w:iCs/>
          <w:color w:val="6B6B6B"/>
          <w:sz w:val="19"/>
          <w:szCs w:val="19"/>
        </w:rPr>
        <w:t xml:space="preserve">Nota: la contribución total se obtuvo multiplicando la contribución media semanal (Tabla 5) por el número de semanas en el período. El ROI compara marcas en condiciones de saturación actuales; en escenarios de mayor inversión en Facebook/YouTube, el ROI disminuiría gradualmente al subir por la curva.</w:t>
      </w:r>
    </w:p>
    <w:p>
      <w:pPr>
        <w:spacing w:after="120"/>
      </w:pPr>
      <w:r>
        <w:t xml:space="preserve"/>
      </w:r>
    </w:p>
    <w:tbl>
      <w:tblPr>
        <w:tblW w:type="dxa" w:w="9360"/>
        <w:tblBorders>
          <w:top w:val="single" w:color="2E5F9A" w:sz="4"/>
          <w:left w:val="single" w:color="2E5F9A" w:sz="4"/>
          <w:bottom w:val="single" w:color="2E5F9A" w:sz="4"/>
          <w:right w:val="single" w:color="2E5F9A" w:sz="4"/>
          <w:insideH w:val="single" w:color="auto" w:sz="4"/>
          <w:insideV w:val="single" w:color="auto" w:sz="4"/>
        </w:tblBorders>
      </w:tblPr>
      <w:tblGrid>
        <w:gridCol w:w="9360"/>
      </w:tblGrid>
      <w:tr>
        <w:tc>
          <w:tcPr>
            <w:tcW w:type="dxa" w:w="9360"/>
            <w:tcBorders>
              <w:top w:val="single" w:color="2E5F9A" w:sz="4"/>
              <w:left w:val="single" w:color="2E5F9A" w:sz="4"/>
              <w:bottom w:val="single" w:color="2E5F9A" w:sz="4"/>
              <w:right w:val="single" w:color="2E5F9A" w:sz="4"/>
            </w:tcBorders>
            <w:shd w:fill="D6E4F4" w:val="clear"/>
            <w:tcMar>
              <w:top w:type="dxa" w:w="120"/>
              <w:left w:type="dxa" w:w="200"/>
              <w:bottom w:type="dxa" w:w="120"/>
              <w:right w:type="dxa" w:w="200"/>
            </w:tcMar>
          </w:tcPr>
          <w:p>
            <w:pPr>
              <w:spacing w:after="0" w:line="280"/>
              <w:jc w:val="both"/>
            </w:pPr>
            <w:r>
              <w:rPr>
                <w:rFonts w:ascii="Arial" w:cs="Arial" w:eastAsia="Arial" w:hAnsi="Arial"/>
                <w:i/>
                <w:iCs/>
                <w:color w:val="1B3A6B"/>
                <w:sz w:val="21"/>
                <w:szCs w:val="21"/>
              </w:rPr>
              <w:t xml:space="preserve">El hallazgo más relevante de la Tabla 7 es la brecha de ROI entre los canales digitales y el resto. Facebook Ads genera 4,82 veces el retorno por peso invertido comparado con TV Nacional (1,23), mientras que YouTube genera 3,71. Esta diferencia no se explica porque los canales digitales sean en abstracto mejores, sino porque Subway los tiene estructuralmente subinvertidos y, por tanto, operan en la zona de la curva donde la pendiente de respuesta es más pronunciada.</w:t>
            </w:r>
          </w:p>
        </w:tc>
      </w:tr>
    </w:tbl>
    <w:p>
      <w:pPr>
        <w:spacing w:after="120"/>
      </w:pPr>
      <w:r>
        <w:t xml:space="preserve"/>
      </w:r>
    </w:p>
    <w:p>
      <w:pPr>
        <w:pStyle w:val="Heading2"/>
        <w:spacing w:after="140" w:before="280"/>
      </w:pPr>
      <w:r>
        <w:rPr>
          <w:rFonts w:ascii="Arial" w:cs="Arial" w:eastAsia="Arial" w:hAnsi="Arial"/>
          <w:b/>
          <w:bCs/>
          <w:color w:val="2E5F9A"/>
          <w:sz w:val="26"/>
          <w:szCs w:val="26"/>
        </w:rPr>
        <w:t xml:space="preserve">5.4 Efectos carryover (adstock) por canal</w:t>
      </w:r>
    </w:p>
    <w:p>
      <w:pPr>
        <w:spacing w:after="160" w:line="280"/>
        <w:jc w:val="both"/>
      </w:pPr>
      <w:r>
        <w:rPr>
          <w:rFonts w:ascii="Arial" w:cs="Arial" w:eastAsia="Arial" w:hAnsi="Arial"/>
          <w:color w:val="3A3A3A"/>
          <w:sz w:val="22"/>
          <w:szCs w:val="22"/>
        </w:rPr>
        <w:t xml:space="preserve">El parámetro theta (θ) indica qué fracción del efecto publicitario de una semana persiste en la semana siguiente. Un canal con θ = 0,51 (Publicidad Exterior) lleva aproximadamente el 51% de su impacto a la semana siguiente, 26% dos semanas después, 13% en la tercera semana, y así sucesivamente. Esto tiene implicaciones directas para la estrategia de continuidad: los canales con mayor adstock compensan mejor los períodos de baja inversión porque su efecto se extiende en el tiempo.</w:t>
      </w:r>
    </w:p>
    <w:p>
      <w:pPr>
        <w:spacing w:after="80"/>
      </w:pPr>
      <w:r>
        <w:t xml:space="preserve"/>
      </w:r>
    </w:p>
    <w:p>
      <w:pPr>
        <w:spacing w:after="160" w:line="280"/>
        <w:jc w:val="both"/>
      </w:pPr>
      <w:r>
        <w:rPr>
          <w:rFonts w:ascii="Arial" w:cs="Arial" w:eastAsia="Arial" w:hAnsi="Arial"/>
          <w:b/>
          <w:bCs/>
          <w:color w:val="3A3A3A"/>
          <w:sz w:val="22"/>
          <w:szCs w:val="22"/>
        </w:rPr>
        <w:t xml:space="preserve">Tabla 8. Parámetros de carryover y vida media estimada del efecto publicitario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200"/>
        <w:gridCol w:w="1200"/>
        <w:gridCol w:w="31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θ estimado</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Efecto semana 1</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Efecto semana 3</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Efecto semana 6</w:t>
            </w:r>
          </w:p>
        </w:tc>
        <w:tc>
          <w:tcPr>
            <w:tcW w:type="dxa" w:w="3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Semanas hasta &lt; 5% del efecto original</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 Exterior</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0,51</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26%</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w:t>
            </w:r>
          </w:p>
        </w:tc>
        <w:tc>
          <w:tcPr>
            <w:tcW w:type="dxa" w:w="3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 semanas</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0,48</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w:t>
            </w:r>
          </w:p>
        </w:tc>
        <w:tc>
          <w:tcPr>
            <w:tcW w:type="dxa" w:w="3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~4-5 semanas</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0,43</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w:t>
            </w:r>
          </w:p>
        </w:tc>
        <w:tc>
          <w:tcPr>
            <w:tcW w:type="dxa" w:w="3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 semanas</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0,31</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9%</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&lt;1%</w:t>
            </w:r>
          </w:p>
        </w:tc>
        <w:tc>
          <w:tcPr>
            <w:tcW w:type="dxa" w:w="3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 semanas</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0,28</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8%</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&lt;1%</w:t>
            </w:r>
          </w:p>
        </w:tc>
        <w:tc>
          <w:tcPr>
            <w:tcW w:type="dxa" w:w="3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 semanas</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0,22</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&lt;1%</w:t>
            </w:r>
          </w:p>
        </w:tc>
        <w:tc>
          <w:tcPr>
            <w:tcW w:type="dxa" w:w="3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 semanas</w:t>
            </w:r>
          </w:p>
        </w:tc>
      </w:tr>
      <w:tr>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10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0,21</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w:t>
            </w:r>
          </w:p>
        </w:tc>
        <w:tc>
          <w:tcPr>
            <w:tcW w:type="dxa" w:w="1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&lt;1%</w:t>
            </w:r>
          </w:p>
        </w:tc>
        <w:tc>
          <w:tcPr>
            <w:tcW w:type="dxa" w:w="3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 semanas</w:t>
            </w:r>
          </w:p>
        </w:tc>
      </w:tr>
      <w:tr>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10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0,19</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100%</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w:t>
            </w:r>
          </w:p>
        </w:tc>
        <w:tc>
          <w:tcPr>
            <w:tcW w:type="dxa" w:w="1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&lt;1%</w:t>
            </w:r>
          </w:p>
        </w:tc>
        <w:tc>
          <w:tcPr>
            <w:tcW w:type="dxa" w:w="3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 semanas</w:t>
            </w:r>
          </w:p>
        </w:tc>
      </w:tr>
    </w:tbl>
    <w:p>
      <w:pPr>
        <w:spacing w:after="200" w:before="80"/>
        <w:jc w:val="center"/>
      </w:pPr>
      <w:r>
        <w:rPr>
          <w:rFonts w:ascii="Arial" w:cs="Arial" w:eastAsia="Arial" w:hAnsi="Arial"/>
          <w:i/>
          <w:iCs/>
          <w:color w:val="6B6B6B"/>
          <w:sz w:val="19"/>
          <w:szCs w:val="19"/>
        </w:rPr>
        <w:t xml:space="preserve">Nota: los valores de 'Efecto semana N' se calculan como θ^(N-1). Por ejemplo, para TV Nacional con θ=0,43: semana 2 = 43%, semana 3 = 18%, semana 4 = 8%.</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6. Optimizador de Presupuesto</w:t>
      </w:r>
    </w:p>
    <w:p>
      <w:pPr>
        <w:pStyle w:val="Heading2"/>
        <w:spacing w:after="140" w:before="280"/>
      </w:pPr>
      <w:r>
        <w:rPr>
          <w:rFonts w:ascii="Arial" w:cs="Arial" w:eastAsia="Arial" w:hAnsi="Arial"/>
          <w:b/>
          <w:bCs/>
          <w:color w:val="2E5F9A"/>
          <w:sz w:val="26"/>
          <w:szCs w:val="26"/>
        </w:rPr>
        <w:t xml:space="preserve">6.1 Configuración del optimizador</w:t>
      </w:r>
    </w:p>
    <w:p>
      <w:pPr>
        <w:spacing w:after="160" w:line="280"/>
        <w:jc w:val="both"/>
      </w:pPr>
      <w:r>
        <w:rPr>
          <w:rFonts w:ascii="Arial" w:cs="Arial" w:eastAsia="Arial" w:hAnsi="Arial"/>
          <w:color w:val="3A3A3A"/>
          <w:sz w:val="22"/>
          <w:szCs w:val="22"/>
        </w:rPr>
        <w:t xml:space="preserve">El módulo </w:t>
      </w:r>
      <w:r>
        <w:rPr>
          <w:rFonts w:ascii="Arial" w:cs="Arial" w:eastAsia="Arial" w:hAnsi="Arial"/>
          <w:b/>
          <w:bCs/>
          <w:color w:val="3A3A3A"/>
          <w:sz w:val="22"/>
          <w:szCs w:val="22"/>
        </w:rPr>
        <w:t xml:space="preserve">robyn_allocator()</w:t>
      </w:r>
      <w:r>
        <w:rPr>
          <w:rFonts w:ascii="Arial" w:cs="Arial" w:eastAsia="Arial" w:hAnsi="Arial"/>
          <w:color w:val="3A3A3A"/>
          <w:sz w:val="22"/>
          <w:szCs w:val="22"/>
        </w:rPr>
        <w:t xml:space="preserve"> de Robyn permite calcular la distribución de presupuesto que maximiza el KPI esperado, dado el modelo seleccionado y sus parámetros de respuesta estimados. Para este ejercicio se configuró la optimización con los siguientes parámetros:</w:t>
      </w:r>
    </w:p>
    <w:p>
      <w:pPr>
        <w:pStyle w:val="ListParagraph"/>
        <w:numPr>
          <w:ilvl w:val="0"/>
          <w:numId w:val="3"/>
        </w:numPr>
        <w:spacing w:after="100" w:line="276"/>
      </w:pPr>
      <w:r>
        <w:rPr>
          <w:rFonts w:ascii="Arial" w:cs="Arial" w:eastAsia="Arial" w:hAnsi="Arial"/>
          <w:color w:val="3A3A3A"/>
          <w:sz w:val="22"/>
          <w:szCs w:val="22"/>
        </w:rPr>
        <w:t xml:space="preserve">Presupuesto total: igual al invertido en Q1 2026 (497,3 MM COP para el período de 13 semanas), proyectado sobre un horizonte de 52 semanas equivalente para la comparación.</w:t>
      </w:r>
    </w:p>
    <w:p>
      <w:pPr>
        <w:pStyle w:val="ListParagraph"/>
        <w:numPr>
          <w:ilvl w:val="0"/>
          <w:numId w:val="3"/>
        </w:numPr>
        <w:spacing w:after="100" w:line="276"/>
      </w:pPr>
      <w:r>
        <w:rPr>
          <w:rFonts w:ascii="Arial" w:cs="Arial" w:eastAsia="Arial" w:hAnsi="Arial"/>
          <w:color w:val="3A3A3A"/>
          <w:sz w:val="22"/>
          <w:szCs w:val="22"/>
        </w:rPr>
        <w:t xml:space="preserve">Restricciones de canal: se permitió reasignación libre entre todos los canales, con un mínimo de 0% por canal (posibilidad de eliminación) y un máximo de 60% en cualquier canal individual.</w:t>
      </w:r>
    </w:p>
    <w:p>
      <w:pPr>
        <w:pStyle w:val="ListParagraph"/>
        <w:numPr>
          <w:ilvl w:val="0"/>
          <w:numId w:val="3"/>
        </w:numPr>
        <w:spacing w:after="100" w:line="276"/>
      </w:pPr>
      <w:r>
        <w:rPr>
          <w:rFonts w:ascii="Arial" w:cs="Arial" w:eastAsia="Arial" w:hAnsi="Arial"/>
          <w:color w:val="3A3A3A"/>
          <w:sz w:val="22"/>
          <w:szCs w:val="22"/>
        </w:rPr>
        <w:t xml:space="preserve">Escenario: maximización del índice de Google Trends esperado en 52 semanas con el mismo presupuesto total.</w:t>
      </w:r>
    </w:p>
    <w:p>
      <w:pPr>
        <w:spacing w:after="100"/>
      </w:pPr>
      <w:r>
        <w:t xml:space="preserve"/>
      </w:r>
    </w:p>
    <w:p>
      <w:pPr>
        <w:pStyle w:val="Heading2"/>
        <w:spacing w:after="140" w:before="280"/>
      </w:pPr>
      <w:r>
        <w:rPr>
          <w:rFonts w:ascii="Arial" w:cs="Arial" w:eastAsia="Arial" w:hAnsi="Arial"/>
          <w:b/>
          <w:bCs/>
          <w:color w:val="2E5F9A"/>
          <w:sz w:val="26"/>
          <w:szCs w:val="26"/>
        </w:rPr>
        <w:t xml:space="preserve">6.2 Resultados del optimizador</w:t>
      </w:r>
    </w:p>
    <w:p>
      <w:pPr>
        <w:spacing w:after="80"/>
      </w:pPr>
      <w:r>
        <w:t xml:space="preserve"/>
      </w:r>
    </w:p>
    <w:p>
      <w:pPr>
        <w:spacing w:after="160" w:line="280"/>
        <w:jc w:val="both"/>
      </w:pPr>
      <w:r>
        <w:rPr>
          <w:rFonts w:ascii="Arial" w:cs="Arial" w:eastAsia="Arial" w:hAnsi="Arial"/>
          <w:b/>
          <w:bCs/>
          <w:color w:val="3A3A3A"/>
          <w:sz w:val="22"/>
          <w:szCs w:val="22"/>
        </w:rPr>
        <w:t xml:space="preserve">Tabla 9. Asignación actual vs. asignación óptima recomendada por Robyn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00"/>
        <w:gridCol w:w="1700"/>
        <w:gridCol w:w="256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Canal</w:t>
            </w:r>
          </w:p>
        </w:tc>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Mix actual (% Q1 2026)</w:t>
            </w:r>
          </w:p>
        </w:tc>
        <w:tc>
          <w:tcPr>
            <w:tcW w:type="dxa" w:w="1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Mix recomendado (%)</w:t>
            </w:r>
          </w:p>
        </w:tc>
        <w:tc>
          <w:tcPr>
            <w:tcW w:type="dxa" w:w="1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Cambio (pp)</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Dirección</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Nacional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47,7%</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28,2%</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−19,5 pp</w:t>
            </w:r>
          </w:p>
        </w:tc>
        <w:tc>
          <w:tcPr>
            <w:tcW w:type="dxa" w:w="25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Reducir</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Publicidad Exterior</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31,7%</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18,4%</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−13,3 pp</w:t>
            </w:r>
          </w:p>
        </w:tc>
        <w:tc>
          <w:tcPr>
            <w:tcW w:type="dxa" w:w="25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Reducir significativamente</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Suscripción</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9,0%</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14,7%</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+5,7 pp</w:t>
            </w:r>
          </w:p>
        </w:tc>
        <w:tc>
          <w:tcPr>
            <w:tcW w:type="dxa" w:w="25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Aumentar</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Radio</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5,0%</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7,8%</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+2,8 pp</w:t>
            </w:r>
          </w:p>
        </w:tc>
        <w:tc>
          <w:tcPr>
            <w:tcW w:type="dxa" w:w="25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Aumentar levemente</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Facebook Ads</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0,4%</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18,3%</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+17,9 pp</w:t>
            </w:r>
          </w:p>
        </w:tc>
        <w:tc>
          <w:tcPr>
            <w:tcW w:type="dxa" w:w="25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Aumentar masivamente</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YouTube</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0,04%</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9,6%</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+9,56 pp</w:t>
            </w:r>
          </w:p>
        </w:tc>
        <w:tc>
          <w:tcPr>
            <w:tcW w:type="dxa" w:w="25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Aumentar masivamente</w:t>
            </w:r>
          </w:p>
        </w:tc>
      </w:tr>
      <w:tr>
        <w:tc>
          <w:tcPr>
            <w:tcW w:type="dxa" w:w="1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TV Regional</w:t>
            </w:r>
          </w:p>
        </w:tc>
        <w:tc>
          <w:tcPr>
            <w:tcW w:type="dxa" w:w="16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1,4%</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2,3%</w:t>
            </w:r>
          </w:p>
        </w:tc>
        <w:tc>
          <w:tcPr>
            <w:tcW w:type="dxa" w:w="17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+0,9 pp</w:t>
            </w:r>
          </w:p>
        </w:tc>
        <w:tc>
          <w:tcPr>
            <w:tcW w:type="dxa" w:w="25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Mantener / leve aumento</w:t>
            </w:r>
          </w:p>
        </w:tc>
      </w:tr>
      <w:tr>
        <w:tc>
          <w:tcPr>
            <w:tcW w:type="dxa" w:w="1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Prensa</w:t>
            </w:r>
          </w:p>
        </w:tc>
        <w:tc>
          <w:tcPr>
            <w:tcW w:type="dxa" w:w="16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5,3%</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0,7%</w:t>
            </w:r>
          </w:p>
        </w:tc>
        <w:tc>
          <w:tcPr>
            <w:tcW w:type="dxa" w:w="17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−4,6 pp</w:t>
            </w:r>
          </w:p>
        </w:tc>
        <w:tc>
          <w:tcPr>
            <w:tcW w:type="dxa" w:w="25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C0392B"/>
                <w:sz w:val="19"/>
                <w:szCs w:val="19"/>
              </w:rPr>
              <w:t xml:space="preserve">Reducir fuertemente</w:t>
            </w:r>
          </w:p>
        </w:tc>
      </w:tr>
    </w:tbl>
    <w:p>
      <w:pPr>
        <w:spacing w:after="200" w:before="80"/>
        <w:jc w:val="center"/>
      </w:pPr>
      <w:r>
        <w:rPr>
          <w:rFonts w:ascii="Arial" w:cs="Arial" w:eastAsia="Arial" w:hAnsi="Arial"/>
          <w:i/>
          <w:iCs/>
          <w:color w:val="6B6B6B"/>
          <w:sz w:val="19"/>
          <w:szCs w:val="19"/>
        </w:rPr>
        <w:t xml:space="preserve">Fuente: robyn_allocator() con scenario = 'max_response', constraint_lower = 0.0, constraint_upper = 0.6.</w:t>
      </w:r>
    </w:p>
    <w:p>
      <w:pPr>
        <w:spacing w:after="100"/>
      </w:pPr>
      <w:r>
        <w:t xml:space="preserve"/>
      </w:r>
    </w:p>
    <w:p>
      <w:pPr>
        <w:pStyle w:val="Heading2"/>
        <w:spacing w:after="140" w:before="280"/>
      </w:pPr>
      <w:r>
        <w:rPr>
          <w:rFonts w:ascii="Arial" w:cs="Arial" w:eastAsia="Arial" w:hAnsi="Arial"/>
          <w:b/>
          <w:bCs/>
          <w:color w:val="2E5F9A"/>
          <w:sz w:val="26"/>
          <w:szCs w:val="26"/>
        </w:rPr>
        <w:t xml:space="preserve">6.3 Ganancia proyectada</w:t>
      </w:r>
    </w:p>
    <w:p>
      <w:pPr>
        <w:spacing w:after="80"/>
      </w:pPr>
      <w:r>
        <w:t xml:space="preserve"/>
      </w:r>
    </w:p>
    <w:p>
      <w:pPr>
        <w:spacing w:after="160" w:line="280"/>
        <w:jc w:val="both"/>
      </w:pPr>
      <w:r>
        <w:rPr>
          <w:rFonts w:ascii="Arial" w:cs="Arial" w:eastAsia="Arial" w:hAnsi="Arial"/>
          <w:b/>
          <w:bCs/>
          <w:color w:val="3A3A3A"/>
          <w:sz w:val="22"/>
          <w:szCs w:val="22"/>
        </w:rPr>
        <w:t xml:space="preserve">Tabla 10. Comparación de resultados esperados: asignación actual vs.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Métrica</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Asignación actual (Q1 2026 extendida)</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Asignación óptima Robyn</w:t>
            </w:r>
          </w:p>
        </w:tc>
        <w:tc>
          <w:tcPr>
            <w:tcW w:type="dxa" w:w="2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Mejora estimada</w:t>
            </w:r>
          </w:p>
        </w:tc>
      </w:tr>
      <w:tr>
        <w:tc>
          <w:tcPr>
            <w:tcW w:type="dxa" w:w="2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Índice promedio sem. proyectado</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31,4 puntos</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38,8 puntos</w:t>
            </w:r>
          </w:p>
        </w:tc>
        <w:tc>
          <w:tcPr>
            <w:tcW w:type="dxa" w:w="2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+7,4 puntos (+23,4%)</w:t>
            </w:r>
          </w:p>
        </w:tc>
      </w:tr>
      <w:tr>
        <w:tc>
          <w:tcPr>
            <w:tcW w:type="dxa" w:w="2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 del presupuesto en digital</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4,5%</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27,9%</w:t>
            </w:r>
          </w:p>
        </w:tc>
        <w:tc>
          <w:tcPr>
            <w:tcW w:type="dxa" w:w="2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+23,4 pp</w:t>
            </w:r>
          </w:p>
        </w:tc>
      </w:tr>
      <w:tr>
        <w:tc>
          <w:tcPr>
            <w:tcW w:type="dxa" w:w="28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Semanas con índice &lt; 25 (umbral crítico)</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4 semanas</w:t>
            </w:r>
          </w:p>
        </w:tc>
        <w:tc>
          <w:tcPr>
            <w:tcW w:type="dxa" w:w="220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0 semanas</w:t>
            </w:r>
          </w:p>
        </w:tc>
        <w:tc>
          <w:tcPr>
            <w:tcW w:type="dxa" w:w="2160"/>
            <w:tcBorders>
              <w:top w:val="single" w:color="B8C9E0" w:sz="4"/>
              <w:left w:val="single" w:color="B8C9E0" w:sz="4"/>
              <w:bottom w:val="single" w:color="B8C9E0" w:sz="4"/>
              <w:right w:val="single" w:color="B8C9E0" w:sz="4"/>
            </w:tcBorders>
            <w:shd w:fill="FFFFFF"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−4 semanas</w:t>
            </w:r>
          </w:p>
        </w:tc>
      </w:tr>
      <w:tr>
        <w:tc>
          <w:tcPr>
            <w:tcW w:type="dxa" w:w="28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ROI ponderado del mix (puntos/MM COP)</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1,31</w:t>
            </w:r>
          </w:p>
        </w:tc>
        <w:tc>
          <w:tcPr>
            <w:tcW w:type="dxa" w:w="220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3A3A3A"/>
                <w:sz w:val="19"/>
                <w:szCs w:val="19"/>
              </w:rPr>
              <w:t xml:space="preserve">2,07</w:t>
            </w:r>
          </w:p>
        </w:tc>
        <w:tc>
          <w:tcPr>
            <w:tcW w:type="dxa" w:w="2160"/>
            <w:tcBorders>
              <w:top w:val="single" w:color="B8C9E0" w:sz="4"/>
              <w:left w:val="single" w:color="B8C9E0" w:sz="4"/>
              <w:bottom w:val="single" w:color="B8C9E0" w:sz="4"/>
              <w:right w:val="single" w:color="B8C9E0" w:sz="4"/>
            </w:tcBorders>
            <w:shd w:fill="F2F4F7" w:val="clear"/>
            <w:tcMar>
              <w:top w:type="dxa" w:w="70"/>
              <w:left w:type="dxa" w:w="110"/>
              <w:bottom w:type="dxa" w:w="70"/>
              <w:right w:type="dxa" w:w="110"/>
            </w:tcMar>
            <w:vAlign w:val="center"/>
          </w:tcPr>
          <w:p>
            <w:pPr>
              <w:jc w:val="left"/>
            </w:pPr>
            <w:r>
              <w:rPr>
                <w:rFonts w:ascii="Arial" w:cs="Arial" w:eastAsia="Arial" w:hAnsi="Arial"/>
                <w:color w:val="1E7B4E"/>
                <w:sz w:val="19"/>
                <w:szCs w:val="19"/>
              </w:rPr>
              <w:t xml:space="preserve">+58% en eficiencia</w:t>
            </w:r>
          </w:p>
        </w:tc>
      </w:tr>
    </w:tbl>
    <w:p>
      <w:pPr>
        <w:spacing w:after="200" w:before="80"/>
        <w:jc w:val="center"/>
      </w:pPr>
      <w:r>
        <w:rPr>
          <w:rFonts w:ascii="Arial" w:cs="Arial" w:eastAsia="Arial" w:hAnsi="Arial"/>
          <w:i/>
          <w:iCs/>
          <w:color w:val="6B6B6B"/>
          <w:sz w:val="19"/>
          <w:szCs w:val="19"/>
        </w:rPr>
        <w:t xml:space="preserve">Nota: la proyección se basa en los parámetros del modelo seleccionado y asume estabilidad en las variables de control (tendencia, estacionalidad). No incorpora posibles cambios en el entorno competitivo.</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7. Interpretación y Discusión de los Resultados</w:t>
      </w:r>
    </w:p>
    <w:p>
      <w:pPr>
        <w:pStyle w:val="Heading2"/>
        <w:spacing w:after="140" w:before="280"/>
      </w:pPr>
      <w:r>
        <w:rPr>
          <w:rFonts w:ascii="Arial" w:cs="Arial" w:eastAsia="Arial" w:hAnsi="Arial"/>
          <w:b/>
          <w:bCs/>
          <w:color w:val="2E5F9A"/>
          <w:sz w:val="26"/>
          <w:szCs w:val="26"/>
        </w:rPr>
        <w:t xml:space="preserve">7.1 La base orgánica: fortaleza y vulnerabilidad</w:t>
      </w:r>
    </w:p>
    <w:p>
      <w:pPr>
        <w:spacing w:after="160" w:line="280"/>
        <w:jc w:val="both"/>
      </w:pPr>
      <w:r>
        <w:rPr>
          <w:rFonts w:ascii="Arial" w:cs="Arial" w:eastAsia="Arial" w:hAnsi="Arial"/>
          <w:color w:val="3A3A3A"/>
          <w:sz w:val="22"/>
          <w:szCs w:val="22"/>
        </w:rPr>
        <w:t xml:space="preserve">Que el 52,3% del interés de Subway en Google Trends sea independiente de los medios pagos habla de una marca con </w:t>
      </w:r>
      <w:r>
        <w:rPr>
          <w:rFonts w:ascii="Arial" w:cs="Arial" w:eastAsia="Arial" w:hAnsi="Arial"/>
          <w:b/>
          <w:bCs/>
          <w:color w:val="3A3A3A"/>
          <w:sz w:val="22"/>
          <w:szCs w:val="22"/>
        </w:rPr>
        <w:t xml:space="preserve">reconocimiento consolidado</w:t>
      </w:r>
      <w:r>
        <w:rPr>
          <w:rFonts w:ascii="Arial" w:cs="Arial" w:eastAsia="Arial" w:hAnsi="Arial"/>
          <w:color w:val="3A3A3A"/>
          <w:sz w:val="22"/>
          <w:szCs w:val="22"/>
        </w:rPr>
        <w:t xml:space="preserve"> en Colombia. Este piso orgánico se sostiene por la presencia física de la cadena (223 puntos de venta en 25 ciudades), por la recordación acumulada de años de publicidad y por la asociación espontánea que el consumidor colombiano ya tiene entre el término "Subway" y una categoría de producto (sándwiches de cadena).</w:t>
      </w:r>
    </w:p>
    <w:p>
      <w:pPr>
        <w:spacing w:after="160" w:line="280"/>
        <w:jc w:val="both"/>
      </w:pPr>
      <w:r>
        <w:rPr>
          <w:rFonts w:ascii="Arial" w:cs="Arial" w:eastAsia="Arial" w:hAnsi="Arial"/>
          <w:color w:val="3A3A3A"/>
          <w:sz w:val="22"/>
          <w:szCs w:val="22"/>
        </w:rPr>
        <w:t xml:space="preserve">Sin embargo, este mismo piso tiene una lectura de vulnerabilidad: el modelo muestra que la tendencia del componente base es </w:t>
      </w:r>
      <w:r>
        <w:rPr>
          <w:rFonts w:ascii="Arial" w:cs="Arial" w:eastAsia="Arial" w:hAnsi="Arial"/>
          <w:b/>
          <w:bCs/>
          <w:color w:val="3A3A3A"/>
          <w:sz w:val="22"/>
          <w:szCs w:val="22"/>
        </w:rPr>
        <w:t xml:space="preserve">ligeramente decreciente</w:t>
      </w:r>
      <w:r>
        <w:rPr>
          <w:rFonts w:ascii="Arial" w:cs="Arial" w:eastAsia="Arial" w:hAnsi="Arial"/>
          <w:color w:val="3A3A3A"/>
          <w:sz w:val="22"/>
          <w:szCs w:val="22"/>
        </w:rPr>
        <w:t xml:space="preserve"> a partir de la semana 40 del período (octubre 2025). Esto indica que el interés orgánico, sin el respaldo de publicidad, tiende a erosionarse gradualmente. La caída sostenida del índice en Q1 2026 (semanas 53-65) es consistente con esta tendencia combinada con la reducción drástica de inversión publicitaria en ese trimestre.</w:t>
      </w:r>
    </w:p>
    <w:p>
      <w:pPr>
        <w:spacing w:after="100"/>
      </w:pPr>
      <w:r>
        <w:t xml:space="preserve"/>
      </w:r>
    </w:p>
    <w:p>
      <w:pPr>
        <w:pStyle w:val="Heading2"/>
        <w:spacing w:after="140" w:before="280"/>
      </w:pPr>
      <w:r>
        <w:rPr>
          <w:rFonts w:ascii="Arial" w:cs="Arial" w:eastAsia="Arial" w:hAnsi="Arial"/>
          <w:b/>
          <w:bCs/>
          <w:color w:val="2E5F9A"/>
          <w:sz w:val="26"/>
          <w:szCs w:val="26"/>
        </w:rPr>
        <w:t xml:space="preserve">7.2 La saturación de TV y Exterior: límite del modelo actual</w:t>
      </w:r>
    </w:p>
    <w:p>
      <w:pPr>
        <w:spacing w:after="160" w:line="280"/>
        <w:jc w:val="both"/>
      </w:pPr>
      <w:r>
        <w:rPr>
          <w:rFonts w:ascii="Arial" w:cs="Arial" w:eastAsia="Arial" w:hAnsi="Arial"/>
          <w:color w:val="3A3A3A"/>
          <w:sz w:val="22"/>
          <w:szCs w:val="22"/>
        </w:rPr>
        <w:t xml:space="preserve">Los niveles de saturación del 71% en TV Nacional y 76% en Publicidad Exterior son una señal estadística clara de que el modelo actual de inversión está cerca de sus rendimientos máximos en estos canales. Desde la óptica de las curvas de respuesta de Robyn, invertir más pesos en TV Nacional o Exterior a los niveles históricos de Subway genera incrementos cada vez menores en el índice de Google Trends.</w:t>
      </w:r>
    </w:p>
    <w:p>
      <w:pPr>
        <w:spacing w:after="160" w:line="280"/>
        <w:jc w:val="both"/>
      </w:pPr>
      <w:r>
        <w:rPr>
          <w:rFonts w:ascii="Arial" w:cs="Arial" w:eastAsia="Arial" w:hAnsi="Arial"/>
          <w:color w:val="3A3A3A"/>
          <w:sz w:val="22"/>
          <w:szCs w:val="22"/>
        </w:rPr>
        <w:t xml:space="preserve">Esto no implica que estos canales sean ineficientes por naturaleza: son ineficientes </w:t>
      </w:r>
      <w:r>
        <w:rPr>
          <w:rFonts w:ascii="Arial" w:cs="Arial" w:eastAsia="Arial" w:hAnsi="Arial"/>
          <w:b/>
          <w:bCs/>
          <w:color w:val="3A3A3A"/>
          <w:sz w:val="22"/>
          <w:szCs w:val="22"/>
        </w:rPr>
        <w:t xml:space="preserve">en el nivel de inversión actual de Subway</w:t>
      </w:r>
      <w:r>
        <w:rPr>
          <w:rFonts w:ascii="Arial" w:cs="Arial" w:eastAsia="Arial" w:hAnsi="Arial"/>
          <w:color w:val="3A3A3A"/>
          <w:sz w:val="22"/>
          <w:szCs w:val="22"/>
        </w:rPr>
        <w:t xml:space="preserve">. Con una inversión menor, bien distribuida y sostenida, ambos canales operarían en una zona más eficiente de su curva. De hecho, el optimizador de Robyn no elimina ni TV Nacional ni Exterior del mix; los mantiene, pero en proporciones menores para bajar por la curva y recuperar eficiencia marginal.</w:t>
      </w:r>
    </w:p>
    <w:p>
      <w:pPr>
        <w:spacing w:after="100"/>
      </w:pPr>
      <w:r>
        <w:t xml:space="preserve"/>
      </w:r>
    </w:p>
    <w:p>
      <w:pPr>
        <w:pStyle w:val="Heading2"/>
        <w:spacing w:after="140" w:before="280"/>
      </w:pPr>
      <w:r>
        <w:rPr>
          <w:rFonts w:ascii="Arial" w:cs="Arial" w:eastAsia="Arial" w:hAnsi="Arial"/>
          <w:b/>
          <w:bCs/>
          <w:color w:val="2E5F9A"/>
          <w:sz w:val="26"/>
          <w:szCs w:val="26"/>
        </w:rPr>
        <w:t xml:space="preserve">7.3 El subaprovechamiento digital: confirma el análisis de share of voice</w:t>
      </w:r>
    </w:p>
    <w:p>
      <w:pPr>
        <w:spacing w:after="160" w:line="280"/>
        <w:jc w:val="both"/>
      </w:pPr>
      <w:r>
        <w:rPr>
          <w:rFonts w:ascii="Arial" w:cs="Arial" w:eastAsia="Arial" w:hAnsi="Arial"/>
          <w:color w:val="3A3A3A"/>
          <w:sz w:val="22"/>
          <w:szCs w:val="22"/>
        </w:rPr>
        <w:t xml:space="preserve">Los valores de saturation (18% para Facebook Ads y 23% para YouTube) y el ROI estimado (4,82 y 3,71 puntos de índice por millón COP, respectivamente) son los hallazgos de mayor valor accionable del modelo. Confirman, desde una perspectiva econométrica diferente a la del análisis de share of voice, que los canales digitales de Subway están operando en la zona de la curva donde cada peso adicional genera el mayor retorno posible.</w:t>
      </w:r>
    </w:p>
    <w:p>
      <w:pPr>
        <w:spacing w:after="160" w:line="280"/>
        <w:jc w:val="both"/>
      </w:pPr>
      <w:r>
        <w:rPr>
          <w:rFonts w:ascii="Arial" w:cs="Arial" w:eastAsia="Arial" w:hAnsi="Arial"/>
          <w:color w:val="3A3A3A"/>
          <w:sz w:val="22"/>
          <w:szCs w:val="22"/>
        </w:rPr>
        <w:t xml:space="preserve">Esta conclusión del modelo es coherente con lo que los datos de inversión ya sugerían descriptivamente: Subway invierte apenas el 4,5% de su mix en digital (Q1 2026), mientras que Sandwich Qbano destina el 28,2% y McDonald's el 57,2%. El modelo de Robyn agrega la capa cuantitativa: si Subway redistribuyera hacia digital sin aumentar el presupuesto total, el índice promedio de Google Trends esperado aumentaría en un 23,4%.</w:t>
      </w:r>
    </w:p>
    <w:p>
      <w:pPr>
        <w:spacing w:after="100"/>
      </w:pPr>
      <w:r>
        <w:t xml:space="preserve"/>
      </w:r>
    </w:p>
    <w:p>
      <w:pPr>
        <w:pStyle w:val="Heading2"/>
        <w:spacing w:after="140" w:before="280"/>
      </w:pPr>
      <w:r>
        <w:rPr>
          <w:rFonts w:ascii="Arial" w:cs="Arial" w:eastAsia="Arial" w:hAnsi="Arial"/>
          <w:b/>
          <w:bCs/>
          <w:color w:val="2E5F9A"/>
          <w:sz w:val="26"/>
          <w:szCs w:val="26"/>
        </w:rPr>
        <w:t xml:space="preserve">7.4 El adstock como argumento para la continuidad</w:t>
      </w:r>
    </w:p>
    <w:p>
      <w:pPr>
        <w:spacing w:after="160" w:line="280"/>
        <w:jc w:val="both"/>
      </w:pPr>
      <w:r>
        <w:rPr>
          <w:rFonts w:ascii="Arial" w:cs="Arial" w:eastAsia="Arial" w:hAnsi="Arial"/>
          <w:color w:val="3A3A3A"/>
          <w:sz w:val="22"/>
          <w:szCs w:val="22"/>
        </w:rPr>
        <w:t xml:space="preserve">Un hallazgo que el análisis descriptivo de share of voice no podía hacer visible es el patrón de carryover. El theta estimado para TV Nacional (0,43) indica que el efecto publicitario de una semana se disipa en aproximadamente 4 semanas. Esto tiene una consecuencia directa: cuando Subway desaparece de TV por 6-8 semanas (como ocurrió en algunas semanas de 2025), el beneficio de la inversión previa prácticamente se pierde y el siguiente período debe empezar prácticamente desde cero en términos de activación.</w:t>
      </w:r>
    </w:p>
    <w:p>
      <w:pPr>
        <w:spacing w:after="160" w:line="280"/>
        <w:jc w:val="both"/>
      </w:pPr>
      <w:r>
        <w:rPr>
          <w:rFonts w:ascii="Arial" w:cs="Arial" w:eastAsia="Arial" w:hAnsi="Arial"/>
          <w:color w:val="3A3A3A"/>
          <w:sz w:val="22"/>
          <w:szCs w:val="22"/>
        </w:rPr>
        <w:t xml:space="preserve">Por contraste, la Publicidad Exterior tiene un theta de 0,51, lo que indica un efecto más persistente. Sin embargo, dado que este canal está muy saturado (76%), la persistencia de su efecto no se traduce en un retorno proporcional. Es un canal que mantiene presencia física pero no genera conversión adicional significativa por encima de su nivel actual.</w:t>
      </w:r>
    </w:p>
    <w:p>
      <w:pPr>
        <w:spacing w:after="100"/>
      </w:pPr>
      <w:r>
        <w:t xml:space="preserve"/>
      </w:r>
    </w:p>
    <w:p>
      <w:pPr>
        <w:pStyle w:val="Heading2"/>
        <w:spacing w:after="140" w:before="280"/>
      </w:pPr>
      <w:r>
        <w:rPr>
          <w:rFonts w:ascii="Arial" w:cs="Arial" w:eastAsia="Arial" w:hAnsi="Arial"/>
          <w:b/>
          <w:bCs/>
          <w:color w:val="2E5F9A"/>
          <w:sz w:val="26"/>
          <w:szCs w:val="26"/>
        </w:rPr>
        <w:t xml:space="preserve">7.5 Limitaciones del modelo y consideraciones metodológicas</w:t>
      </w:r>
    </w:p>
    <w:p>
      <w:pPr>
        <w:spacing w:after="160" w:line="280"/>
        <w:jc w:val="both"/>
      </w:pPr>
      <w:r>
        <w:rPr>
          <w:rFonts w:ascii="Arial" w:cs="Arial" w:eastAsia="Arial" w:hAnsi="Arial"/>
          <w:color w:val="3A3A3A"/>
          <w:sz w:val="22"/>
          <w:szCs w:val="22"/>
        </w:rPr>
        <w:t xml:space="preserve">Es importante señalar las limitaciones que aplican a este ejercicio, tanto en términos de los datos disponibles como de la metodología elegida:</w:t>
      </w:r>
    </w:p>
    <w:p>
      <w:pPr>
        <w:pStyle w:val="ListParagraph"/>
        <w:numPr>
          <w:ilvl w:val="0"/>
          <w:numId w:val="2"/>
        </w:numPr>
        <w:spacing w:after="100" w:line="276"/>
      </w:pPr>
      <w:r>
        <w:rPr>
          <w:rFonts w:ascii="Arial" w:cs="Arial" w:eastAsia="Arial" w:hAnsi="Arial"/>
          <w:color w:val="3A3A3A"/>
          <w:sz w:val="22"/>
          <w:szCs w:val="22"/>
        </w:rPr>
        <w:t xml:space="preserve">Número de observaciones: con 65 semanas de datos, el modelo opera en el límite inferior recomendado para MMM (Robyn recomienda un mínimo de 104 semanas para mayor confiabilidad). Esto reduce la precisión de los parámetros estimados y amplía los intervalos de credibilidad, especialmente para canales con pocas semanas de inversión (Facebook Ads: 14 semanas, YouTube: 11 semanas).</w:t>
      </w:r>
    </w:p>
    <w:p>
      <w:pPr>
        <w:pStyle w:val="ListParagraph"/>
        <w:numPr>
          <w:ilvl w:val="0"/>
          <w:numId w:val="2"/>
        </w:numPr>
        <w:spacing w:after="100" w:line="276"/>
      </w:pPr>
      <w:r>
        <w:rPr>
          <w:rFonts w:ascii="Arial" w:cs="Arial" w:eastAsia="Arial" w:hAnsi="Arial"/>
          <w:color w:val="3A3A3A"/>
          <w:sz w:val="22"/>
          <w:szCs w:val="22"/>
        </w:rPr>
        <w:t xml:space="preserve">Proxy del KPI: el índice de Google Trends no captura ventas reales ni visitas físicas; captura interés de búsqueda. Puede sobrerepresentar el efecto de canales digitales (que generan búsqueda directa) frente a canales offline como el exterior.</w:t>
      </w:r>
    </w:p>
    <w:p>
      <w:pPr>
        <w:pStyle w:val="ListParagraph"/>
        <w:numPr>
          <w:ilvl w:val="0"/>
          <w:numId w:val="2"/>
        </w:numPr>
        <w:spacing w:after="100" w:line="276"/>
      </w:pPr>
      <w:r>
        <w:rPr>
          <w:rFonts w:ascii="Arial" w:cs="Arial" w:eastAsia="Arial" w:hAnsi="Arial"/>
          <w:color w:val="3A3A3A"/>
          <w:sz w:val="22"/>
          <w:szCs w:val="22"/>
        </w:rPr>
        <w:t xml:space="preserve">Datos de inversión agregados: las inversiones semanales se calcularon a partir de una base de inserciones, no de un plan de medios directo con cifras de compra real. Aunque la fuente (InfoAnálisis e Integra-metrics) es referencial del sector, puede haber diferencias respecto a la inversión real de la marca.</w:t>
      </w:r>
    </w:p>
    <w:p>
      <w:pPr>
        <w:pStyle w:val="ListParagraph"/>
        <w:numPr>
          <w:ilvl w:val="0"/>
          <w:numId w:val="2"/>
        </w:numPr>
        <w:spacing w:after="100" w:line="276"/>
      </w:pPr>
      <w:r>
        <w:rPr>
          <w:rFonts w:ascii="Arial" w:cs="Arial" w:eastAsia="Arial" w:hAnsi="Arial"/>
          <w:color w:val="3A3A3A"/>
          <w:sz w:val="22"/>
          <w:szCs w:val="22"/>
        </w:rPr>
        <w:t xml:space="preserve">Variables competitivas no incluidas: el modelo no incorpora la inversión de competidores como variable de control, lo que puede generar sobreestimación del efecto de los canales de Subway en semanas donde la competencia también invirtió masivamente.</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8. Recomendaciones</w:t>
      </w:r>
    </w:p>
    <w:p>
      <w:pPr>
        <w:spacing w:after="160" w:line="280"/>
        <w:jc w:val="both"/>
      </w:pPr>
      <w:r>
        <w:rPr>
          <w:rFonts w:ascii="Arial" w:cs="Arial" w:eastAsia="Arial" w:hAnsi="Arial"/>
          <w:color w:val="3A3A3A"/>
          <w:sz w:val="22"/>
          <w:szCs w:val="22"/>
        </w:rPr>
        <w:t xml:space="preserve">Las recomendaciones que se presentan a continuación se derivan directamente de los parámetros estimados por el modelo Robyn y de la interpretación de las curvas de respuesta. No son prescripciones generales de marketing digital, sino conclusiones específicas del comportamiento estadístico de cada canal en el contexto de Subway Colombia durante el período analizado.</w:t>
      </w:r>
    </w:p>
    <w:p>
      <w:pPr>
        <w:spacing w:after="80"/>
      </w:pPr>
      <w:r>
        <w:t xml:space="preserve"/>
      </w:r>
    </w:p>
    <w:p>
      <w:pPr>
        <w:pStyle w:val="Heading2"/>
        <w:spacing w:after="140" w:before="280"/>
      </w:pPr>
      <w:r>
        <w:rPr>
          <w:rFonts w:ascii="Arial" w:cs="Arial" w:eastAsia="Arial" w:hAnsi="Arial"/>
          <w:b/>
          <w:bCs/>
          <w:color w:val="2E5F9A"/>
          <w:sz w:val="26"/>
          <w:szCs w:val="26"/>
        </w:rPr>
        <w:t xml:space="preserve">Recomendación 1 · Reasignar entre 25% y 30% del presupuesto total hacia canales digitales</w:t>
      </w:r>
    </w:p>
    <w:p>
      <w:pPr>
        <w:spacing w:after="160" w:line="280"/>
        <w:jc w:val="both"/>
      </w:pPr>
      <w:r>
        <w:rPr>
          <w:rFonts w:ascii="Arial" w:cs="Arial" w:eastAsia="Arial" w:hAnsi="Arial"/>
          <w:color w:val="3A3A3A"/>
          <w:sz w:val="22"/>
          <w:szCs w:val="22"/>
        </w:rPr>
        <w:t xml:space="preserve">El optimizador de Robyn sugiere llevar la participación de Facebook Ads y YouTube del actual 4,5% al 27,9% del mix. Este movimiento no implica abandonar la TV ni el exterior; implica corregir la sobreinversión en canales que operan en zona de saturación para aumentar la eficiencia marginal del peso invertido. Con la misma cantidad de dinero, el modelo proyecta un incremento del 23,4% en el índice promedio semanal de Google Trends, lo que equivale a un aumento estimado de 7,4 puntos en el indicador de interés de la marca.</w:t>
      </w:r>
    </w:p>
    <w:p>
      <w:pPr>
        <w:spacing w:after="80"/>
      </w:pPr>
      <w:r>
        <w:t xml:space="preserve"/>
      </w:r>
    </w:p>
    <w:p>
      <w:pPr>
        <w:pStyle w:val="Heading2"/>
        <w:spacing w:after="140" w:before="280"/>
      </w:pPr>
      <w:r>
        <w:rPr>
          <w:rFonts w:ascii="Arial" w:cs="Arial" w:eastAsia="Arial" w:hAnsi="Arial"/>
          <w:b/>
          <w:bCs/>
          <w:color w:val="2E5F9A"/>
          <w:sz w:val="26"/>
          <w:szCs w:val="26"/>
        </w:rPr>
        <w:t xml:space="preserve">Recomendación 2 · Invertir con continuidad, no en oleadas</w:t>
      </w:r>
    </w:p>
    <w:p>
      <w:pPr>
        <w:spacing w:after="160" w:line="280"/>
        <w:jc w:val="both"/>
      </w:pPr>
      <w:r>
        <w:rPr>
          <w:rFonts w:ascii="Arial" w:cs="Arial" w:eastAsia="Arial" w:hAnsi="Arial"/>
          <w:color w:val="3A3A3A"/>
          <w:sz w:val="22"/>
          <w:szCs w:val="22"/>
        </w:rPr>
        <w:t xml:space="preserve">El análisis de adstock mostró que los efectos de TV Nacional se diluyen en 4 semanas, los de exterior en 5 semanas y los de digital en apenas 2 semanas. Una estrategia de inversión que concentra el presupuesto en 3-4 meses y luego desaparece genera un patrón de pico-y-valle en el índice de Google Trends: durante los picos (como Q3 2025) el índice alcanza valores altos, pero en los valles (como Q1 2026) se desploma porque el carryover acumulado también se agota. El modelo recomienda distribuir el presupuesto disponible en períodos más largos y con menor variación semanal, priorizando la presencia continua sobre los burst de alta intensidad.</w:t>
      </w:r>
    </w:p>
    <w:p>
      <w:pPr>
        <w:spacing w:after="80"/>
      </w:pPr>
      <w:r>
        <w:t xml:space="preserve"/>
      </w:r>
    </w:p>
    <w:p>
      <w:pPr>
        <w:pStyle w:val="Heading2"/>
        <w:spacing w:after="140" w:before="280"/>
      </w:pPr>
      <w:r>
        <w:rPr>
          <w:rFonts w:ascii="Arial" w:cs="Arial" w:eastAsia="Arial" w:hAnsi="Arial"/>
          <w:b/>
          <w:bCs/>
          <w:color w:val="2E5F9A"/>
          <w:sz w:val="26"/>
          <w:szCs w:val="26"/>
        </w:rPr>
        <w:t xml:space="preserve">Recomendación 3 · Reducir Prensa a nivel residual</w:t>
      </w:r>
    </w:p>
    <w:p>
      <w:pPr>
        <w:spacing w:after="160" w:line="280"/>
        <w:jc w:val="both"/>
      </w:pPr>
      <w:r>
        <w:rPr>
          <w:rFonts w:ascii="Arial" w:cs="Arial" w:eastAsia="Arial" w:hAnsi="Arial"/>
          <w:color w:val="3A3A3A"/>
          <w:sz w:val="22"/>
          <w:szCs w:val="22"/>
        </w:rPr>
        <w:t xml:space="preserve">Prensa es el canal con el ROI más bajo del set (0,39 puntos de índice por millón COP) y con una saturación estimada del 65%, sin que esa saturación se traduzca en contribución relevante (0,3% de la descomposición total). El optimizador de Robyn reduce la asignación a Prensa del 5,3% al 0,7%, prácticamente eliminando el canal. Los recursos liberados deberían redirigirse a los canales con mayor potencial de retorno.</w:t>
      </w:r>
    </w:p>
    <w:p>
      <w:pPr>
        <w:spacing w:after="80"/>
      </w:pPr>
      <w:r>
        <w:t xml:space="preserve"/>
      </w:r>
    </w:p>
    <w:p>
      <w:pPr>
        <w:pStyle w:val="Heading2"/>
        <w:spacing w:after="140" w:before="280"/>
      </w:pPr>
      <w:r>
        <w:rPr>
          <w:rFonts w:ascii="Arial" w:cs="Arial" w:eastAsia="Arial" w:hAnsi="Arial"/>
          <w:b/>
          <w:bCs/>
          <w:color w:val="2E5F9A"/>
          <w:sz w:val="26"/>
          <w:szCs w:val="26"/>
        </w:rPr>
        <w:t xml:space="preserve">Recomendación 4 · Fortalecer TV Suscripción por su eficiencia y carryover</w:t>
      </w:r>
    </w:p>
    <w:p>
      <w:pPr>
        <w:spacing w:after="160" w:line="280"/>
        <w:jc w:val="both"/>
      </w:pPr>
      <w:r>
        <w:rPr>
          <w:rFonts w:ascii="Arial" w:cs="Arial" w:eastAsia="Arial" w:hAnsi="Arial"/>
          <w:color w:val="3A3A3A"/>
          <w:sz w:val="22"/>
          <w:szCs w:val="22"/>
        </w:rPr>
        <w:t xml:space="preserve">TV Suscripción combina un ROI razonable (1,98), una saturación moderada (52%) y un theta de carryover de 0,48 (efecto que persiste cerca de 4-5 semanas). Esto la convierte en el canal offline más eficiente del mix según el modelo. El optimizador recomienda incrementar su participación del 9% al 14,7%. Este canal también se alinea mejor con formatos narrativos de 30 segundos que permiten comunicar los atributos de marca de Subway Series, complementando la presencia masiva de TV Nacional.</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9. Conclusiones</w:t>
      </w:r>
    </w:p>
    <w:p>
      <w:pPr>
        <w:spacing w:after="160" w:line="280"/>
        <w:jc w:val="both"/>
      </w:pPr>
      <w:r>
        <w:rPr>
          <w:rFonts w:ascii="Arial" w:cs="Arial" w:eastAsia="Arial" w:hAnsi="Arial"/>
          <w:color w:val="3A3A3A"/>
          <w:sz w:val="22"/>
          <w:szCs w:val="22"/>
        </w:rPr>
        <w:t xml:space="preserve">Este trabajo demostró que el Modelamiento del Mix de Marketing mediante Robyn, aplicado al caso de Subway Colombia con Google Trends como variable dependiente, produce resultados cuantitativamente consistentes y con implicaciones de negocio accionables. El modelo seleccionado del frente de Pareto alcanzó métricas de ajuste satisfactorias (R² = 0,834; NRMSE = 0,172; DECOMP.RSSD = 0,089), lo que valida la solidez de los parámetros estimados dentro de las limitaciones de la serie histórica disponible.</w:t>
      </w:r>
    </w:p>
    <w:p>
      <w:pPr>
        <w:spacing w:after="160" w:line="280"/>
        <w:jc w:val="both"/>
      </w:pPr>
      <w:r>
        <w:rPr>
          <w:rFonts w:ascii="Arial" w:cs="Arial" w:eastAsia="Arial" w:hAnsi="Arial"/>
          <w:color w:val="3A3A3A"/>
          <w:sz w:val="22"/>
          <w:szCs w:val="22"/>
        </w:rPr>
        <w:t xml:space="preserve">La contribución más importante del modelo, respecto al análisis descriptivo de share of voice previo, es que </w:t>
      </w:r>
      <w:r>
        <w:rPr>
          <w:rFonts w:ascii="Arial" w:cs="Arial" w:eastAsia="Arial" w:hAnsi="Arial"/>
          <w:b/>
          <w:bCs/>
          <w:color w:val="3A3A3A"/>
          <w:sz w:val="22"/>
          <w:szCs w:val="22"/>
        </w:rPr>
        <w:t xml:space="preserve">cuantifica el retorno marginal</w:t>
      </w:r>
      <w:r>
        <w:rPr>
          <w:rFonts w:ascii="Arial" w:cs="Arial" w:eastAsia="Arial" w:hAnsi="Arial"/>
          <w:color w:val="3A3A3A"/>
          <w:sz w:val="22"/>
          <w:szCs w:val="22"/>
        </w:rPr>
        <w:t xml:space="preserve"> de cada canal en unidades comparables, en lugar de solo describir los niveles de inversión. Esta distinción es fundamental para la toma de decisiones: un canal puede tener alta participación en el mix (TV Nacional: 47,7%) y al mismo tiempo generar uno de los retornos más bajos por peso adicional invertido, precisamente porque opera cerca de su punto de saturación.</w:t>
      </w:r>
    </w:p>
    <w:p>
      <w:pPr>
        <w:spacing w:after="160" w:line="280"/>
        <w:jc w:val="both"/>
      </w:pPr>
      <w:r>
        <w:rPr>
          <w:rFonts w:ascii="Arial" w:cs="Arial" w:eastAsia="Arial" w:hAnsi="Arial"/>
          <w:color w:val="3A3A3A"/>
          <w:sz w:val="22"/>
          <w:szCs w:val="22"/>
        </w:rPr>
        <w:t xml:space="preserve">Los tres hallazgos principales del modelo tienen coherencia interna: (1) la demanda orgánica de Subway es alta (52,3% del índice no depende de publicidad) pero decreciente en ausencia de inversión sostenida; (2) los canales tradicionales de TV y Exterior están saturados con los niveles actuales de inversión, generando rendimientos decrecientes; y (3) los canales digitales están tan subinvertidos que operan en la parte más rentable de su curva de respuesta, con un ROI estimado de 3-5 veces el de TV Nacional.</w:t>
      </w:r>
    </w:p>
    <w:p>
      <w:pPr>
        <w:spacing w:after="160" w:line="280"/>
        <w:jc w:val="both"/>
      </w:pPr>
      <w:r>
        <w:rPr>
          <w:rFonts w:ascii="Arial" w:cs="Arial" w:eastAsia="Arial" w:hAnsi="Arial"/>
          <w:color w:val="3A3A3A"/>
          <w:sz w:val="22"/>
          <w:szCs w:val="22"/>
        </w:rPr>
        <w:t xml:space="preserve">El optimizador de presupuesto de Robyn concreta estas observaciones en un plan concreto: mantener el mismo gasto total, redistribuir hacia digital (del 4,5% al 27,9%) y TV Suscripción, reducir TV Nacional y Exterior, y prácticamente eliminar Prensa. El resultado proyectado es un incremento del 23,4% en el índice promedio semanal de Google Trends, sin aumentar el presupuesto.</w:t>
      </w:r>
    </w:p>
    <w:p>
      <w:pPr>
        <w:spacing w:after="160" w:line="280"/>
        <w:jc w:val="both"/>
      </w:pPr>
      <w:r>
        <w:rPr>
          <w:rFonts w:ascii="Arial" w:cs="Arial" w:eastAsia="Arial" w:hAnsi="Arial"/>
          <w:color w:val="3A3A3A"/>
          <w:sz w:val="22"/>
          <w:szCs w:val="22"/>
        </w:rPr>
        <w:t xml:space="preserve">Finalmente, el modelo confirma desde la analítica lo que el análisis competitivo identificó desde la observación: Subway Colombia tiene el mensaje correcto (Subway Series como activo de innovación) pero un canal incorrecto (sobrepeso en medios offline saturados y ausencia en los canales donde su audiencia objetivo habita). La solución no es gastar más; es gastar mejor.</w:t>
      </w:r>
    </w:p>
    <w:p>
      <w:pPr>
        <w:spacing w:after="200"/>
      </w:pPr>
      <w:r>
        <w:t xml:space="preserve"/>
      </w:r>
    </w:p>
    <w:p>
      <w:r>
        <w:br w:type="page"/>
      </w:r>
    </w:p>
    <w:p>
      <w:pPr>
        <w:pStyle w:val="Heading1"/>
        <w:pBdr>
          <w:bottom w:val="single" w:color="2E5F9A" w:sz="8" w:space="4"/>
        </w:pBdr>
        <w:spacing w:after="200" w:before="400"/>
      </w:pPr>
      <w:r>
        <w:rPr>
          <w:rFonts w:ascii="Arial" w:cs="Arial" w:eastAsia="Arial" w:hAnsi="Arial"/>
          <w:b/>
          <w:bCs/>
          <w:color w:val="1B3A6B"/>
          <w:sz w:val="30"/>
          <w:szCs w:val="30"/>
        </w:rPr>
        <w:t xml:space="preserve">Referencias</w:t>
      </w:r>
    </w:p>
    <w:p>
      <w:pPr>
        <w:pStyle w:val="Heading2"/>
        <w:spacing w:after="140" w:before="280"/>
      </w:pPr>
      <w:r>
        <w:rPr>
          <w:rFonts w:ascii="Arial" w:cs="Arial" w:eastAsia="Arial" w:hAnsi="Arial"/>
          <w:b/>
          <w:bCs/>
          <w:color w:val="2E5F9A"/>
          <w:sz w:val="26"/>
          <w:szCs w:val="26"/>
        </w:rPr>
        <w:t xml:space="preserve">Metodológicas y académicas</w:t>
      </w:r>
    </w:p>
    <w:p>
      <w:pPr>
        <w:spacing w:after="100"/>
        <w:jc w:val="both"/>
      </w:pPr>
      <w:r>
        <w:rPr>
          <w:rFonts w:ascii="Arial" w:cs="Arial" w:eastAsia="Arial" w:hAnsi="Arial"/>
          <w:color w:val="3A3A3A"/>
          <w:sz w:val="22"/>
          <w:szCs w:val="22"/>
        </w:rPr>
        <w:t xml:space="preserve">Bass, F. M. (1969). A new product growth for model consumer durables. Management Science, 15(5), 215-227.</w:t>
      </w:r>
    </w:p>
    <w:p>
      <w:pPr>
        <w:spacing w:after="100"/>
        <w:jc w:val="both"/>
      </w:pPr>
      <w:r>
        <w:rPr>
          <w:rFonts w:ascii="Arial" w:cs="Arial" w:eastAsia="Arial" w:hAnsi="Arial"/>
          <w:color w:val="3A3A3A"/>
          <w:sz w:val="22"/>
          <w:szCs w:val="22"/>
        </w:rPr>
        <w:t xml:space="preserve">Choi, H., &amp; Varian, H. (2012). Predicting the present with Google Trends. Economic Record, 88(S1), 2-9.</w:t>
      </w:r>
    </w:p>
    <w:p>
      <w:pPr>
        <w:spacing w:after="100"/>
        <w:jc w:val="both"/>
      </w:pPr>
      <w:r>
        <w:rPr>
          <w:rFonts w:ascii="Arial" w:cs="Arial" w:eastAsia="Arial" w:hAnsi="Arial"/>
          <w:color w:val="3A3A3A"/>
          <w:sz w:val="22"/>
          <w:szCs w:val="22"/>
        </w:rPr>
        <w:t xml:space="preserve">Goel, S., Hofman, J. M., Lahaie, S., Pennock, D. M., &amp; Watts, D. J. (2010). Predicting consumer behavior with Web search. PNAS, 107(41), 17486-17490.</w:t>
      </w:r>
    </w:p>
    <w:p>
      <w:pPr>
        <w:spacing w:after="100"/>
        <w:jc w:val="both"/>
      </w:pPr>
      <w:r>
        <w:rPr>
          <w:rFonts w:ascii="Arial" w:cs="Arial" w:eastAsia="Arial" w:hAnsi="Arial"/>
          <w:color w:val="3A3A3A"/>
          <w:sz w:val="22"/>
          <w:szCs w:val="22"/>
        </w:rPr>
        <w:t xml:space="preserve">Hanssens, D. M., Parsons, L. J., &amp; Schultz, R. L. (2001). Market response models: Econometric and time series analysis (2nd ed.). Springer.</w:t>
      </w:r>
    </w:p>
    <w:p>
      <w:pPr>
        <w:spacing w:after="100"/>
        <w:jc w:val="both"/>
      </w:pPr>
      <w:r>
        <w:rPr>
          <w:rFonts w:ascii="Arial" w:cs="Arial" w:eastAsia="Arial" w:hAnsi="Arial"/>
          <w:color w:val="3A3A3A"/>
          <w:sz w:val="22"/>
          <w:szCs w:val="22"/>
        </w:rPr>
        <w:t xml:space="preserve">Jin, Y., Sun, Y., Guo, J., &amp; Ng, A. (2017). Bayesian Methods for Media Mix Modeling with Carryover and Shape Effects. Google Inc.</w:t>
      </w:r>
    </w:p>
    <w:p>
      <w:pPr>
        <w:spacing w:after="100"/>
        <w:jc w:val="both"/>
      </w:pPr>
      <w:r>
        <w:rPr>
          <w:rFonts w:ascii="Arial" w:cs="Arial" w:eastAsia="Arial" w:hAnsi="Arial"/>
          <w:color w:val="3A3A3A"/>
          <w:sz w:val="22"/>
          <w:szCs w:val="22"/>
        </w:rPr>
        <w:t xml:space="preserve">Meta Open Source. (2021-2024). Robyn: An Automated and Augmented Intelligence-Driven Marketing Mix Modeling (MMM) Framework. GitHub. https://github.com/facebookexperimental/Robyn</w:t>
      </w:r>
    </w:p>
    <w:p>
      <w:pPr>
        <w:spacing w:after="80"/>
      </w:pPr>
      <w:r>
        <w:t xml:space="preserve"/>
      </w:r>
    </w:p>
    <w:p>
      <w:pPr>
        <w:pStyle w:val="Heading2"/>
        <w:spacing w:after="140" w:before="280"/>
      </w:pPr>
      <w:r>
        <w:rPr>
          <w:rFonts w:ascii="Arial" w:cs="Arial" w:eastAsia="Arial" w:hAnsi="Arial"/>
          <w:b/>
          <w:bCs/>
          <w:color w:val="2E5F9A"/>
          <w:sz w:val="26"/>
          <w:szCs w:val="26"/>
        </w:rPr>
        <w:t xml:space="preserve">Fuentes de datos y contexto sectorial</w:t>
      </w:r>
    </w:p>
    <w:p>
      <w:pPr>
        <w:spacing w:after="100"/>
        <w:jc w:val="both"/>
      </w:pPr>
      <w:r>
        <w:rPr>
          <w:rFonts w:ascii="Arial" w:cs="Arial" w:eastAsia="Arial" w:hAnsi="Arial"/>
          <w:color w:val="3A3A3A"/>
          <w:sz w:val="22"/>
          <w:szCs w:val="22"/>
        </w:rPr>
        <w:t xml:space="preserve">Banco de la República de Colombia. (2026, mayo). Informe de Política Monetaria - Abril 2026. https://www.banrep.gov.co/es/publicaciones-investigaciones/informe-politica-monetaria/abril-2026</w:t>
      </w:r>
    </w:p>
    <w:p>
      <w:pPr>
        <w:spacing w:after="100"/>
        <w:jc w:val="both"/>
      </w:pPr>
      <w:r>
        <w:rPr>
          <w:rFonts w:ascii="Arial" w:cs="Arial" w:eastAsia="Arial" w:hAnsi="Arial"/>
          <w:color w:val="3A3A3A"/>
          <w:sz w:val="22"/>
          <w:szCs w:val="22"/>
        </w:rPr>
        <w:t xml:space="preserve">DANE. (2026, mayo). IPC abril 2026 — Inflación anual 5,68%, restaurantes y hoteles 9,61%.</w:t>
      </w:r>
    </w:p>
    <w:p>
      <w:pPr>
        <w:spacing w:after="100"/>
        <w:jc w:val="both"/>
      </w:pPr>
      <w:r>
        <w:rPr>
          <w:rFonts w:ascii="Arial" w:cs="Arial" w:eastAsia="Arial" w:hAnsi="Arial"/>
          <w:color w:val="3A3A3A"/>
          <w:sz w:val="22"/>
          <w:szCs w:val="22"/>
        </w:rPr>
        <w:t xml:space="preserve">Google Trends. (2026). Interés a lo largo del tiempo: término "Subway", Colombia, enero 2025 – marzo 2026. https://trends.google.com</w:t>
      </w:r>
    </w:p>
    <w:p>
      <w:pPr>
        <w:spacing w:after="100"/>
        <w:jc w:val="both"/>
      </w:pPr>
      <w:r>
        <w:rPr>
          <w:rFonts w:ascii="Arial" w:cs="Arial" w:eastAsia="Arial" w:hAnsi="Arial"/>
          <w:color w:val="3A3A3A"/>
          <w:sz w:val="22"/>
          <w:szCs w:val="22"/>
        </w:rPr>
        <w:t xml:space="preserve">IAB Colombia / El Colombiano. (2026, marzo). Colombia supera los $3 billones en publicidad digital: así se reparte la inversión.</w:t>
      </w:r>
    </w:p>
    <w:p>
      <w:pPr>
        <w:spacing w:after="100"/>
        <w:jc w:val="both"/>
      </w:pPr>
      <w:r>
        <w:rPr>
          <w:rFonts w:ascii="Arial" w:cs="Arial" w:eastAsia="Arial" w:hAnsi="Arial"/>
          <w:color w:val="3A3A3A"/>
          <w:sz w:val="22"/>
          <w:szCs w:val="22"/>
        </w:rPr>
        <w:t xml:space="preserve">InfoAnálisis / Integra-metrics Digital Colombia. (2026). Base de inversión publicitaria sector comida rápida Colombia: medios tradicionales (68.492 inserciones) y medios digitales (482 inserciones), enero 2025 – marzo 2026.</w:t>
      </w:r>
    </w:p>
    <w:p>
      <w:pPr>
        <w:spacing w:after="100"/>
        <w:jc w:val="both"/>
      </w:pPr>
      <w:r>
        <w:rPr>
          <w:rFonts w:ascii="Arial" w:cs="Arial" w:eastAsia="Arial" w:hAnsi="Arial"/>
          <w:color w:val="3A3A3A"/>
          <w:sz w:val="22"/>
          <w:szCs w:val="22"/>
        </w:rPr>
        <w:t xml:space="preserve">Juan Carlos Mejía Llano. (2026, enero). Usuarios de redes sociales en Colombia 2026. https://www.juancmejia.com</w:t>
      </w:r>
    </w:p>
    <w:p>
      <w:pPr>
        <w:spacing w:after="100"/>
        <w:jc w:val="both"/>
      </w:pPr>
      <w:r>
        <w:rPr>
          <w:rFonts w:ascii="Arial" w:cs="Arial" w:eastAsia="Arial" w:hAnsi="Arial"/>
          <w:color w:val="3A3A3A"/>
          <w:sz w:val="22"/>
          <w:szCs w:val="22"/>
        </w:rPr>
        <w:t xml:space="preserve">Portafolio. (2026, febrero). Tras el éxito de su sándwich Engallado, Qbano eleva sus expectativas de ventas para 2026.</w:t>
      </w:r>
    </w:p>
    <w:p>
      <w:pPr>
        <w:spacing w:after="100"/>
        <w:jc w:val="both"/>
      </w:pPr>
      <w:r>
        <w:rPr>
          <w:rFonts w:ascii="Arial" w:cs="Arial" w:eastAsia="Arial" w:hAnsi="Arial"/>
          <w:color w:val="3A3A3A"/>
          <w:sz w:val="22"/>
          <w:szCs w:val="22"/>
        </w:rPr>
        <w:t xml:space="preserve">Subway Newsroom LAC. (2025, junio). Subway presenta 'Subway Series' en Colombia con seis creaciones gourmet diseñadas por chefs.</w:t>
      </w:r>
    </w:p>
    <w:p>
      <w:pPr>
        <w:spacing w:after="200"/>
      </w:pPr>
      <w:r>
        <w:t xml:space="preserve"/>
      </w:r>
    </w:p>
    <w:sectPr>
      <w:headerReference w:type="default" r:id="rId7"/>
      <w:footerReference w:type="default" r:id="rId8"/>
      <w:pgSz w:w="12240" w:h="15840" w:orient="portrait"/>
      <w:pgMar w:top="1008"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A" w:sz="4" w:space="4"/>
      </w:pBdr>
      <w:tabs>
        <w:tab w:val="right" w:pos="9360"/>
      </w:tabs>
      <w:spacing w:before="60"/>
    </w:pPr>
    <w:r>
      <w:rPr>
        <w:rFonts w:ascii="Arial" w:cs="Arial" w:eastAsia="Arial" w:hAnsi="Arial"/>
        <w:color w:val="6B6B6B"/>
        <w:sz w:val="17"/>
        <w:szCs w:val="17"/>
      </w:rPr>
      <w:t xml:space="preserve">Universidad Externado de Colombia · Marketing Analytics</w:t>
    </w:r>
    <w:r>
      <w:rPr>
        <w:rFonts w:ascii="Arial" w:cs="Arial" w:eastAsia="Arial" w:hAnsi="Arial"/>
        <w:sz w:val="17"/>
        <w:szCs w:val="17"/>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A" w:sz="4" w:space="4"/>
      </w:pBdr>
      <w:tabs>
        <w:tab w:val="right" w:pos="9360"/>
      </w:tabs>
      <w:spacing w:after="0"/>
    </w:pPr>
    <w:r>
      <w:rPr>
        <w:rFonts w:ascii="Arial" w:cs="Arial" w:eastAsia="Arial" w:hAnsi="Arial"/>
        <w:color w:val="2E5F9A"/>
        <w:sz w:val="17"/>
        <w:szCs w:val="17"/>
      </w:rPr>
      <w:t xml:space="preserve">Modelamiento del Mix de Marketing · Subway Colombia · Robyn &amp; Google Trends</w:t>
    </w:r>
    <w:r>
      <w:rPr>
        <w:rFonts w:ascii="Arial" w:cs="Arial" w:eastAsia="Arial" w:hAnsi="Arial"/>
        <w:sz w:val="17"/>
        <w:szCs w:val="17"/>
      </w:rPr>
      <w:t xml:space="preserve">	</w:t>
    </w:r>
    <w:r>
      <w:rPr>
        <w:rFonts w:ascii="Arial" w:cs="Arial" w:eastAsia="Arial" w:hAnsi="Arial"/>
        <w:color w:val="6B6B6B"/>
        <w:sz w:val="17"/>
        <w:szCs w:val="17"/>
      </w:rPr>
      <w:t xml:space="preserve">Sarmiento · Orozco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A3A3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3A3A3A"/>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F9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6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2026-05-28T01:39:33.428Z</dcterms:created>
  <dcterms:modified xsi:type="dcterms:W3CDTF">2026-05-28T01:39:33.443Z</dcterms:modified>
</cp:coreProperties>
</file>

<file path=docProps/custom.xml><?xml version="1.0" encoding="utf-8"?>
<Properties xmlns="http://schemas.openxmlformats.org/officeDocument/2006/custom-properties" xmlns:vt="http://schemas.openxmlformats.org/officeDocument/2006/docPropsVTypes"/>
</file>