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480" w:before="720" w:lineRule="auto"/>
        <w:ind w:firstLine="0"/>
        <w:jc w:val="center"/>
        <w:rPr>
          <w:b w:val="1"/>
          <w:color w:val="000000"/>
          <w:sz w:val="32"/>
          <w:szCs w:val="32"/>
        </w:rPr>
      </w:pPr>
      <w:r w:rsidDel="00000000" w:rsidR="00000000" w:rsidRPr="00000000">
        <w:rPr>
          <w:b w:val="1"/>
          <w:color w:val="000000"/>
          <w:sz w:val="32"/>
          <w:szCs w:val="32"/>
          <w:rtl w:val="0"/>
        </w:rPr>
        <w:t xml:space="preserve">Solasodina como potencializadora da ação antibiótica frente a cepas bacterianas multiresistentes</w:t>
      </w:r>
    </w:p>
    <w:p w:rsidR="00000000" w:rsidDel="00000000" w:rsidP="00000000" w:rsidRDefault="00000000" w:rsidRPr="00000000" w14:paraId="00000002">
      <w:pPr>
        <w:spacing w:before="120" w:lineRule="auto"/>
        <w:ind w:firstLine="0"/>
        <w:jc w:val="right"/>
        <w:rPr/>
      </w:pPr>
      <w:r w:rsidDel="00000000" w:rsidR="00000000" w:rsidRPr="00000000">
        <w:rPr>
          <w:rtl w:val="0"/>
        </w:rPr>
        <w:t xml:space="preserve">Acadêmica da Universidade Federal do Cariri (UFCA), </w:t>
      </w:r>
      <w:r w:rsidDel="00000000" w:rsidR="00000000" w:rsidRPr="00000000">
        <w:rPr>
          <w:b w:val="1"/>
          <w:rtl w:val="0"/>
        </w:rPr>
        <w:t xml:space="preserve">adriane.fonseca@aluno.ufca edu.br</w:t>
      </w:r>
      <w:r w:rsidDel="00000000" w:rsidR="00000000" w:rsidRPr="00000000">
        <w:rPr>
          <w:rtl w:val="0"/>
        </w:rPr>
        <w:t xml:space="preserve">, bolsista de Iniciação Científica e Tecnológica (ICT) pela Fundação Cearense de Apoio ao Desenvolvimento Científico e Tecnológico (FUNCAP).</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3">
      <w:pPr>
        <w:spacing w:before="120" w:lineRule="auto"/>
        <w:ind w:firstLine="0"/>
        <w:jc w:val="right"/>
        <w:rPr/>
      </w:pPr>
      <w:r w:rsidDel="00000000" w:rsidR="00000000" w:rsidRPr="00000000">
        <w:rPr>
          <w:rtl w:val="0"/>
        </w:rPr>
        <w:t xml:space="preserve">Doutoranda no programa de pós-graduação em Biotecnologia - Rede Nordeste de Biotecnologia (RENORBIO) pela Universidade Estadual do Ceará, </w:t>
      </w:r>
      <w:r w:rsidDel="00000000" w:rsidR="00000000" w:rsidRPr="00000000">
        <w:rPr>
          <w:b w:val="1"/>
          <w:rtl w:val="0"/>
        </w:rPr>
        <w:t xml:space="preserve">anaraquel.pereira@aluno.uece.br</w:t>
      </w:r>
      <w:r w:rsidDel="00000000" w:rsidR="00000000" w:rsidRPr="00000000">
        <w:rPr>
          <w:rtl w:val="0"/>
        </w:rPr>
        <w:t xml:space="preserve">.</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4">
      <w:pPr>
        <w:spacing w:before="120" w:lineRule="auto"/>
        <w:ind w:firstLine="0"/>
        <w:jc w:val="right"/>
        <w:rPr/>
      </w:pPr>
      <w:r w:rsidDel="00000000" w:rsidR="00000000" w:rsidRPr="00000000">
        <w:rPr>
          <w:rtl w:val="0"/>
        </w:rPr>
        <w:t xml:space="preserve"> Mestranda no Programa de Pós-graduação em Ciências da Saúde, Universidade Federal do Cariri (UFCA), </w:t>
      </w:r>
      <w:r w:rsidDel="00000000" w:rsidR="00000000" w:rsidRPr="00000000">
        <w:rPr>
          <w:b w:val="1"/>
          <w:rtl w:val="0"/>
        </w:rPr>
        <w:t xml:space="preserve">nara.araujo@aluno.ufca.edu.br</w:t>
      </w:r>
      <w:r w:rsidDel="00000000" w:rsidR="00000000" w:rsidRPr="00000000">
        <w:rPr>
          <w:rtl w:val="0"/>
        </w:rPr>
        <w:t xml:space="preserve">.</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05">
      <w:pPr>
        <w:spacing w:before="120" w:lineRule="auto"/>
        <w:ind w:firstLine="0"/>
        <w:jc w:val="right"/>
        <w:rPr/>
      </w:pPr>
      <w:r w:rsidDel="00000000" w:rsidR="00000000" w:rsidRPr="00000000">
        <w:rPr>
          <w:rtl w:val="0"/>
        </w:rPr>
        <w:t xml:space="preserve">Afiliado do Laboratório de Tecnologia Farmacêutica, Universidade Federal da Paraíba-UFPB, </w:t>
      </w:r>
      <w:r w:rsidDel="00000000" w:rsidR="00000000" w:rsidRPr="00000000">
        <w:rPr>
          <w:b w:val="1"/>
          <w:rtl w:val="0"/>
        </w:rPr>
        <w:t xml:space="preserve">barbosa.ufpb@gmail.com</w:t>
      </w:r>
      <w:r w:rsidDel="00000000" w:rsidR="00000000" w:rsidRPr="00000000">
        <w:rPr>
          <w:rtl w:val="0"/>
        </w:rPr>
        <w:t xml:space="preserve">.</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06">
      <w:pPr>
        <w:spacing w:before="120" w:lineRule="auto"/>
        <w:ind w:firstLine="0"/>
        <w:jc w:val="right"/>
        <w:rPr/>
      </w:pPr>
      <w:r w:rsidDel="00000000" w:rsidR="00000000" w:rsidRPr="00000000">
        <w:rPr>
          <w:rtl w:val="0"/>
        </w:rPr>
        <w:t xml:space="preserve">Mestranda no Programa de Pós-graduação em Ciência da Saúde, Universidade Federal do Cariri (UFCA), </w:t>
      </w:r>
      <w:r w:rsidDel="00000000" w:rsidR="00000000" w:rsidRPr="00000000">
        <w:rPr>
          <w:b w:val="1"/>
          <w:rtl w:val="0"/>
        </w:rPr>
        <w:t xml:space="preserve">camila.pereira@aluno.ufca.edu.br</w:t>
      </w:r>
      <w:r w:rsidDel="00000000" w:rsidR="00000000" w:rsidRPr="00000000">
        <w:rPr>
          <w:rtl w:val="0"/>
        </w:rPr>
        <w:t xml:space="preserve">.</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07">
      <w:pPr>
        <w:spacing w:before="120" w:lineRule="auto"/>
        <w:ind w:firstLine="0"/>
        <w:jc w:val="right"/>
        <w:rPr/>
      </w:pPr>
      <w:r w:rsidDel="00000000" w:rsidR="00000000" w:rsidRPr="00000000">
        <w:rPr>
          <w:rtl w:val="0"/>
        </w:rPr>
        <w:t xml:space="preserve">Acadêmica da Universidade Federal do Cariri (UFCA), </w:t>
      </w:r>
      <w:r w:rsidDel="00000000" w:rsidR="00000000" w:rsidRPr="00000000">
        <w:rPr>
          <w:b w:val="1"/>
          <w:rtl w:val="0"/>
        </w:rPr>
        <w:t xml:space="preserve">erika.viana@aluno.ufca.edu.br</w:t>
      </w:r>
      <w:r w:rsidDel="00000000" w:rsidR="00000000" w:rsidRPr="00000000">
        <w:rPr>
          <w:rtl w:val="0"/>
        </w:rPr>
        <w:t xml:space="preserve">, bolsista de Iniciação Cientifica e Tecnológica (ICT) pela Fundação Cearense de Apoio ao Desenvolvimento Científico e Tecnológico (FUNCAP).</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08">
      <w:pPr>
        <w:spacing w:before="120" w:lineRule="auto"/>
        <w:ind w:firstLine="0"/>
        <w:jc w:val="right"/>
        <w:rPr/>
      </w:pPr>
      <w:r w:rsidDel="00000000" w:rsidR="00000000" w:rsidRPr="00000000">
        <w:rPr>
          <w:rtl w:val="0"/>
        </w:rPr>
        <w:t xml:space="preserve">Acadêmico da Universidade Federal do Cariri (UFCA), </w:t>
      </w:r>
      <w:r w:rsidDel="00000000" w:rsidR="00000000" w:rsidRPr="00000000">
        <w:rPr>
          <w:b w:val="1"/>
          <w:rtl w:val="0"/>
        </w:rPr>
        <w:t xml:space="preserve">harowd.carvalho@aluno.ufca.edu.br</w:t>
      </w:r>
      <w:r w:rsidDel="00000000" w:rsidR="00000000" w:rsidRPr="00000000">
        <w:rPr>
          <w:rtl w:val="0"/>
        </w:rPr>
        <w:t xml:space="preserve">, bolsista de Iniciação Científica e Tecnológica (ICT) pela Fundação Cearense de Apoio ao Desenvolvimento Científico e Tecnológico (FUNCAP).</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09">
      <w:pPr>
        <w:spacing w:before="120" w:lineRule="auto"/>
        <w:ind w:firstLine="0"/>
        <w:jc w:val="right"/>
        <w:rPr/>
      </w:pPr>
      <w:r w:rsidDel="00000000" w:rsidR="00000000" w:rsidRPr="00000000">
        <w:rPr>
          <w:rtl w:val="0"/>
        </w:rPr>
        <w:t xml:space="preserve">Graduada pela Universidade Federal do Cariri (UFCA), </w:t>
      </w:r>
      <w:r w:rsidDel="00000000" w:rsidR="00000000" w:rsidRPr="00000000">
        <w:rPr>
          <w:b w:val="1"/>
          <w:rtl w:val="0"/>
        </w:rPr>
        <w:t xml:space="preserve">sayonara.santos@aluno.ufca.edu.br</w:t>
      </w:r>
      <w:r w:rsidDel="00000000" w:rsidR="00000000" w:rsidRPr="00000000">
        <w:rPr>
          <w:rtl w:val="0"/>
        </w:rPr>
        <w:t xml:space="preserve">, bolsista de Iniciação Cientifica e Tecnológica (PIICT), financiado pelo(a) CNPq (2022 – 2023).</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0A">
      <w:pPr>
        <w:spacing w:before="120" w:lineRule="auto"/>
        <w:ind w:firstLine="0"/>
        <w:jc w:val="right"/>
        <w:rPr/>
      </w:pPr>
      <w:r w:rsidDel="00000000" w:rsidR="00000000" w:rsidRPr="00000000">
        <w:rPr>
          <w:rtl w:val="0"/>
        </w:rPr>
        <w:t xml:space="preserve">Graduada pela Universidade Federal do Cariri (UFCA), </w:t>
      </w:r>
      <w:r w:rsidDel="00000000" w:rsidR="00000000" w:rsidRPr="00000000">
        <w:rPr>
          <w:b w:val="1"/>
          <w:rtl w:val="0"/>
        </w:rPr>
        <w:t xml:space="preserve">juliete.soares@aluno.ufca.edu.br</w:t>
      </w:r>
      <w:r w:rsidDel="00000000" w:rsidR="00000000" w:rsidRPr="00000000">
        <w:rPr>
          <w:rtl w:val="0"/>
        </w:rPr>
        <w:t xml:space="preserve">, bolsista de Iniciação Cientifica e Tecnológica (PIICT), financiado pelo(a) UFCA (2022 – 2023).</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0B">
      <w:pPr>
        <w:spacing w:before="120" w:lineRule="auto"/>
        <w:ind w:firstLine="0"/>
        <w:jc w:val="right"/>
        <w:rPr/>
      </w:pPr>
      <w:r w:rsidDel="00000000" w:rsidR="00000000" w:rsidRPr="00000000">
        <w:rPr>
          <w:rtl w:val="0"/>
        </w:rPr>
        <w:t xml:space="preserve">Professora na Universidade Federal do Cariri (UFCA), orientadora do projeto Susceptibilidade de Biofilmes Bacterianos Frente a Sapogeninas Esteroidais, </w:t>
      </w:r>
      <w:r w:rsidDel="00000000" w:rsidR="00000000" w:rsidRPr="00000000">
        <w:rPr>
          <w:b w:val="1"/>
          <w:rtl w:val="0"/>
        </w:rPr>
        <w:t xml:space="preserve">jacqueline.andrade@ufca.edu.br</w:t>
      </w:r>
      <w:r w:rsidDel="00000000" w:rsidR="00000000" w:rsidRPr="00000000">
        <w:rPr>
          <w:rtl w:val="0"/>
        </w:rPr>
        <w:t xml:space="preserve">.</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bookmarkStart w:colFirst="0" w:colLast="0" w:name="_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RESUMO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O aumento da resistência microbiana é uma questão alarmante, cuja principal causa é o uso indiscriminado de antibióticos. Estudos científicos têm investigado compostos bioativos como as sapogeninas esteróides, na perspectiva de novas alternativas benéficas para o controle da resistência bacteriana. Assim, o objetivo deste trabalho foi verificar a atividade antibacteriana, bem como a ação modificadora de antibióticos associados à solasodina. Foram realizados testes em microdiluição em caldo, para verificar a concentração inibitória mínima, como avaliar o potencial modificador da ação dos antibióticos. Ademais, foram avaliados o potencial modificador de ação dos antibióticos. A solasodina apresentou resultados significativos para as bactérias padrões com concentração inibitória mínima de 512 μg/mL, e quando associada aos antibióticos gentamicina e nofloxacina para as bactérias multirresistentes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S. aureus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10,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Escherichia coli</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06 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Pseudomonas aeruginosa</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24, apresentou uma taxa de 50 % de redução na concentração inibitória mínima. A solasodina pode estar atuando no mecanismo de ação do antibiótico, visto que tem demonstrado efeito potencializador quando associada a antibióticos, induzindo redução da concentração inibitória mínima contra bactérias Gram-positivas e Gram-negativas. Logo, este estudo demonstrou resultados significativos para a ação potencializadora da solasodina quando associada a antibióticos de importância clínica.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PALAVRAS-CHAVE: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potencialização antibiótica; resistência bacteriana; sapogenina.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increase in microbial resistance is an alarming issue, whose main cause is the indiscriminate use of antibiotics. Scientific studies have investigated bioactive compounds such as steroidal sapogenins, in the perspective of new beneficial alternatives for the control of bacterial resistance. Thus, the objective of this work was to verify the antibacterial activity, as well as the modifying action of antibiotics associated with solasodine. Tests were carried out in microdilution in broth, to verify the minimum inhibitory concentration, as well as to evaluate the potential modifier of the action of antibiotics. Furthermore, the potential action modifier of antibiotics was evaluated. Solasodine showed significant results for standard bacteria with a minimum inhibitory concentration of 512 μg/mL, and when associated with the antibiotics gentamicin and nofloxacin for the multiresistant bacteria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aureus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Escherichia coli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06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Pseudomonas aeruginosa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24, it showed a rate of 50 % of reduction in minimum inhibitory concentration. Solasodine may be acting on the mechanism of action of the antibiotic, since it has demonstrated a potentiating effect when associated with antibiotics, inducing a reduction in the minimum inhibitory concentration against Gram-positive and Gram-negative bacteria. Therefore, this study demonstrated significant results for the potentiating action of solasodine when associated with clinically important antibiotics.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Keywords: </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antibiotic potentiation; bacterial resistance; sapogenin.</w:t>
      </w:r>
      <w:r w:rsidDel="00000000" w:rsidR="00000000" w:rsidRPr="00000000">
        <w:rPr>
          <w:rtl w:val="0"/>
        </w:rPr>
      </w:r>
    </w:p>
    <w:p w:rsidR="00000000" w:rsidDel="00000000" w:rsidP="00000000" w:rsidRDefault="00000000" w:rsidRPr="00000000" w14:paraId="00000010">
      <w:pPr>
        <w:spacing w:after="0" w:lineRule="auto"/>
        <w:ind w:firstLine="0"/>
        <w:jc w:val="right"/>
        <w:rPr>
          <w:color w:val="00000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bookmarkStart w:colFirst="0" w:colLast="0" w:name="_30j0zll" w:id="1"/>
      <w:bookmarkEnd w:id="1"/>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1 Introdução</w:t>
      </w:r>
    </w:p>
    <w:p w:rsidR="00000000" w:rsidDel="00000000" w:rsidP="00000000" w:rsidRDefault="00000000" w:rsidRPr="00000000" w14:paraId="00000012">
      <w:pPr>
        <w:shd w:fill="ffffff" w:val="clear"/>
        <w:spacing w:line="360" w:lineRule="auto"/>
        <w:rPr>
          <w:color w:val="000000"/>
        </w:rPr>
      </w:pPr>
      <w:r w:rsidDel="00000000" w:rsidR="00000000" w:rsidRPr="00000000">
        <w:rPr>
          <w:color w:val="000000"/>
          <w:rtl w:val="0"/>
        </w:rPr>
        <w:t xml:space="preserve">Os antibióticos tiveram um impacto revolucionário no tratamento de doenças bacterianas, porém, a resistência antimicrobiana adquirida se tornou um sério problema de saúde pública devido ao uso indiscriminado desses medicamentos (ALVES, 2021). A resistência bacteriana é uma preocupação global, e pesquisas têm se dedicado a explorar produtos naturais como fontes promissoras de novos fármacos (BHATTARAI; BARAL, 2021). </w:t>
      </w:r>
    </w:p>
    <w:p w:rsidR="00000000" w:rsidDel="00000000" w:rsidP="00000000" w:rsidRDefault="00000000" w:rsidRPr="00000000" w14:paraId="00000013">
      <w:pPr>
        <w:shd w:fill="ffffff" w:val="clear"/>
        <w:spacing w:line="360" w:lineRule="auto"/>
        <w:rPr>
          <w:color w:val="000000"/>
        </w:rPr>
      </w:pPr>
      <w:r w:rsidDel="00000000" w:rsidR="00000000" w:rsidRPr="00000000">
        <w:rPr>
          <w:color w:val="000000"/>
          <w:rtl w:val="0"/>
        </w:rPr>
        <w:t xml:space="preserve">Segundo Kumar, Khan e Prasad (2019) os compostos esteróides têm sido precursores valiosos de fontes complementares para a síntese de vários fármacos. As sapogeninas já são conhecidas por suas múltiplas variações estruturais e propriedades farmacológicas que podem ser utilizadas na indústria, tanto em aplicações medicinais humanas quanto veterinárias.</w:t>
      </w:r>
    </w:p>
    <w:p w:rsidR="00000000" w:rsidDel="00000000" w:rsidP="00000000" w:rsidRDefault="00000000" w:rsidRPr="00000000" w14:paraId="00000014">
      <w:pPr>
        <w:shd w:fill="ffffff" w:val="clear"/>
        <w:spacing w:line="360" w:lineRule="auto"/>
        <w:rPr>
          <w:color w:val="000000"/>
        </w:rPr>
      </w:pPr>
      <w:r w:rsidDel="00000000" w:rsidR="00000000" w:rsidRPr="00000000">
        <w:rPr>
          <w:color w:val="000000"/>
          <w:rtl w:val="0"/>
        </w:rPr>
        <w:t xml:space="preserve">A solasodina é um alcaloide esteroidal, encontrado na natureza principalmente em plantas do gênero </w:t>
      </w:r>
      <w:r w:rsidDel="00000000" w:rsidR="00000000" w:rsidRPr="00000000">
        <w:rPr>
          <w:i w:val="1"/>
          <w:color w:val="000000"/>
          <w:rtl w:val="0"/>
        </w:rPr>
        <w:t xml:space="preserve">Solanum</w:t>
      </w:r>
      <w:r w:rsidDel="00000000" w:rsidR="00000000" w:rsidRPr="00000000">
        <w:rPr>
          <w:color w:val="000000"/>
          <w:rtl w:val="0"/>
        </w:rPr>
        <w:t xml:space="preserve">, sendo amplamente estudada por suas aplicações farmacológicas tendo em vista a presença de sapogeninas esteroidais que possuem importância farmacêutica e industrial (Hernández </w:t>
      </w:r>
      <w:r w:rsidDel="00000000" w:rsidR="00000000" w:rsidRPr="00000000">
        <w:rPr>
          <w:i w:val="1"/>
          <w:color w:val="000000"/>
          <w:rtl w:val="0"/>
        </w:rPr>
        <w:t xml:space="preserve">et al.</w:t>
      </w:r>
      <w:r w:rsidDel="00000000" w:rsidR="00000000" w:rsidRPr="00000000">
        <w:rPr>
          <w:color w:val="000000"/>
          <w:rtl w:val="0"/>
        </w:rPr>
        <w:t xml:space="preserve">, 2022). </w:t>
      </w:r>
    </w:p>
    <w:p w:rsidR="00000000" w:rsidDel="00000000" w:rsidP="00000000" w:rsidRDefault="00000000" w:rsidRPr="00000000" w14:paraId="00000015">
      <w:pPr>
        <w:shd w:fill="ffffff" w:val="clear"/>
        <w:spacing w:line="360" w:lineRule="auto"/>
        <w:rPr>
          <w:color w:val="000000"/>
        </w:rPr>
      </w:pPr>
      <w:r w:rsidDel="00000000" w:rsidR="00000000" w:rsidRPr="00000000">
        <w:rPr>
          <w:color w:val="000000"/>
          <w:rtl w:val="0"/>
        </w:rPr>
        <w:t xml:space="preserve">Assim, esse trabalho tem como finalidade investigar a combinação de antibióticos de uso convencional com compostos bioativos, visando encontrar alternativas acessíveis e benéficas que possam potencializar os efeitos dos medicamentos e contribuir para o controle da resistência microbiana. Diante disso, este estudo teve como objetivo verificar a atividade antibacteriana e a ação modificadora de antibióticos pelo método de microdiluição em caldo.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bookmarkStart w:colFirst="0" w:colLast="0" w:name="_1fob9te" w:id="2"/>
      <w:bookmarkEnd w:id="2"/>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2 METODOLOGIA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708" w:right="0" w:hanging="708"/>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2.1 Substâncias, antibióticos e reagentes</w:t>
      </w:r>
    </w:p>
    <w:p w:rsidR="00000000" w:rsidDel="00000000" w:rsidP="00000000" w:rsidRDefault="00000000" w:rsidRPr="00000000" w14:paraId="00000019">
      <w:pPr>
        <w:shd w:fill="ffffff" w:val="clear"/>
        <w:spacing w:line="360" w:lineRule="auto"/>
        <w:rPr>
          <w:color w:val="000000"/>
        </w:rPr>
      </w:pPr>
      <w:r w:rsidDel="00000000" w:rsidR="00000000" w:rsidRPr="00000000">
        <w:rPr>
          <w:color w:val="000000"/>
          <w:rtl w:val="0"/>
        </w:rPr>
        <w:t xml:space="preserve">A salosodina (</w:t>
      </w:r>
      <w:r w:rsidDel="00000000" w:rsidR="00000000" w:rsidRPr="00000000">
        <w:rPr>
          <w:b w:val="1"/>
          <w:color w:val="000000"/>
          <w:rtl w:val="0"/>
        </w:rPr>
        <w:t xml:space="preserve">Figura 1)</w:t>
      </w:r>
      <w:r w:rsidDel="00000000" w:rsidR="00000000" w:rsidRPr="00000000">
        <w:rPr>
          <w:color w:val="000000"/>
          <w:rtl w:val="0"/>
        </w:rPr>
        <w:t xml:space="preserve"> foi obtida da espécie </w:t>
      </w:r>
      <w:r w:rsidDel="00000000" w:rsidR="00000000" w:rsidRPr="00000000">
        <w:rPr>
          <w:i w:val="1"/>
          <w:color w:val="000000"/>
          <w:rtl w:val="0"/>
        </w:rPr>
        <w:t xml:space="preserve">Solanum paludosum</w:t>
      </w:r>
      <w:r w:rsidDel="00000000" w:rsidR="00000000" w:rsidRPr="00000000">
        <w:rPr>
          <w:color w:val="000000"/>
          <w:rtl w:val="0"/>
        </w:rPr>
        <w:t xml:space="preserve"> Moric. (</w:t>
      </w:r>
      <w:r w:rsidDel="00000000" w:rsidR="00000000" w:rsidRPr="00000000">
        <w:rPr>
          <w:i w:val="1"/>
          <w:color w:val="000000"/>
          <w:rtl w:val="0"/>
        </w:rPr>
        <w:t xml:space="preserve">Sigma Aldrich</w:t>
      </w:r>
      <w:r w:rsidDel="00000000" w:rsidR="00000000" w:rsidRPr="00000000">
        <w:rPr>
          <w:color w:val="000000"/>
          <w:rtl w:val="0"/>
        </w:rPr>
        <w:t xml:space="preserve"> Co. Ltd., São Paulo, Brasil), foi primeiro dissolvida em dimetil sulfóxido e depois diluída em água estéril para obter as concentrações de (1024 μg/mL), (512 μg/ML) e (128 μg/mL).</w:t>
      </w:r>
    </w:p>
    <w:p w:rsidR="00000000" w:rsidDel="00000000" w:rsidP="00000000" w:rsidRDefault="00000000" w:rsidRPr="00000000" w14:paraId="0000001A">
      <w:pPr>
        <w:shd w:fill="ffffff" w:val="clear"/>
        <w:spacing w:line="360" w:lineRule="auto"/>
        <w:ind w:firstLine="0"/>
        <w:jc w:val="center"/>
        <w:rPr>
          <w:color w:val="000000"/>
        </w:rPr>
      </w:pPr>
      <w:r w:rsidDel="00000000" w:rsidR="00000000" w:rsidRPr="00000000">
        <w:rPr>
          <w:b w:val="1"/>
          <w:color w:val="000000"/>
          <w:rtl w:val="0"/>
        </w:rPr>
        <w:t xml:space="preserve">Figura 1 – </w:t>
      </w:r>
      <w:r w:rsidDel="00000000" w:rsidR="00000000" w:rsidRPr="00000000">
        <w:rPr>
          <w:color w:val="000000"/>
          <w:rtl w:val="0"/>
        </w:rPr>
        <w:t xml:space="preserve">Estrutura molecular da solasodina</w:t>
      </w:r>
    </w:p>
    <w:p w:rsidR="00000000" w:rsidDel="00000000" w:rsidP="00000000" w:rsidRDefault="00000000" w:rsidRPr="00000000" w14:paraId="0000001B">
      <w:pPr>
        <w:shd w:fill="ffffff" w:val="clear"/>
        <w:spacing w:line="360" w:lineRule="auto"/>
        <w:rPr>
          <w:color w:val="000000"/>
        </w:rPr>
      </w:pPr>
      <w:r w:rsidDel="00000000" w:rsidR="00000000" w:rsidRPr="00000000">
        <w:rPr>
          <w:rtl w:val="0"/>
        </w:rPr>
      </w:r>
    </w:p>
    <w:p w:rsidR="00000000" w:rsidDel="00000000" w:rsidP="00000000" w:rsidRDefault="00000000" w:rsidRPr="00000000" w14:paraId="0000001C">
      <w:pPr>
        <w:shd w:fill="ffffff" w:val="clear"/>
        <w:jc w:val="center"/>
        <w:rPr>
          <w:rFonts w:ascii="Times New Roman" w:cs="Times New Roman" w:eastAsia="Times New Roman" w:hAnsi="Times New Roman"/>
          <w:b w:val="0"/>
          <w:smallCaps w:val="0"/>
          <w:color w:val="000000"/>
          <w:sz w:val="24"/>
          <w:szCs w:val="24"/>
        </w:rPr>
      </w:pPr>
      <w:r w:rsidDel="00000000" w:rsidR="00000000" w:rsidRPr="00000000">
        <w:rPr/>
        <w:drawing>
          <wp:inline distB="0" distT="0" distL="0" distR="0">
            <wp:extent cx="3479162" cy="1702992"/>
            <wp:effectExtent b="0" l="0" r="0" t="0"/>
            <wp:docPr descr="Diagrama, Desenho técnico&#10;&#10;Descrição gerada automaticamente" id="5" name="image3.png"/>
            <a:graphic>
              <a:graphicData uri="http://schemas.openxmlformats.org/drawingml/2006/picture">
                <pic:pic>
                  <pic:nvPicPr>
                    <pic:cNvPr descr="Diagrama, Desenho técnico&#10;&#10;Descrição gerada automaticamente" id="0" name="image3.png"/>
                    <pic:cNvPicPr preferRelativeResize="0"/>
                  </pic:nvPicPr>
                  <pic:blipFill>
                    <a:blip r:embed="rId7"/>
                    <a:srcRect b="0" l="0" r="0" t="0"/>
                    <a:stretch>
                      <a:fillRect/>
                    </a:stretch>
                  </pic:blipFill>
                  <pic:spPr>
                    <a:xfrm>
                      <a:off x="0" y="0"/>
                      <a:ext cx="3479162" cy="170299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spacing w:line="360" w:lineRule="auto"/>
        <w:jc w:val="center"/>
        <w:rPr>
          <w:rFonts w:ascii="Times New Roman" w:cs="Times New Roman" w:eastAsia="Times New Roman" w:hAnsi="Times New Roman"/>
          <w:b w:val="0"/>
          <w:smallCaps w:val="0"/>
          <w:color w:val="000000"/>
          <w:sz w:val="20"/>
          <w:szCs w:val="20"/>
        </w:rPr>
      </w:pPr>
      <w:r w:rsidDel="00000000" w:rsidR="00000000" w:rsidRPr="00000000">
        <w:rPr>
          <w:rFonts w:ascii="Times New Roman" w:cs="Times New Roman" w:eastAsia="Times New Roman" w:hAnsi="Times New Roman"/>
          <w:b w:val="0"/>
          <w:smallCaps w:val="0"/>
          <w:color w:val="000000"/>
          <w:sz w:val="20"/>
          <w:szCs w:val="20"/>
          <w:rtl w:val="0"/>
        </w:rPr>
        <w:t xml:space="preserve">Fonte: Milner </w:t>
      </w:r>
      <w:r w:rsidDel="00000000" w:rsidR="00000000" w:rsidRPr="00000000">
        <w:rPr>
          <w:rFonts w:ascii="Times New Roman" w:cs="Times New Roman" w:eastAsia="Times New Roman" w:hAnsi="Times New Roman"/>
          <w:b w:val="0"/>
          <w:i w:val="1"/>
          <w:smallCaps w:val="0"/>
          <w:color w:val="000000"/>
          <w:sz w:val="20"/>
          <w:szCs w:val="20"/>
          <w:rtl w:val="0"/>
        </w:rPr>
        <w:t xml:space="preserve">et al.</w:t>
      </w:r>
      <w:r w:rsidDel="00000000" w:rsidR="00000000" w:rsidRPr="00000000">
        <w:rPr>
          <w:rFonts w:ascii="Times New Roman" w:cs="Times New Roman" w:eastAsia="Times New Roman" w:hAnsi="Times New Roman"/>
          <w:b w:val="0"/>
          <w:smallCaps w:val="0"/>
          <w:color w:val="000000"/>
          <w:sz w:val="20"/>
          <w:szCs w:val="20"/>
          <w:rtl w:val="0"/>
        </w:rPr>
        <w:t xml:space="preserve"> (2011)</w:t>
      </w:r>
    </w:p>
    <w:p w:rsidR="00000000" w:rsidDel="00000000" w:rsidP="00000000" w:rsidRDefault="00000000" w:rsidRPr="00000000" w14:paraId="0000001E">
      <w:pPr>
        <w:shd w:fill="ffffff" w:val="clear"/>
        <w:spacing w:line="360" w:lineRule="auto"/>
        <w:rPr>
          <w:color w:val="000000"/>
        </w:rPr>
      </w:pPr>
      <w:r w:rsidDel="00000000" w:rsidR="00000000" w:rsidRPr="00000000">
        <w:rPr>
          <w:color w:val="000000"/>
          <w:rtl w:val="0"/>
        </w:rPr>
        <w:t xml:space="preserve">No teste para avaliar a atividade modificadora de ação dos antibióticos, foram utilizadas gentamicina, norfloxacina e ampicilina (</w:t>
      </w:r>
      <w:r w:rsidDel="00000000" w:rsidR="00000000" w:rsidRPr="00000000">
        <w:rPr>
          <w:i w:val="1"/>
          <w:color w:val="000000"/>
          <w:rtl w:val="0"/>
        </w:rPr>
        <w:t xml:space="preserve">Sigma Aldrich</w:t>
      </w:r>
      <w:r w:rsidDel="00000000" w:rsidR="00000000" w:rsidRPr="00000000">
        <w:rPr>
          <w:color w:val="000000"/>
          <w:rtl w:val="0"/>
        </w:rPr>
        <w:t xml:space="preserve"> Co. Ltd., São Paulo, Brasil) na concentração de (1024 μg/mL).</w:t>
      </w:r>
    </w:p>
    <w:p w:rsidR="00000000" w:rsidDel="00000000" w:rsidP="00000000" w:rsidRDefault="00000000" w:rsidRPr="00000000" w14:paraId="0000001F">
      <w:pPr>
        <w:shd w:fill="ffffff" w:val="clear"/>
        <w:spacing w:line="360" w:lineRule="auto"/>
        <w:rPr>
          <w:rFonts w:ascii="Times New Roman" w:cs="Times New Roman" w:eastAsia="Times New Roman" w:hAnsi="Times New Roman"/>
          <w:b w:val="0"/>
          <w:smallCaps w:val="0"/>
          <w:color w:val="000000"/>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2.2 Cepas bacterianas</w:t>
      </w:r>
    </w:p>
    <w:p w:rsidR="00000000" w:rsidDel="00000000" w:rsidP="00000000" w:rsidRDefault="00000000" w:rsidRPr="00000000" w14:paraId="00000021">
      <w:pPr>
        <w:shd w:fill="ffffff" w:val="clear"/>
        <w:spacing w:line="360" w:lineRule="auto"/>
        <w:rPr>
          <w:color w:val="000000"/>
        </w:rPr>
      </w:pPr>
      <w:r w:rsidDel="00000000" w:rsidR="00000000" w:rsidRPr="00000000">
        <w:rPr>
          <w:color w:val="000000"/>
          <w:rtl w:val="0"/>
        </w:rPr>
        <w:t xml:space="preserve">No teste para verificar a atividade antibacteriana, as cepas padrão utilizadas foram </w:t>
      </w:r>
      <w:r w:rsidDel="00000000" w:rsidR="00000000" w:rsidRPr="00000000">
        <w:rPr>
          <w:i w:val="1"/>
          <w:color w:val="000000"/>
          <w:rtl w:val="0"/>
        </w:rPr>
        <w:t xml:space="preserve">Escherichia coli</w:t>
      </w:r>
      <w:r w:rsidDel="00000000" w:rsidR="00000000" w:rsidRPr="00000000">
        <w:rPr>
          <w:color w:val="000000"/>
          <w:rtl w:val="0"/>
        </w:rPr>
        <w:t xml:space="preserve"> ATCC 25922, </w:t>
      </w:r>
      <w:r w:rsidDel="00000000" w:rsidR="00000000" w:rsidRPr="00000000">
        <w:rPr>
          <w:i w:val="1"/>
          <w:color w:val="000000"/>
          <w:rtl w:val="0"/>
        </w:rPr>
        <w:t xml:space="preserve">Staphylococcus aureus</w:t>
      </w:r>
      <w:r w:rsidDel="00000000" w:rsidR="00000000" w:rsidRPr="00000000">
        <w:rPr>
          <w:color w:val="000000"/>
          <w:rtl w:val="0"/>
        </w:rPr>
        <w:t xml:space="preserve"> ATCC 25923, </w:t>
      </w:r>
      <w:r w:rsidDel="00000000" w:rsidR="00000000" w:rsidRPr="00000000">
        <w:rPr>
          <w:i w:val="1"/>
          <w:color w:val="000000"/>
          <w:rtl w:val="0"/>
        </w:rPr>
        <w:t xml:space="preserve">Pseudomonas aeruginosa</w:t>
      </w:r>
      <w:r w:rsidDel="00000000" w:rsidR="00000000" w:rsidRPr="00000000">
        <w:rPr>
          <w:color w:val="000000"/>
          <w:rtl w:val="0"/>
        </w:rPr>
        <w:t xml:space="preserve"> ATCC 902, e as cepas multirresistentes </w:t>
      </w:r>
      <w:r w:rsidDel="00000000" w:rsidR="00000000" w:rsidRPr="00000000">
        <w:rPr>
          <w:i w:val="1"/>
          <w:color w:val="000000"/>
          <w:rtl w:val="0"/>
        </w:rPr>
        <w:t xml:space="preserve">Escherichia coli</w:t>
      </w:r>
      <w:r w:rsidDel="00000000" w:rsidR="00000000" w:rsidRPr="00000000">
        <w:rPr>
          <w:color w:val="000000"/>
          <w:rtl w:val="0"/>
        </w:rPr>
        <w:t xml:space="preserve"> 06, </w:t>
      </w:r>
      <w:r w:rsidDel="00000000" w:rsidR="00000000" w:rsidRPr="00000000">
        <w:rPr>
          <w:i w:val="1"/>
          <w:color w:val="000000"/>
          <w:rtl w:val="0"/>
        </w:rPr>
        <w:t xml:space="preserve">Staphylococcus aureus</w:t>
      </w:r>
      <w:r w:rsidDel="00000000" w:rsidR="00000000" w:rsidRPr="00000000">
        <w:rPr>
          <w:color w:val="000000"/>
          <w:rtl w:val="0"/>
        </w:rPr>
        <w:t xml:space="preserve"> 10, </w:t>
      </w:r>
      <w:r w:rsidDel="00000000" w:rsidR="00000000" w:rsidRPr="00000000">
        <w:rPr>
          <w:i w:val="1"/>
          <w:color w:val="000000"/>
          <w:rtl w:val="0"/>
        </w:rPr>
        <w:t xml:space="preserve">Pseudomonas aeruginosa</w:t>
      </w:r>
      <w:r w:rsidDel="00000000" w:rsidR="00000000" w:rsidRPr="00000000">
        <w:rPr>
          <w:color w:val="000000"/>
          <w:rtl w:val="0"/>
        </w:rPr>
        <w:t xml:space="preserve"> 24</w:t>
      </w:r>
      <w:r w:rsidDel="00000000" w:rsidR="00000000" w:rsidRPr="00000000">
        <w:rPr>
          <w:color w:val="000000"/>
          <w:highlight w:val="white"/>
          <w:rtl w:val="0"/>
        </w:rPr>
        <w:t xml:space="preserve">. Essas cepas foram </w:t>
      </w:r>
      <w:r w:rsidDel="00000000" w:rsidR="00000000" w:rsidRPr="00000000">
        <w:rPr>
          <w:color w:val="000000"/>
          <w:rtl w:val="0"/>
        </w:rPr>
        <w:t xml:space="preserve">obtidas através do Laboratório de Microbiologia e Biologia Molecular da Universidade da Região do Cariri. Antes de realizar cada teste, eles foram cultivados por 24 horas a 37 °C em ágar de infusão de cérebro e coração (BHI) (Laboratorios cond SA, Madri, Espanha). </w:t>
      </w:r>
    </w:p>
    <w:p w:rsidR="00000000" w:rsidDel="00000000" w:rsidP="00000000" w:rsidRDefault="00000000" w:rsidRPr="00000000" w14:paraId="00000022">
      <w:pPr>
        <w:shd w:fill="ffffff" w:val="clear"/>
        <w:spacing w:line="360" w:lineRule="auto"/>
        <w:rPr>
          <w:color w:val="00000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2.3 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eterminação da concentração inibitória mínima (CIM)</w:t>
      </w:r>
      <w:r w:rsidDel="00000000" w:rsidR="00000000" w:rsidRPr="00000000">
        <w:rPr>
          <w:rtl w:val="0"/>
        </w:rPr>
      </w:r>
    </w:p>
    <w:p w:rsidR="00000000" w:rsidDel="00000000" w:rsidP="00000000" w:rsidRDefault="00000000" w:rsidRPr="00000000" w14:paraId="00000024">
      <w:pPr>
        <w:shd w:fill="ffffff" w:val="clear"/>
        <w:spacing w:line="360" w:lineRule="auto"/>
        <w:rPr>
          <w:color w:val="000000"/>
        </w:rPr>
      </w:pPr>
      <w:r w:rsidDel="00000000" w:rsidR="00000000" w:rsidRPr="00000000">
        <w:rPr>
          <w:color w:val="000000"/>
          <w:rtl w:val="0"/>
        </w:rPr>
        <w:t xml:space="preserve">Para determinar a concentração inibitória mínima, a metodologia utilizada foi CLSI com modificações. As suspensões dos microrganismos foram preparadas em tubos contendo 4 mL de solução estéril (NaCl a 0,9 %). Essas suspensões foram então agitadas com auxílio de um aparelho de vórtice e a turbidez foi comparada e ajustada àquela apresentada pela suspensão de sulfato de bário no tubo 0,5 da escala de McFarland, que corresponde a um inóculo de aproximadamente 10</w:t>
      </w:r>
      <w:r w:rsidDel="00000000" w:rsidR="00000000" w:rsidRPr="00000000">
        <w:rPr>
          <w:color w:val="000000"/>
          <w:vertAlign w:val="superscript"/>
          <w:rtl w:val="0"/>
        </w:rPr>
        <w:t xml:space="preserve">5 </w:t>
      </w:r>
      <w:r w:rsidDel="00000000" w:rsidR="00000000" w:rsidRPr="00000000">
        <w:rPr>
          <w:color w:val="000000"/>
          <w:rtl w:val="0"/>
        </w:rPr>
        <w:t xml:space="preserve">unidades formadoras de colônias/mL (UFC/mL). Uma solução contendo 900 μL de caldo BHI a 10% e 100 μL do inóculo foi preparada em cada eppendorf e 100 μL da solução foram dispensados ​​em cada poço da placa de microdiluição de 96 poços. Também foram adicionados 100 μL de solasodina na concentração inicial de (1024 μg/mL) e ela foi passada para os demais poços por meio de diluições sucessivas na proporção de 1:1, variando de (512 μg/mL) no primeiro poço a (4 μg/mL) no penúltimo poço, sendo o último poço reservado para o controle do teste.</w:t>
      </w:r>
    </w:p>
    <w:p w:rsidR="00000000" w:rsidDel="00000000" w:rsidP="00000000" w:rsidRDefault="00000000" w:rsidRPr="00000000" w14:paraId="00000025">
      <w:pPr>
        <w:shd w:fill="ffffff" w:val="clear"/>
        <w:spacing w:line="360" w:lineRule="auto"/>
        <w:rPr>
          <w:color w:val="000000"/>
        </w:rPr>
      </w:pPr>
      <w:r w:rsidDel="00000000" w:rsidR="00000000" w:rsidRPr="00000000">
        <w:rPr>
          <w:color w:val="000000"/>
          <w:rtl w:val="0"/>
        </w:rPr>
        <w:t xml:space="preserve">Para análise da CIM, após incubação das placas por 24 h a 37 °C, preparou-se uma solução indicadora de resazurina sódica em água destilada estéril na concentração de 0,01% e adicionou-se 20 μL dessa solução indicadora a cada poço e as placas foram incubados por 1 hora em temperatura ambiente. A mudança de cor de azul para rosa foi identificada como prova de crescimento bacteriano. A CIM é definida como a menor concentração capaz de inibir o crescimento bacteriano, o que foi evidenciado pela cor azul inalterada.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2.4 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valiação da ação modificadora da atividade antibiótica</w:t>
      </w:r>
      <w:r w:rsidDel="00000000" w:rsidR="00000000" w:rsidRPr="00000000">
        <w:rPr>
          <w:rtl w:val="0"/>
        </w:rPr>
      </w:r>
    </w:p>
    <w:p w:rsidR="00000000" w:rsidDel="00000000" w:rsidP="00000000" w:rsidRDefault="00000000" w:rsidRPr="00000000" w14:paraId="00000028">
      <w:pPr>
        <w:shd w:fill="ffffff" w:val="clear"/>
        <w:spacing w:line="360" w:lineRule="auto"/>
        <w:rPr>
          <w:color w:val="000000"/>
        </w:rPr>
      </w:pPr>
      <w:r w:rsidDel="00000000" w:rsidR="00000000" w:rsidRPr="00000000">
        <w:rPr>
          <w:color w:val="000000"/>
          <w:rtl w:val="0"/>
        </w:rPr>
        <w:t xml:space="preserve">Para a atividade modificadora da ação antibiótica, a solasodina foi testada em concentrações sub-inibitórias (CIM/8), usando a metodologia proposta por Coutinho </w:t>
      </w:r>
      <w:r w:rsidDel="00000000" w:rsidR="00000000" w:rsidRPr="00000000">
        <w:rPr>
          <w:i w:val="1"/>
          <w:color w:val="000000"/>
          <w:rtl w:val="0"/>
        </w:rPr>
        <w:t xml:space="preserve">et al. </w:t>
      </w:r>
      <w:r w:rsidDel="00000000" w:rsidR="00000000" w:rsidRPr="00000000">
        <w:rPr>
          <w:color w:val="000000"/>
          <w:rtl w:val="0"/>
        </w:rPr>
        <w:t xml:space="preserve">(2008).</w:t>
      </w:r>
    </w:p>
    <w:p w:rsidR="00000000" w:rsidDel="00000000" w:rsidP="00000000" w:rsidRDefault="00000000" w:rsidRPr="00000000" w14:paraId="00000029">
      <w:pPr>
        <w:shd w:fill="ffffff" w:val="clear"/>
        <w:spacing w:line="360" w:lineRule="auto"/>
        <w:rPr>
          <w:color w:val="000000"/>
        </w:rPr>
      </w:pPr>
      <w:r w:rsidDel="00000000" w:rsidR="00000000" w:rsidRPr="00000000">
        <w:rPr>
          <w:color w:val="000000"/>
          <w:rtl w:val="0"/>
        </w:rPr>
        <w:t xml:space="preserve">Para o teste, foram preparados eppendorfs contendo a solasodina na concentração de (128 μg/mL) e depositadas suspensões de 10</w:t>
      </w:r>
      <w:r w:rsidDel="00000000" w:rsidR="00000000" w:rsidRPr="00000000">
        <w:rPr>
          <w:color w:val="000000"/>
          <w:vertAlign w:val="superscript"/>
          <w:rtl w:val="0"/>
        </w:rPr>
        <w:t xml:space="preserve">5</w:t>
      </w:r>
      <w:r w:rsidDel="00000000" w:rsidR="00000000" w:rsidRPr="00000000">
        <w:rPr>
          <w:color w:val="000000"/>
          <w:rtl w:val="0"/>
        </w:rPr>
        <w:t xml:space="preserve"> UFC/mL dos microorganismos juntamente com meio BHI. Um controle para o antibiótico foi preparado com a mesma quantidade de inóculo bacteriano correspondente ao volume de 10% no eppendorf e 1350 µL de BHI. Foram dispensados 100 μL dessas soluções nas cavidades da placa de 96 poços. Em seguida, foram adicionados 100 μL de cada antibiótico na concentração de (1024 μg/mL) seguindo com sucessivas microdiluições na proporção de 1:1, variando de (512 μg/mL) no primeiro poço a (0,5 μg/mL) no penúltimo poço, com o último poço reservado para o controle de teste. As placas foram incubadas por 24 horas a 37 °C e então lidas usando o indicador colorimétrico resazurina.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2.5 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nálise estatística</w:t>
      </w:r>
      <w:r w:rsidDel="00000000" w:rsidR="00000000" w:rsidRPr="00000000">
        <w:rPr>
          <w:rtl w:val="0"/>
        </w:rPr>
      </w:r>
    </w:p>
    <w:p w:rsidR="00000000" w:rsidDel="00000000" w:rsidP="00000000" w:rsidRDefault="00000000" w:rsidRPr="00000000" w14:paraId="0000002C">
      <w:pPr>
        <w:shd w:fill="ffffff" w:val="clear"/>
        <w:spacing w:line="360" w:lineRule="auto"/>
        <w:rPr>
          <w:color w:val="000000"/>
        </w:rPr>
      </w:pPr>
      <w:r w:rsidDel="00000000" w:rsidR="00000000" w:rsidRPr="00000000">
        <w:rPr>
          <w:color w:val="000000"/>
          <w:rtl w:val="0"/>
        </w:rPr>
        <w:t xml:space="preserve">Os dados foram analisados ​​por meio do teste ANOVA two-way, no qual os resultados foram expressos em média geométrica e desvio padrão por meio do </w:t>
      </w:r>
      <w:r w:rsidDel="00000000" w:rsidR="00000000" w:rsidRPr="00000000">
        <w:rPr>
          <w:i w:val="1"/>
          <w:color w:val="000000"/>
          <w:rtl w:val="0"/>
        </w:rPr>
        <w:t xml:space="preserve">software GraphPad Prisma</w:t>
      </w:r>
      <w:r w:rsidDel="00000000" w:rsidR="00000000" w:rsidRPr="00000000">
        <w:rPr>
          <w:color w:val="000000"/>
          <w:rtl w:val="0"/>
        </w:rPr>
        <w:t xml:space="preserve"> versão 5.0. Foi submetido ao teste post hoc de Bonferrini, sendo os resultados considerados significativos quando </w:t>
      </w:r>
      <w:r w:rsidDel="00000000" w:rsidR="00000000" w:rsidRPr="00000000">
        <w:rPr>
          <w:i w:val="1"/>
          <w:color w:val="000000"/>
          <w:rtl w:val="0"/>
        </w:rPr>
        <w:t xml:space="preserve">p</w:t>
      </w:r>
      <w:r w:rsidDel="00000000" w:rsidR="00000000" w:rsidRPr="00000000">
        <w:rPr>
          <w:color w:val="000000"/>
          <w:rtl w:val="0"/>
        </w:rPr>
        <w:t xml:space="preserve"> &lt; 0,05, </w:t>
      </w:r>
      <w:r w:rsidDel="00000000" w:rsidR="00000000" w:rsidRPr="00000000">
        <w:rPr>
          <w:i w:val="1"/>
          <w:color w:val="000000"/>
          <w:rtl w:val="0"/>
        </w:rPr>
        <w:t xml:space="preserve">p</w:t>
      </w:r>
      <w:r w:rsidDel="00000000" w:rsidR="00000000" w:rsidRPr="00000000">
        <w:rPr>
          <w:color w:val="000000"/>
          <w:rtl w:val="0"/>
        </w:rPr>
        <w:t xml:space="preserve"> &lt; 0,0001, e não significativos quando </w:t>
      </w:r>
      <w:r w:rsidDel="00000000" w:rsidR="00000000" w:rsidRPr="00000000">
        <w:rPr>
          <w:i w:val="1"/>
          <w:color w:val="000000"/>
          <w:rtl w:val="0"/>
        </w:rPr>
        <w:t xml:space="preserve">p</w:t>
      </w:r>
      <w:r w:rsidDel="00000000" w:rsidR="00000000" w:rsidRPr="00000000">
        <w:rPr>
          <w:color w:val="000000"/>
          <w:rtl w:val="0"/>
        </w:rPr>
        <w:t xml:space="preserve"> &gt; 0,05.</w:t>
      </w:r>
    </w:p>
    <w:p w:rsidR="00000000" w:rsidDel="00000000" w:rsidP="00000000" w:rsidRDefault="00000000" w:rsidRPr="00000000" w14:paraId="0000002D">
      <w:pPr>
        <w:shd w:fill="ffffff" w:val="clear"/>
        <w:spacing w:line="360" w:lineRule="auto"/>
        <w:rPr>
          <w:color w:val="00000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3 REFERENCIAL TEÓRICO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As doenças infecciosas bacterianas são uma das principais causas de morte em todo o mundo e são rotineiramente tratadas com uso de antibióticos. No entanto, o uso de medicamentos de forma inadequada e sem orientação prévia de um profissional de saúde habilitado, tem trazido consequências graves, resultando em um aumento preocupante da resistência bacteriana adquirida, seja por mecanismos de mutação, transformação ou conjunção, levando a uma dificuldade cada vez maior de tratar as infecções (BRITO; TREVISAN, 2021).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Atualmente uma grande parte das bactérias que antes eram encontradas em pacientes nos leitos de hospitais, estão presentes fora desse ambiente. As bactérias Gram-negativas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Escherichia coli</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Pseudomonas aeruginosa</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e a Gram-positiva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Staphylococcus aureus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são algumas das que mais provocam complicações nos pacientes internados e as que mais têm desenvolvido resistência à antibióticos, além disso, elas ainda possuem inúmeras formas de contágio, permitindo que os patógenos se espalhem na interface humano-ambiente-animal. Portanto, diante do ciclo de contágio, a relação torna-se potencialmente mais perigosas (WYRES; HOLT, 2018).</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Entretanto, ao invés de substituir os antibióticos ineficazes para bactérias multirresistentes, combiná-los com compostos bioativos é uma nova alternativa para a terapia antimicrobiana.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partir de seus estudos, Siriyong, Voravuthikunchai e Coote (2018) evidenciaram</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que a combinação de alcaloides esteróides com antibióticos pode contribuir para a inibição bacteriana e a restauração da eficácia antibiótica. Visto que, os principais mecanismos antibacterianos dos alcaloides incluem alteração na permeabilidade da membrana celular, inibição da síntese da parede celular bacteriana, inibição do metabolismo bacteriano e inibição da síntese de ácidos nucleicos e proteínas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Yan</w:t>
      </w: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2021</w:t>
      </w: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solasodina é um alcaloide esteróide e é amplamente distribuída em plantas agrícolas importantes e ervas medicinais, como berinjela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Solanum tuberosum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batata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Solanum tuberosum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Solanum nigrum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Solanum sisymbriifolium e entre outras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 família Solanaceae (QU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2022). Ademais, esse alcaloide esteroidal é percebido como um composto bioativo, uma vez que,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demonstra importante efeito anticonvulsivante, anti-inflamatório, antioxidante, antiviral, antifúngico, anticancerígeno e antibacteriano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(NIÑO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2009; CHAUHAN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2011; CHANG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2017). Devido a essas diversas bioatividades, os alcaloides esteróides têm sido o foco de vários estudos recentes (Cárdenas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2016).</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4 resultados e discussão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4.1 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tividade antibacteriana</w:t>
      </w:r>
      <w:r w:rsidDel="00000000" w:rsidR="00000000" w:rsidRPr="00000000">
        <w:rPr>
          <w:rtl w:val="0"/>
        </w:rPr>
      </w:r>
    </w:p>
    <w:p w:rsidR="00000000" w:rsidDel="00000000" w:rsidP="00000000" w:rsidRDefault="00000000" w:rsidRPr="00000000" w14:paraId="00000036">
      <w:pPr>
        <w:shd w:fill="ffffff" w:val="clear"/>
        <w:spacing w:line="360" w:lineRule="auto"/>
        <w:rPr>
          <w:color w:val="000000"/>
        </w:rPr>
      </w:pPr>
      <w:r w:rsidDel="00000000" w:rsidR="00000000" w:rsidRPr="00000000">
        <w:rPr>
          <w:color w:val="000000"/>
          <w:rtl w:val="0"/>
        </w:rPr>
        <w:t xml:space="preserve">Com a análise da concentração inibitória mínima (CIM), a solasodina não apresentou atividade antibacteriana direta para as bactérias </w:t>
      </w:r>
      <w:r w:rsidDel="00000000" w:rsidR="00000000" w:rsidRPr="00000000">
        <w:rPr>
          <w:i w:val="1"/>
          <w:color w:val="000000"/>
          <w:rtl w:val="0"/>
        </w:rPr>
        <w:t xml:space="preserve">S. aureus</w:t>
      </w:r>
      <w:r w:rsidDel="00000000" w:rsidR="00000000" w:rsidRPr="00000000">
        <w:rPr>
          <w:color w:val="000000"/>
          <w:rtl w:val="0"/>
        </w:rPr>
        <w:t xml:space="preserve"> 10, </w:t>
      </w:r>
      <w:r w:rsidDel="00000000" w:rsidR="00000000" w:rsidRPr="00000000">
        <w:rPr>
          <w:i w:val="1"/>
          <w:color w:val="000000"/>
          <w:rtl w:val="0"/>
        </w:rPr>
        <w:t xml:space="preserve">P. aeruginosa</w:t>
      </w:r>
      <w:r w:rsidDel="00000000" w:rsidR="00000000" w:rsidRPr="00000000">
        <w:rPr>
          <w:color w:val="000000"/>
          <w:rtl w:val="0"/>
        </w:rPr>
        <w:t xml:space="preserve"> 24 e </w:t>
      </w:r>
      <w:r w:rsidDel="00000000" w:rsidR="00000000" w:rsidRPr="00000000">
        <w:rPr>
          <w:i w:val="1"/>
          <w:color w:val="000000"/>
          <w:rtl w:val="0"/>
        </w:rPr>
        <w:t xml:space="preserve">E. coli</w:t>
      </w:r>
      <w:r w:rsidDel="00000000" w:rsidR="00000000" w:rsidRPr="00000000">
        <w:rPr>
          <w:rFonts w:ascii="Gungsuh" w:cs="Gungsuh" w:eastAsia="Gungsuh" w:hAnsi="Gungsuh"/>
          <w:color w:val="000000"/>
          <w:rtl w:val="0"/>
        </w:rPr>
        <w:t xml:space="preserve"> 06, mostrando uma CIM ≥ 1024 μg/mL. No entanto, para as bactérias, </w:t>
      </w:r>
      <w:r w:rsidDel="00000000" w:rsidR="00000000" w:rsidRPr="00000000">
        <w:rPr>
          <w:i w:val="1"/>
          <w:color w:val="000000"/>
          <w:rtl w:val="0"/>
        </w:rPr>
        <w:t xml:space="preserve">S. aureus</w:t>
      </w:r>
      <w:r w:rsidDel="00000000" w:rsidR="00000000" w:rsidRPr="00000000">
        <w:rPr>
          <w:color w:val="000000"/>
          <w:rtl w:val="0"/>
        </w:rPr>
        <w:t xml:space="preserve"> ATCC 25923, </w:t>
      </w:r>
      <w:r w:rsidDel="00000000" w:rsidR="00000000" w:rsidRPr="00000000">
        <w:rPr>
          <w:i w:val="1"/>
          <w:color w:val="000000"/>
          <w:rtl w:val="0"/>
        </w:rPr>
        <w:t xml:space="preserve">P. aeruginosa</w:t>
      </w:r>
      <w:r w:rsidDel="00000000" w:rsidR="00000000" w:rsidRPr="00000000">
        <w:rPr>
          <w:color w:val="000000"/>
          <w:rtl w:val="0"/>
        </w:rPr>
        <w:t xml:space="preserve"> ATCC 9027 e </w:t>
      </w:r>
      <w:r w:rsidDel="00000000" w:rsidR="00000000" w:rsidRPr="00000000">
        <w:rPr>
          <w:i w:val="1"/>
          <w:color w:val="000000"/>
          <w:rtl w:val="0"/>
        </w:rPr>
        <w:t xml:space="preserve">E. coli</w:t>
      </w:r>
      <w:r w:rsidDel="00000000" w:rsidR="00000000" w:rsidRPr="00000000">
        <w:rPr>
          <w:color w:val="000000"/>
          <w:rtl w:val="0"/>
        </w:rPr>
        <w:t xml:space="preserve"> ATCC 25922, a solasodina apresentou uma CIM de 512 μg/mL, conforme apresentado na </w:t>
      </w:r>
      <w:hyperlink r:id="rId8">
        <w:r w:rsidDel="00000000" w:rsidR="00000000" w:rsidRPr="00000000">
          <w:rPr>
            <w:b w:val="1"/>
            <w:color w:val="000000"/>
            <w:rtl w:val="0"/>
          </w:rPr>
          <w:t xml:space="preserve">Tabela 1</w:t>
        </w:r>
      </w:hyperlink>
      <w:r w:rsidDel="00000000" w:rsidR="00000000" w:rsidRPr="00000000">
        <w:rPr>
          <w:color w:val="000000"/>
          <w:rtl w:val="0"/>
        </w:rPr>
        <w:t xml:space="preserve"> .</w:t>
      </w:r>
    </w:p>
    <w:p w:rsidR="00000000" w:rsidDel="00000000" w:rsidP="00000000" w:rsidRDefault="00000000" w:rsidRPr="00000000" w14:paraId="00000037">
      <w:pPr>
        <w:shd w:fill="ffffff" w:val="clear"/>
        <w:spacing w:line="360" w:lineRule="auto"/>
        <w:ind w:firstLine="0"/>
        <w:jc w:val="center"/>
        <w:rPr>
          <w:color w:val="000000"/>
        </w:rPr>
      </w:pPr>
      <w:r w:rsidDel="00000000" w:rsidR="00000000" w:rsidRPr="00000000">
        <w:rPr>
          <w:b w:val="1"/>
          <w:color w:val="000000"/>
          <w:rtl w:val="0"/>
        </w:rPr>
        <w:t xml:space="preserve">Tabela 1 - </w:t>
      </w:r>
      <w:r w:rsidDel="00000000" w:rsidR="00000000" w:rsidRPr="00000000">
        <w:rPr>
          <w:color w:val="000000"/>
          <w:rtl w:val="0"/>
        </w:rPr>
        <w:t xml:space="preserve">Determinação da concentração inibitória mínima (μg/mL)</w:t>
      </w:r>
    </w:p>
    <w:tbl>
      <w:tblPr>
        <w:tblStyle w:val="Table1"/>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E0"/>
      </w:tblPr>
      <w:tblGrid>
        <w:gridCol w:w="1324"/>
        <w:gridCol w:w="944"/>
        <w:gridCol w:w="993"/>
        <w:gridCol w:w="992"/>
        <w:gridCol w:w="1417"/>
        <w:gridCol w:w="1418"/>
        <w:gridCol w:w="1417"/>
        <w:tblGridChange w:id="0">
          <w:tblGrid>
            <w:gridCol w:w="1324"/>
            <w:gridCol w:w="944"/>
            <w:gridCol w:w="993"/>
            <w:gridCol w:w="992"/>
            <w:gridCol w:w="1417"/>
            <w:gridCol w:w="1418"/>
            <w:gridCol w:w="1417"/>
          </w:tblGrid>
        </w:tblGridChange>
      </w:tblGrid>
      <w:tr>
        <w:trPr>
          <w:cantSplit w:val="0"/>
          <w:tblHeader w:val="0"/>
        </w:trPr>
        <w:tc>
          <w:tcPr>
            <w:tcBorders>
              <w:top w:color="000000" w:space="0" w:sz="8" w:val="single"/>
              <w:bottom w:color="000000" w:space="0" w:sz="8"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actéria</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S.A 10</w:t>
            </w:r>
          </w:p>
        </w:tc>
        <w:tc>
          <w:tcPr>
            <w:tcBorders>
              <w:top w:color="000000" w:space="0" w:sz="8" w:val="single"/>
              <w:bottom w:color="000000" w:space="0" w:sz="8"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P.A 24</w:t>
            </w:r>
          </w:p>
        </w:tc>
        <w:tc>
          <w:tcPr>
            <w:tcBorders>
              <w:top w:color="000000" w:space="0" w:sz="8" w:val="single"/>
              <w:bottom w:color="000000" w:space="0" w:sz="8"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E.C 06</w:t>
            </w:r>
          </w:p>
        </w:tc>
        <w:tc>
          <w:tcPr>
            <w:tcBorders>
              <w:top w:color="000000" w:space="0" w:sz="8" w:val="single"/>
              <w:bottom w:color="000000" w:space="0" w:sz="8"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S.A ATCC 25923</w:t>
            </w:r>
          </w:p>
        </w:tc>
        <w:tc>
          <w:tcPr>
            <w:tcBorders>
              <w:top w:color="000000" w:space="0" w:sz="8" w:val="single"/>
              <w:bottom w:color="000000" w:space="0" w:sz="8"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P.A ATCC 9027</w:t>
            </w:r>
          </w:p>
        </w:tc>
        <w:tc>
          <w:tcPr>
            <w:tcBorders>
              <w:top w:color="000000" w:space="0" w:sz="8" w:val="single"/>
              <w:bottom w:color="000000" w:space="0" w:sz="8"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E.C ATCC 25922</w:t>
            </w:r>
          </w:p>
        </w:tc>
      </w:tr>
      <w:tr>
        <w:trPr>
          <w:cantSplit w:val="0"/>
          <w:tblHeader w:val="0"/>
        </w:trPr>
        <w:tc>
          <w:tcPr>
            <w:tcBorders>
              <w:top w:color="000000" w:space="0" w:sz="8" w:val="single"/>
              <w:bottom w:color="000000" w:space="0" w:sz="8"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olasodina</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Gungsuh" w:cs="Gungsuh" w:eastAsia="Gungsuh" w:hAnsi="Gungsuh"/>
                <w:b w:val="1"/>
                <w:i w:val="0"/>
                <w:smallCaps w:val="1"/>
                <w:strike w:val="0"/>
                <w:color w:val="000000"/>
                <w:sz w:val="24"/>
                <w:szCs w:val="24"/>
                <w:u w:val="none"/>
                <w:shd w:fill="auto" w:val="clear"/>
                <w:vertAlign w:val="baseline"/>
                <w:rtl w:val="0"/>
              </w:rPr>
              <w:t xml:space="preserve">≥1024</w:t>
            </w:r>
          </w:p>
        </w:tc>
        <w:tc>
          <w:tcPr>
            <w:tcBorders>
              <w:top w:color="000000" w:space="0" w:sz="8" w:val="single"/>
              <w:bottom w:color="000000" w:space="0" w:sz="8"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Gungsuh" w:cs="Gungsuh" w:eastAsia="Gungsuh" w:hAnsi="Gungsuh"/>
                <w:b w:val="1"/>
                <w:i w:val="0"/>
                <w:smallCaps w:val="1"/>
                <w:strike w:val="0"/>
                <w:color w:val="000000"/>
                <w:sz w:val="24"/>
                <w:szCs w:val="24"/>
                <w:u w:val="none"/>
                <w:shd w:fill="auto" w:val="clear"/>
                <w:vertAlign w:val="baseline"/>
                <w:rtl w:val="0"/>
              </w:rPr>
              <w:t xml:space="preserve">≥1024</w:t>
            </w:r>
          </w:p>
        </w:tc>
        <w:tc>
          <w:tcPr>
            <w:tcBorders>
              <w:top w:color="000000" w:space="0" w:sz="8" w:val="single"/>
              <w:bottom w:color="000000" w:space="0" w:sz="8"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Gungsuh" w:cs="Gungsuh" w:eastAsia="Gungsuh" w:hAnsi="Gungsuh"/>
                <w:b w:val="1"/>
                <w:i w:val="0"/>
                <w:smallCaps w:val="1"/>
                <w:strike w:val="0"/>
                <w:color w:val="000000"/>
                <w:sz w:val="24"/>
                <w:szCs w:val="24"/>
                <w:u w:val="none"/>
                <w:shd w:fill="auto" w:val="clear"/>
                <w:vertAlign w:val="baseline"/>
                <w:rtl w:val="0"/>
              </w:rPr>
              <w:t xml:space="preserve">≥1024</w:t>
            </w:r>
          </w:p>
        </w:tc>
        <w:tc>
          <w:tcPr>
            <w:tcBorders>
              <w:top w:color="000000" w:space="0" w:sz="8" w:val="single"/>
              <w:bottom w:color="000000" w:space="0" w:sz="8"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512</w:t>
            </w:r>
          </w:p>
        </w:tc>
        <w:tc>
          <w:tcPr>
            <w:tcBorders>
              <w:top w:color="000000" w:space="0" w:sz="8" w:val="single"/>
              <w:bottom w:color="000000" w:space="0" w:sz="8"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512</w:t>
            </w:r>
          </w:p>
        </w:tc>
        <w:tc>
          <w:tcPr>
            <w:tcBorders>
              <w:top w:color="000000" w:space="0" w:sz="8" w:val="single"/>
              <w:bottom w:color="000000" w:space="0" w:sz="8"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512</w:t>
            </w:r>
          </w:p>
        </w:tc>
      </w:tr>
    </w:tbl>
    <w:p w:rsidR="00000000" w:rsidDel="00000000" w:rsidP="00000000" w:rsidRDefault="00000000" w:rsidRPr="00000000" w14:paraId="00000046">
      <w:pPr>
        <w:widowControl w:val="1"/>
        <w:spacing w:after="0" w:lineRule="auto"/>
        <w:ind w:firstLine="0"/>
        <w:jc w:val="center"/>
        <w:rPr>
          <w:color w:val="000000"/>
          <w:sz w:val="20"/>
          <w:szCs w:val="20"/>
        </w:rPr>
      </w:pPr>
      <w:r w:rsidDel="00000000" w:rsidR="00000000" w:rsidRPr="00000000">
        <w:rPr>
          <w:color w:val="000000"/>
          <w:sz w:val="20"/>
          <w:szCs w:val="20"/>
          <w:rtl w:val="0"/>
        </w:rPr>
        <w:t xml:space="preserve">Fonte: Autores (2022).</w:t>
      </w:r>
    </w:p>
    <w:p w:rsidR="00000000" w:rsidDel="00000000" w:rsidP="00000000" w:rsidRDefault="00000000" w:rsidRPr="00000000" w14:paraId="00000047">
      <w:pPr>
        <w:shd w:fill="ffffff" w:val="clear"/>
        <w:spacing w:line="360" w:lineRule="auto"/>
        <w:rPr>
          <w:color w:val="000000"/>
        </w:rPr>
      </w:pPr>
      <w:r w:rsidDel="00000000" w:rsidR="00000000" w:rsidRPr="00000000">
        <w:rPr>
          <w:rtl w:val="0"/>
        </w:rPr>
      </w:r>
    </w:p>
    <w:p w:rsidR="00000000" w:rsidDel="00000000" w:rsidP="00000000" w:rsidRDefault="00000000" w:rsidRPr="00000000" w14:paraId="00000048">
      <w:pPr>
        <w:shd w:fill="ffffff" w:val="clear"/>
        <w:spacing w:line="360" w:lineRule="auto"/>
        <w:rPr>
          <w:color w:val="000000"/>
        </w:rPr>
      </w:pPr>
      <w:r w:rsidDel="00000000" w:rsidR="00000000" w:rsidRPr="00000000">
        <w:rPr>
          <w:color w:val="000000"/>
          <w:rtl w:val="0"/>
        </w:rPr>
        <w:t xml:space="preserve"> Este resultado para as bactérias padrão </w:t>
      </w:r>
      <w:r w:rsidDel="00000000" w:rsidR="00000000" w:rsidRPr="00000000">
        <w:rPr>
          <w:i w:val="1"/>
          <w:color w:val="000000"/>
          <w:rtl w:val="0"/>
        </w:rPr>
        <w:t xml:space="preserve">S. aureus</w:t>
      </w:r>
      <w:r w:rsidDel="00000000" w:rsidR="00000000" w:rsidRPr="00000000">
        <w:rPr>
          <w:color w:val="000000"/>
          <w:rtl w:val="0"/>
        </w:rPr>
        <w:t xml:space="preserve">, </w:t>
      </w:r>
      <w:r w:rsidDel="00000000" w:rsidR="00000000" w:rsidRPr="00000000">
        <w:rPr>
          <w:i w:val="1"/>
          <w:color w:val="000000"/>
          <w:rtl w:val="0"/>
        </w:rPr>
        <w:t xml:space="preserve">P. aeruginosa</w:t>
      </w:r>
      <w:r w:rsidDel="00000000" w:rsidR="00000000" w:rsidRPr="00000000">
        <w:rPr>
          <w:color w:val="000000"/>
          <w:rtl w:val="0"/>
        </w:rPr>
        <w:t xml:space="preserve"> e </w:t>
      </w:r>
      <w:r w:rsidDel="00000000" w:rsidR="00000000" w:rsidRPr="00000000">
        <w:rPr>
          <w:i w:val="1"/>
          <w:color w:val="000000"/>
          <w:rtl w:val="0"/>
        </w:rPr>
        <w:t xml:space="preserve">E. coli</w:t>
      </w:r>
      <w:r w:rsidDel="00000000" w:rsidR="00000000" w:rsidRPr="00000000">
        <w:rPr>
          <w:color w:val="000000"/>
          <w:rtl w:val="0"/>
        </w:rPr>
        <w:t xml:space="preserve"> está de acordo com o efeito antibacteriano relatado por Almazinia, Abbas e Abdul-Amer (2009), onde a solasodina mostrou ter um efeito contra bactérias Gram-positivas e Gram-negativas. Portanto, a atividade intrínseca da solasodina pode estar relacionada à interação desse alcaloide com a estrutura da parede celular bacteriana.</w:t>
      </w:r>
    </w:p>
    <w:p w:rsidR="00000000" w:rsidDel="00000000" w:rsidP="00000000" w:rsidRDefault="00000000" w:rsidRPr="00000000" w14:paraId="00000049">
      <w:pPr>
        <w:shd w:fill="ffffff" w:val="clear"/>
        <w:spacing w:line="360" w:lineRule="auto"/>
        <w:rPr>
          <w:color w:val="000000"/>
        </w:rPr>
      </w:pPr>
      <w:r w:rsidDel="00000000" w:rsidR="00000000" w:rsidRPr="00000000">
        <w:rPr>
          <w:color w:val="000000"/>
          <w:rtl w:val="0"/>
        </w:rPr>
        <w:t xml:space="preserve">Niño, Correa e Mosqueram (2009) avaliaram alcaloides esteróides isolados de </w:t>
      </w:r>
      <w:r w:rsidDel="00000000" w:rsidR="00000000" w:rsidRPr="00000000">
        <w:rPr>
          <w:i w:val="1"/>
          <w:color w:val="000000"/>
          <w:rtl w:val="0"/>
        </w:rPr>
        <w:t xml:space="preserve">Solanum</w:t>
      </w:r>
      <w:r w:rsidDel="00000000" w:rsidR="00000000" w:rsidRPr="00000000">
        <w:rPr>
          <w:color w:val="000000"/>
          <w:rtl w:val="0"/>
        </w:rPr>
        <w:t xml:space="preserve"> e relataram que a atividade antibacteriana da solasodina contra </w:t>
      </w:r>
      <w:r w:rsidDel="00000000" w:rsidR="00000000" w:rsidRPr="00000000">
        <w:rPr>
          <w:i w:val="1"/>
          <w:color w:val="000000"/>
          <w:rtl w:val="0"/>
        </w:rPr>
        <w:t xml:space="preserve">S. aureus</w:t>
      </w:r>
      <w:r w:rsidDel="00000000" w:rsidR="00000000" w:rsidRPr="00000000">
        <w:rPr>
          <w:color w:val="000000"/>
          <w:rtl w:val="0"/>
        </w:rPr>
        <w:t xml:space="preserve"> se dá provavelmente pela inibição da DNA topoisomerase II. De acordo com Yan </w:t>
      </w:r>
      <w:r w:rsidDel="00000000" w:rsidR="00000000" w:rsidRPr="00000000">
        <w:rPr>
          <w:i w:val="1"/>
          <w:color w:val="000000"/>
          <w:rtl w:val="0"/>
        </w:rPr>
        <w:t xml:space="preserve">et al.</w:t>
      </w:r>
      <w:r w:rsidDel="00000000" w:rsidR="00000000" w:rsidRPr="00000000">
        <w:rPr>
          <w:color w:val="000000"/>
          <w:rtl w:val="0"/>
        </w:rPr>
        <w:t xml:space="preserve"> (2021), isso pode ser atribuído ao fato de que os alcaloides possuem mecanismos para inibir o ácido nucleico bacteriano e a síntese de proteínas. Além disso, alcalóides e esteróides presentes em outras espécies vegetais também estão associados à atividade antimicrobiana contra bactérias Gram-positivas, que possuem uma camada mais espessa de peptidoglicano em sua parede celular (BRAQUEHAIS </w:t>
      </w:r>
      <w:r w:rsidDel="00000000" w:rsidR="00000000" w:rsidRPr="00000000">
        <w:rPr>
          <w:i w:val="1"/>
          <w:color w:val="000000"/>
          <w:rtl w:val="0"/>
        </w:rPr>
        <w:t xml:space="preserve">et al.</w:t>
      </w:r>
      <w:r w:rsidDel="00000000" w:rsidR="00000000" w:rsidRPr="00000000">
        <w:rPr>
          <w:color w:val="000000"/>
          <w:rtl w:val="0"/>
        </w:rPr>
        <w:t xml:space="preserve">, 2016).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Bibon (2021) avaliou a solasodina isolada de uma espécie do gênero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Solanum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 coli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classificou a eficácia antibacteriana dessa sapogenina como letal, devido à solasodina danificar o DNA da bactéria, provando que a solasodina realmente apresenta uma atividade lesiva ao DNA bacteriano. </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4.2 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ção modificadora da atividade antibiótica</w:t>
      </w:r>
      <w:r w:rsidDel="00000000" w:rsidR="00000000" w:rsidRPr="00000000">
        <w:rPr>
          <w:rtl w:val="0"/>
        </w:rPr>
      </w:r>
    </w:p>
    <w:p w:rsidR="00000000" w:rsidDel="00000000" w:rsidP="00000000" w:rsidRDefault="00000000" w:rsidRPr="00000000" w14:paraId="0000004D">
      <w:pPr>
        <w:shd w:fill="ffffff" w:val="clear"/>
        <w:spacing w:line="360" w:lineRule="auto"/>
        <w:rPr>
          <w:color w:val="000000"/>
        </w:rPr>
      </w:pPr>
      <w:r w:rsidDel="00000000" w:rsidR="00000000" w:rsidRPr="00000000">
        <w:rPr>
          <w:color w:val="000000"/>
          <w:rtl w:val="0"/>
        </w:rPr>
        <w:t xml:space="preserve">Solasodina em associação com gentamicina demonstrou um efeito de potencialização antibiótica contra </w:t>
      </w:r>
      <w:r w:rsidDel="00000000" w:rsidR="00000000" w:rsidRPr="00000000">
        <w:rPr>
          <w:i w:val="1"/>
          <w:color w:val="000000"/>
          <w:rtl w:val="0"/>
        </w:rPr>
        <w:t xml:space="preserve">S. aureus</w:t>
      </w:r>
      <w:r w:rsidDel="00000000" w:rsidR="00000000" w:rsidRPr="00000000">
        <w:rPr>
          <w:color w:val="000000"/>
          <w:rtl w:val="0"/>
        </w:rPr>
        <w:t xml:space="preserve"> 10 com redução de CIM de 50 μg/mL para 6 μg/mL, </w:t>
      </w:r>
      <w:r w:rsidDel="00000000" w:rsidR="00000000" w:rsidRPr="00000000">
        <w:rPr>
          <w:i w:val="1"/>
          <w:color w:val="000000"/>
          <w:rtl w:val="0"/>
        </w:rPr>
        <w:t xml:space="preserve">Escherichia coli</w:t>
      </w:r>
      <w:r w:rsidDel="00000000" w:rsidR="00000000" w:rsidRPr="00000000">
        <w:rPr>
          <w:color w:val="000000"/>
          <w:rtl w:val="0"/>
        </w:rPr>
        <w:t xml:space="preserve"> 06 com redução de CIM de 40 μg/mL para 5 μg/mL e </w:t>
      </w:r>
      <w:r w:rsidDel="00000000" w:rsidR="00000000" w:rsidRPr="00000000">
        <w:rPr>
          <w:i w:val="1"/>
          <w:color w:val="000000"/>
          <w:rtl w:val="0"/>
        </w:rPr>
        <w:t xml:space="preserve">Pseudomonas aeruginosa</w:t>
      </w:r>
      <w:r w:rsidDel="00000000" w:rsidR="00000000" w:rsidRPr="00000000">
        <w:rPr>
          <w:color w:val="000000"/>
          <w:rtl w:val="0"/>
        </w:rPr>
        <w:t xml:space="preserve"> 24 com redução de CIM de 40 μg/mL para 25 μg/mL. A associação de solasodina com norfloxacina também mostrou um efeito de potencialização antibiótica contra </w:t>
      </w:r>
      <w:r w:rsidDel="00000000" w:rsidR="00000000" w:rsidRPr="00000000">
        <w:rPr>
          <w:i w:val="1"/>
          <w:color w:val="000000"/>
          <w:rtl w:val="0"/>
        </w:rPr>
        <w:t xml:space="preserve">S. aureus</w:t>
      </w:r>
      <w:r w:rsidDel="00000000" w:rsidR="00000000" w:rsidRPr="00000000">
        <w:rPr>
          <w:color w:val="000000"/>
          <w:rtl w:val="0"/>
        </w:rPr>
        <w:t xml:space="preserve"> 10 com redução de CIM de 128 μg/mL para 64, </w:t>
      </w:r>
      <w:r w:rsidDel="00000000" w:rsidR="00000000" w:rsidRPr="00000000">
        <w:rPr>
          <w:i w:val="1"/>
          <w:color w:val="000000"/>
          <w:rtl w:val="0"/>
        </w:rPr>
        <w:t xml:space="preserve">E. coli</w:t>
      </w:r>
      <w:r w:rsidDel="00000000" w:rsidR="00000000" w:rsidRPr="00000000">
        <w:rPr>
          <w:color w:val="000000"/>
          <w:rtl w:val="0"/>
        </w:rPr>
        <w:t xml:space="preserve"> 06 com redução de CIM de 322 μg/mL para 80 μg/mL e </w:t>
      </w:r>
      <w:r w:rsidDel="00000000" w:rsidR="00000000" w:rsidRPr="00000000">
        <w:rPr>
          <w:i w:val="1"/>
          <w:color w:val="000000"/>
          <w:rtl w:val="0"/>
        </w:rPr>
        <w:t xml:space="preserve">P. aeruginosa</w:t>
      </w:r>
      <w:r w:rsidDel="00000000" w:rsidR="00000000" w:rsidRPr="00000000">
        <w:rPr>
          <w:color w:val="000000"/>
          <w:rtl w:val="0"/>
        </w:rPr>
        <w:t xml:space="preserve"> 24 com redução da CIM de 50 μg/mL para 6 μg/mL (</w:t>
      </w:r>
      <w:r w:rsidDel="00000000" w:rsidR="00000000" w:rsidRPr="00000000">
        <w:rPr>
          <w:b w:val="1"/>
          <w:color w:val="000000"/>
          <w:rtl w:val="0"/>
        </w:rPr>
        <w:t xml:space="preserve">Figura 2</w:t>
      </w:r>
      <w:r w:rsidDel="00000000" w:rsidR="00000000" w:rsidRPr="00000000">
        <w:rPr>
          <w:color w:val="000000"/>
          <w:rtl w:val="0"/>
        </w:rPr>
        <w:t xml:space="preserve">). </w:t>
      </w:r>
    </w:p>
    <w:p w:rsidR="00000000" w:rsidDel="00000000" w:rsidP="00000000" w:rsidRDefault="00000000" w:rsidRPr="00000000" w14:paraId="0000004E">
      <w:pPr>
        <w:shd w:fill="ffffff" w:val="clear"/>
        <w:spacing w:line="360" w:lineRule="auto"/>
        <w:rPr>
          <w:color w:val="000000"/>
        </w:rPr>
      </w:pPr>
      <w:r w:rsidDel="00000000" w:rsidR="00000000" w:rsidRPr="00000000">
        <w:rPr>
          <w:color w:val="000000"/>
          <w:rtl w:val="0"/>
        </w:rPr>
        <w:t xml:space="preserve">Diante do exposto, a solasodina pode estar agindo para aumentar o efeito desses antibióticos contra as cepas testadas. Para Guliu </w:t>
      </w:r>
      <w:r w:rsidDel="00000000" w:rsidR="00000000" w:rsidRPr="00000000">
        <w:rPr>
          <w:i w:val="1"/>
          <w:color w:val="000000"/>
          <w:rtl w:val="0"/>
        </w:rPr>
        <w:t xml:space="preserve">et al.</w:t>
      </w:r>
      <w:r w:rsidDel="00000000" w:rsidR="00000000" w:rsidRPr="00000000">
        <w:rPr>
          <w:color w:val="000000"/>
          <w:rtl w:val="0"/>
        </w:rPr>
        <w:t xml:space="preserve"> (2020) esse efeito pode estar relacionado ao sinergismo, que é uma interação positiva de um composto quando associado a um antibiótico, resultando na redução da CIM do antibiótico utilizado, bem como na diminuição do aparecimento de células bacterianas resistentes. Também pode ser atribuído ao fato de que o alcaloide solasodina contribui para a alteração da permeabilidade da membrana celular com a captação de moléculas pelos canais de porinas (TORTORA; FUNKE; CASE, 2012).</w:t>
      </w:r>
    </w:p>
    <w:p w:rsidR="00000000" w:rsidDel="00000000" w:rsidP="00000000" w:rsidRDefault="00000000" w:rsidRPr="00000000" w14:paraId="0000004F">
      <w:pPr>
        <w:shd w:fill="ffffff" w:val="clear"/>
        <w:spacing w:line="360" w:lineRule="auto"/>
        <w:jc w:val="center"/>
        <w:rPr>
          <w:color w:val="000000"/>
        </w:rPr>
      </w:pPr>
      <w:r w:rsidDel="00000000" w:rsidR="00000000" w:rsidRPr="00000000">
        <w:rPr>
          <w:b w:val="1"/>
          <w:color w:val="000000"/>
          <w:rtl w:val="0"/>
        </w:rPr>
        <w:t xml:space="preserve">Figura 2 -</w:t>
      </w:r>
      <w:r w:rsidDel="00000000" w:rsidR="00000000" w:rsidRPr="00000000">
        <w:rPr>
          <w:color w:val="000000"/>
          <w:rtl w:val="0"/>
        </w:rPr>
        <w:t xml:space="preserve"> Efeito modificador de antibióticos por solasodina contra </w:t>
      </w:r>
      <w:r w:rsidDel="00000000" w:rsidR="00000000" w:rsidRPr="00000000">
        <w:rPr>
          <w:i w:val="1"/>
          <w:color w:val="000000"/>
          <w:rtl w:val="0"/>
        </w:rPr>
        <w:t xml:space="preserve">S. aureus</w:t>
      </w:r>
      <w:r w:rsidDel="00000000" w:rsidR="00000000" w:rsidRPr="00000000">
        <w:rPr>
          <w:color w:val="000000"/>
          <w:rtl w:val="0"/>
        </w:rPr>
        <w:t xml:space="preserve"> 10, </w:t>
      </w:r>
      <w:r w:rsidDel="00000000" w:rsidR="00000000" w:rsidRPr="00000000">
        <w:rPr>
          <w:i w:val="1"/>
          <w:color w:val="000000"/>
          <w:rtl w:val="0"/>
        </w:rPr>
        <w:t xml:space="preserve">E. coli</w:t>
      </w:r>
      <w:r w:rsidDel="00000000" w:rsidR="00000000" w:rsidRPr="00000000">
        <w:rPr>
          <w:color w:val="000000"/>
          <w:rtl w:val="0"/>
        </w:rPr>
        <w:t xml:space="preserve"> 06 e </w:t>
      </w:r>
      <w:r w:rsidDel="00000000" w:rsidR="00000000" w:rsidRPr="00000000">
        <w:rPr>
          <w:i w:val="1"/>
          <w:color w:val="000000"/>
          <w:rtl w:val="0"/>
        </w:rPr>
        <w:t xml:space="preserve">P. aeruginosa</w:t>
      </w:r>
      <w:r w:rsidDel="00000000" w:rsidR="00000000" w:rsidRPr="00000000">
        <w:rPr>
          <w:color w:val="000000"/>
          <w:rtl w:val="0"/>
        </w:rPr>
        <w:t xml:space="preserve"> 24</w:t>
      </w:r>
    </w:p>
    <w:p w:rsidR="00000000" w:rsidDel="00000000" w:rsidP="00000000" w:rsidRDefault="00000000" w:rsidRPr="00000000" w14:paraId="00000050">
      <w:pPr>
        <w:shd w:fill="ffffff" w:val="clear"/>
        <w:spacing w:line="360" w:lineRule="auto"/>
        <w:jc w:val="center"/>
        <w:rPr>
          <w:color w:val="000000"/>
        </w:rPr>
      </w:pPr>
      <w:r w:rsidDel="00000000" w:rsidR="00000000" w:rsidRPr="00000000">
        <w:rPr>
          <w:color w:val="000000"/>
        </w:rPr>
        <w:drawing>
          <wp:inline distB="0" distT="0" distL="0" distR="0">
            <wp:extent cx="4821588" cy="2809666"/>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21588" cy="280966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spacing w:line="360" w:lineRule="auto"/>
        <w:ind w:firstLine="0"/>
        <w:jc w:val="center"/>
        <w:rPr>
          <w:color w:val="000000"/>
        </w:rPr>
      </w:pPr>
      <w:r w:rsidDel="00000000" w:rsidR="00000000" w:rsidRPr="00000000">
        <w:rPr>
          <w:color w:val="000000"/>
          <w:sz w:val="20"/>
          <w:szCs w:val="20"/>
          <w:rtl w:val="0"/>
        </w:rPr>
        <w:t xml:space="preserve">Fonte: Autores (2022).</w:t>
      </w:r>
      <w:r w:rsidDel="00000000" w:rsidR="00000000" w:rsidRPr="00000000">
        <w:rPr>
          <w:rtl w:val="0"/>
        </w:rPr>
      </w:r>
    </w:p>
    <w:p w:rsidR="00000000" w:rsidDel="00000000" w:rsidP="00000000" w:rsidRDefault="00000000" w:rsidRPr="00000000" w14:paraId="00000052">
      <w:pPr>
        <w:shd w:fill="ffffff" w:val="clear"/>
        <w:spacing w:after="240" w:before="120" w:line="360" w:lineRule="auto"/>
        <w:rPr>
          <w:color w:val="000000"/>
        </w:rPr>
      </w:pPr>
      <w:r w:rsidDel="00000000" w:rsidR="00000000" w:rsidRPr="00000000">
        <w:rPr>
          <w:color w:val="000000"/>
          <w:rtl w:val="0"/>
        </w:rPr>
        <w:t xml:space="preserve">Para solasodina em associação com ampicilina, foi observada potencialização antibiótica apenas contra </w:t>
      </w:r>
      <w:r w:rsidDel="00000000" w:rsidR="00000000" w:rsidRPr="00000000">
        <w:rPr>
          <w:i w:val="1"/>
          <w:color w:val="000000"/>
          <w:rtl w:val="0"/>
        </w:rPr>
        <w:t xml:space="preserve">S. aureus</w:t>
      </w:r>
      <w:r w:rsidDel="00000000" w:rsidR="00000000" w:rsidRPr="00000000">
        <w:rPr>
          <w:color w:val="000000"/>
          <w:rtl w:val="0"/>
        </w:rPr>
        <w:t xml:space="preserve"> 10 com redução da CIM de 256 μg/mL para 161 μg/mL. Contra </w:t>
      </w:r>
      <w:r w:rsidDel="00000000" w:rsidR="00000000" w:rsidRPr="00000000">
        <w:rPr>
          <w:i w:val="1"/>
          <w:color w:val="000000"/>
          <w:rtl w:val="0"/>
        </w:rPr>
        <w:t xml:space="preserve">E. coli</w:t>
      </w:r>
      <w:r w:rsidDel="00000000" w:rsidR="00000000" w:rsidRPr="00000000">
        <w:rPr>
          <w:color w:val="000000"/>
          <w:rtl w:val="0"/>
        </w:rPr>
        <w:t xml:space="preserve"> 06 e </w:t>
      </w:r>
      <w:r w:rsidDel="00000000" w:rsidR="00000000" w:rsidRPr="00000000">
        <w:rPr>
          <w:i w:val="1"/>
          <w:color w:val="000000"/>
          <w:rtl w:val="0"/>
        </w:rPr>
        <w:t xml:space="preserve">P. aeruginosa</w:t>
      </w:r>
      <w:r w:rsidDel="00000000" w:rsidR="00000000" w:rsidRPr="00000000">
        <w:rPr>
          <w:color w:val="000000"/>
          <w:rtl w:val="0"/>
        </w:rPr>
        <w:t xml:space="preserve"> 24, a associação da sapogenina com o antibiótico expressou-se em efeito antagônico com aumento da CIM (</w:t>
      </w:r>
      <w:r w:rsidDel="00000000" w:rsidR="00000000" w:rsidRPr="00000000">
        <w:rPr>
          <w:b w:val="1"/>
          <w:color w:val="000000"/>
          <w:rtl w:val="0"/>
        </w:rPr>
        <w:t xml:space="preserve">Figura 2</w:t>
      </w:r>
      <w:r w:rsidDel="00000000" w:rsidR="00000000" w:rsidRPr="00000000">
        <w:rPr>
          <w:color w:val="000000"/>
          <w:rtl w:val="0"/>
        </w:rPr>
        <w:t xml:space="preserve">). </w:t>
      </w:r>
    </w:p>
    <w:p w:rsidR="00000000" w:rsidDel="00000000" w:rsidP="00000000" w:rsidRDefault="00000000" w:rsidRPr="00000000" w14:paraId="00000053">
      <w:pPr>
        <w:shd w:fill="ffffff" w:val="clear"/>
        <w:spacing w:before="120" w:line="360" w:lineRule="auto"/>
        <w:rPr>
          <w:color w:val="000000"/>
        </w:rPr>
      </w:pPr>
      <w:r w:rsidDel="00000000" w:rsidR="00000000" w:rsidRPr="00000000">
        <w:rPr>
          <w:color w:val="000000"/>
          <w:rtl w:val="0"/>
        </w:rPr>
        <w:t xml:space="preserve">Esse resultado pode ser explicado pelo fato de as interações sinérgicas e antagônicas serem dependentes do mecanismo de inibição bacteriana pela classe dos antibióticos, bem como pela possibilidade de uma ação advinda do mecanismo quelante do antibiótico quando associado à solasodina contra as bactérias testadas (COUTINHO </w:t>
      </w:r>
      <w:r w:rsidDel="00000000" w:rsidR="00000000" w:rsidRPr="00000000">
        <w:rPr>
          <w:i w:val="1"/>
          <w:color w:val="000000"/>
          <w:rtl w:val="0"/>
        </w:rPr>
        <w:t xml:space="preserve">et al.</w:t>
      </w:r>
      <w:r w:rsidDel="00000000" w:rsidR="00000000" w:rsidRPr="00000000">
        <w:rPr>
          <w:color w:val="000000"/>
          <w:rtl w:val="0"/>
        </w:rPr>
        <w:t xml:space="preserve">, 2015). </w:t>
      </w:r>
    </w:p>
    <w:p w:rsidR="00000000" w:rsidDel="00000000" w:rsidP="00000000" w:rsidRDefault="00000000" w:rsidRPr="00000000" w14:paraId="00000054">
      <w:pPr>
        <w:shd w:fill="ffffff" w:val="clear"/>
        <w:spacing w:line="360" w:lineRule="auto"/>
        <w:ind w:firstLine="0"/>
        <w:rPr>
          <w:color w:val="00000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5. Considerações finais</w:t>
      </w:r>
    </w:p>
    <w:p w:rsidR="00000000" w:rsidDel="00000000" w:rsidP="00000000" w:rsidRDefault="00000000" w:rsidRPr="00000000" w14:paraId="00000056">
      <w:pPr>
        <w:shd w:fill="ffffff" w:val="clear"/>
        <w:spacing w:line="360" w:lineRule="auto"/>
        <w:rPr>
          <w:color w:val="000000"/>
        </w:rPr>
      </w:pPr>
      <w:r w:rsidDel="00000000" w:rsidR="00000000" w:rsidRPr="00000000">
        <w:rPr>
          <w:color w:val="000000"/>
          <w:rtl w:val="0"/>
        </w:rPr>
        <w:t xml:space="preserve">Na avaliação da atividade antibacteriana pelo método de microdiluição em caldo, a solasodina não apresentou atividade intrínseca clinicamente relevante para quatro das bactérias multirresistentes testadas, apresentando redução da CIM para </w:t>
      </w:r>
      <w:r w:rsidDel="00000000" w:rsidR="00000000" w:rsidRPr="00000000">
        <w:rPr>
          <w:i w:val="1"/>
          <w:color w:val="000000"/>
          <w:rtl w:val="0"/>
        </w:rPr>
        <w:t xml:space="preserve">S. aureus</w:t>
      </w:r>
      <w:r w:rsidDel="00000000" w:rsidR="00000000" w:rsidRPr="00000000">
        <w:rPr>
          <w:color w:val="000000"/>
          <w:rtl w:val="0"/>
        </w:rPr>
        <w:t xml:space="preserve"> ATCC 25923, </w:t>
      </w:r>
      <w:r w:rsidDel="00000000" w:rsidR="00000000" w:rsidRPr="00000000">
        <w:rPr>
          <w:i w:val="1"/>
          <w:color w:val="000000"/>
          <w:rtl w:val="0"/>
        </w:rPr>
        <w:t xml:space="preserve">P. aeruginosa</w:t>
      </w:r>
      <w:r w:rsidDel="00000000" w:rsidR="00000000" w:rsidRPr="00000000">
        <w:rPr>
          <w:color w:val="000000"/>
          <w:rtl w:val="0"/>
        </w:rPr>
        <w:t xml:space="preserve"> ATCC 9027 e </w:t>
      </w:r>
      <w:r w:rsidDel="00000000" w:rsidR="00000000" w:rsidRPr="00000000">
        <w:rPr>
          <w:i w:val="1"/>
          <w:color w:val="000000"/>
          <w:rtl w:val="0"/>
        </w:rPr>
        <w:t xml:space="preserve">E. coli</w:t>
      </w:r>
      <w:r w:rsidDel="00000000" w:rsidR="00000000" w:rsidRPr="00000000">
        <w:rPr>
          <w:color w:val="000000"/>
          <w:rtl w:val="0"/>
        </w:rPr>
        <w:t xml:space="preserve"> ATCC 25922. Porém, como modificador da ação dos antibióticos, foram identificados resultados significativos contra cepas Gram-positivas e Gram-negativas para associação com os antibióticos gentamicina e norfloxacina, havendo redução da CIM em 50%. Para associação com ampicilina, apenas </w:t>
      </w:r>
      <w:r w:rsidDel="00000000" w:rsidR="00000000" w:rsidRPr="00000000">
        <w:rPr>
          <w:i w:val="1"/>
          <w:color w:val="000000"/>
          <w:rtl w:val="0"/>
        </w:rPr>
        <w:t xml:space="preserve">o S. aureus</w:t>
      </w:r>
      <w:r w:rsidDel="00000000" w:rsidR="00000000" w:rsidRPr="00000000">
        <w:rPr>
          <w:color w:val="000000"/>
          <w:rtl w:val="0"/>
        </w:rPr>
        <w:t xml:space="preserve"> 10 apresentou sinergismo.</w:t>
      </w:r>
    </w:p>
    <w:p w:rsidR="00000000" w:rsidDel="00000000" w:rsidP="00000000" w:rsidRDefault="00000000" w:rsidRPr="00000000" w14:paraId="00000057">
      <w:pPr>
        <w:shd w:fill="ffffff" w:val="clear"/>
        <w:spacing w:line="360" w:lineRule="auto"/>
        <w:rPr>
          <w:color w:val="000000"/>
        </w:rPr>
      </w:pPr>
      <w:r w:rsidDel="00000000" w:rsidR="00000000" w:rsidRPr="00000000">
        <w:rPr>
          <w:color w:val="000000"/>
          <w:rtl w:val="0"/>
        </w:rPr>
        <w:t xml:space="preserve">Portanto, os dados obtidos neste estudo são significativos e podem estimular pesquisas futuras sobre o uso de sapogeninas como compostos associados para potencializar a atividade de drogas, reduzindo assim possíveis mecanismos de resistência bacteriana a antibióticos.</w:t>
      </w:r>
    </w:p>
    <w:p w:rsidR="00000000" w:rsidDel="00000000" w:rsidP="00000000" w:rsidRDefault="00000000" w:rsidRPr="00000000" w14:paraId="00000058">
      <w:pPr>
        <w:shd w:fill="ffffff" w:val="clear"/>
        <w:rPr>
          <w:color w:val="000000"/>
        </w:rPr>
      </w:pPr>
      <w:r w:rsidDel="00000000" w:rsidR="00000000" w:rsidRPr="00000000">
        <w:rPr>
          <w:rtl w:val="0"/>
        </w:rPr>
      </w:r>
    </w:p>
    <w:p w:rsidR="00000000" w:rsidDel="00000000" w:rsidP="00000000" w:rsidRDefault="00000000" w:rsidRPr="00000000" w14:paraId="00000059">
      <w:pPr>
        <w:pStyle w:val="Heading1"/>
        <w:spacing w:after="0" w:before="0" w:line="240" w:lineRule="auto"/>
        <w:jc w:val="center"/>
        <w:rPr/>
      </w:pPr>
      <w:r w:rsidDel="00000000" w:rsidR="00000000" w:rsidRPr="00000000">
        <w:rPr>
          <w:rtl w:val="0"/>
        </w:rPr>
        <w:t xml:space="preserve">REFERÊNCIAS</w:t>
      </w:r>
    </w:p>
    <w:p w:rsidR="00000000" w:rsidDel="00000000" w:rsidP="00000000" w:rsidRDefault="00000000" w:rsidRPr="00000000" w14:paraId="0000005A">
      <w:pPr>
        <w:rPr>
          <w:color w:val="00000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ALMAZINIA, M.A.I.; ABBAS, H.G.; ABDUL-AMER, A. Antibacterial activity of the solasodine of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Solanum nigrum</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against bacterial isolates from the wounds.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Basrah J. Vet. Res.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2009</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137–147.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Disponível em: </w:t>
      </w:r>
      <w:hyperlink r:id="rId10">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https://www.iasj.net/iasj/download/414cc342ace7f1b6</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16 jul. 2023.</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ALVES, J.W.S. Antibióticos e mecanismos de resistência bacteriana: Uma questão de saúde pública.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Rev. Multidiscip. Saúde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38. Disponível em: </w:t>
      </w:r>
      <w:hyperlink r:id="rId11">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https://editoraime.com.br/revistas/index.php/rems/article/view/1195</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11 jul. 2023.</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BHATTARAI, K.; BARAL, B. Next-generation microbial drugs developed from microbiome’s natural products.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Adv. Genet.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341–382. Disponível em: </w:t>
      </w:r>
      <w:hyperlink r:id="rId12">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https://www.sciencedirect.com/science/article/abs/pii/S0065266021000183</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15 jul. 2023.</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BIBON, M.B. Antibacterial in-vitro evaluation of phenotypically screened solasodine from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Solanum nigrum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Linn. against enterohemorrhagic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Escherichia coli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(0157:H7).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 J. Sci. Res. Multidiscip. Stud.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43–48. Disponível em: </w:t>
      </w:r>
      <w:hyperlink r:id="rId13">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https://www.researchgate.net/publication/354604823_Antibacterial_In-Vitro_Evaluation_of_Phenotypically_Screened_Solasodine_from_Solanum_nigrum_Linn_Against_Enterohemorrhagic_Escherichia_coli_0157H7</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15 jul. 2023.</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BRAQUEHAIS, I.D.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Toxicological, antibacterial, and phytochemical preliminary study of the ethanolic extract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Jatropha mollissima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(Pohl) Baill (pinhão-bravo,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Euphorbiaceae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leaves, collected in Tauá, Ceará, Northeastern Brazil.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Rev. Bras. De Plantas Med.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582–587. Disponível em: </w:t>
      </w:r>
      <w:hyperlink r:id="rId14">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https://www.scielo.br/j/rbpm/a/jLwtvWfVydRt6tkgfTy3WFt/abstract/?lang=en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14 jul. 2023.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BRITO, GB; TREVISAN, M. O uso indevido de antibióticos e o risco eminente de resistência bacteriana.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Rev. Artigos. com.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2021</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30</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e7902.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Disponível em: </w:t>
      </w:r>
      <w:hyperlink r:id="rId15">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https://acervomais.com.br/index.php/artigos/article/view/7902</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18 jul. 2023.</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CÁRDENAS, P. 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GAME9 regulates the biosynthesis of steroidal alkaloids and upstream isoprenoids in the plant mevalonate pathway. Nature Communications, v. 7, n. 1, 15 fev. 2016. Disponível em: </w:t>
      </w:r>
      <w:hyperlink r:id="rId16">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https://pubmed.ncbi.nlm.nih.gov/26876023/</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20 jul. 2023.</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 W.; LI, Y.; ZHANG, M.; ZHENG, S.; LI, Y.; LOU, H. Solasodine-3-O-β-d-glucopyranoside kills Candida albicans by disrupting the intracellular vacuole. Food Chem. Toxicol.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106, 139–146. Disponível em: </w:t>
      </w:r>
      <w:hyperlink r:id="rId17">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https://www.sciencedirect.com/science/article/abs/pii/S027869151730279X</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17 jul. 2023.</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CHAUHAN, K.; SHETH, N.; RANPARIYA, V.; PARMAR, S. Anticonvulsant activity of solasodine isolated from Solanum sisymbriifolium fruits in rodents. Pharm. Biol.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49, 194–199. Disponível em: </w:t>
      </w:r>
      <w:hyperlink r:id="rId18">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https://www.tandfonline.com/doi/full/10.3109/13880209.2010.508499</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17 jul. 2023.</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COUTINHO, H.D.M.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Avaliação comparativa da modulação de antibióticos, frente às cepas bacterianas 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Escherichia coli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Staphylococcus aureus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Rev. Cienc. Salud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345–354. Disponível em: </w:t>
      </w:r>
      <w:hyperlink r:id="rId19">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https://revistas.urosario.edu.co/index.php/revsalud/article/view/4353</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14 jul. 2023.</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COUTINHO, H.D.M.; FALCÃO-SILVA, V.S.; GONÇALVES, F.G. Pulmonary bacterial pathogens in cystic fibrosis patients and antibiotic therapy: A tool for the health workers.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 Arch. Med.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24. Disponível em: </w:t>
      </w:r>
      <w:hyperlink r:id="rId20">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https://intarchmed.biomedcentral.com/articles/10.1186/1755-7682-1-24</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15 jul. 2023.</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LIU, Carmen Gu</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Phage-antibiotic synergy is driven by a unique combination of antibacterial mechanism of action and stoichiometry.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MBio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e01462-20. Disponível em: </w:t>
      </w:r>
      <w:hyperlink r:id="rId21">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https://journals.asm.org/doi/full/10.1128/mbio.01462-20</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8 jul. 2023.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HERNÁNDEZ, </w:t>
      </w:r>
      <w:r w:rsidDel="00000000" w:rsidR="00000000" w:rsidRPr="00000000">
        <w:rPr>
          <w:rFonts w:ascii="Times New Roman" w:cs="Times New Roman" w:eastAsia="Times New Roman" w:hAnsi="Times New Roman"/>
          <w:b w:val="0"/>
          <w:i w:val="0"/>
          <w:smallCaps w:val="1"/>
          <w:strike w:val="0"/>
          <w:color w:val="000000"/>
          <w:sz w:val="24"/>
          <w:szCs w:val="24"/>
          <w:highlight w:val="white"/>
          <w:u w:val="none"/>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nselmo</w:t>
      </w:r>
      <w:r w:rsidDel="00000000" w:rsidR="00000000" w:rsidRPr="00000000">
        <w:rPr>
          <w:rFonts w:ascii="Times New Roman" w:cs="Times New Roman" w:eastAsia="Times New Roman" w:hAnsi="Times New Roman"/>
          <w:b w:val="0"/>
          <w:i w:val="0"/>
          <w:smallCaps w:val="1"/>
          <w:strike w:val="0"/>
          <w:color w:val="000000"/>
          <w:sz w:val="24"/>
          <w:szCs w:val="24"/>
          <w:highlight w:val="white"/>
          <w:u w:val="none"/>
          <w:vertAlign w:val="baseline"/>
          <w:rtl w:val="0"/>
        </w:rPr>
        <w:t xml:space="preserve"> 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nrique</w:t>
      </w:r>
      <w:r w:rsidDel="00000000" w:rsidR="00000000" w:rsidRPr="00000000">
        <w:rPr>
          <w:rFonts w:ascii="Times New Roman" w:cs="Times New Roman" w:eastAsia="Times New Roman" w:hAnsi="Times New Roman"/>
          <w:b w:val="0"/>
          <w:i w:val="0"/>
          <w:smallCaps w:val="1"/>
          <w:strike w:val="0"/>
          <w:color w:val="000000"/>
          <w:sz w:val="24"/>
          <w:szCs w:val="24"/>
          <w:highlight w:val="white"/>
          <w:u w:val="none"/>
          <w:vertAlign w:val="baseline"/>
          <w:rtl w:val="0"/>
        </w:rPr>
        <w:t xml:space="preserve"> F</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errer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Estudio de las hojas y frutos 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Solanum monachophyllum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Dunal.(jurubebina) como una fuente de compuestos esteroidales.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Rev. Cuba. Plantas Med.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968–982. Disponível em: </w:t>
      </w:r>
      <w:hyperlink r:id="rId22">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https://revplantasmedicinales.sld.cu/index.php/pla/article/view/982</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8 jul. 2023.</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KUMAR, R.; KHAN, M.I.; PRASAD, M. Solasodine: A Perspective on their roles in Health and Disease.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 J. Pharm. Technol.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2571–2576. Disponível em: </w:t>
      </w:r>
      <w:hyperlink r:id="rId23">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https://www.indianjournals.com/ijor.aspx?target=ijor:rjpt&amp;volume=12&amp;issue=5&amp;article=091</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13 jul. 2023.</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MILNER, S. E. et al. Bioactivities of Glycoalkaloids and Their Aglycones from Solanum Species. Journal of Agricultural and Food Chemistry, v. 59, n. 8, p. 3454–3484, 14 mar. 2011. Disponível em: </w:t>
      </w:r>
      <w:hyperlink r:id="rId24">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https://pubs.acs.org/doi/abs/10.1021/jf200439q</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20 jul. 2023.</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NIÑO, J.; CORREA, Y.M.; MOSQUERAM, O.M. Biological activities of steroidal alkaloids isolated from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Solanum leucocarpum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Pharm. Biol.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2009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47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255–259. Disponível em: </w:t>
      </w:r>
      <w:hyperlink r:id="rId25">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https://www.tandfonline.com/doi/full/10.1080/13880200802434484</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16 jul. 2023.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SIRIYONG, T.; VORAVUTHIKUNCHAI, SP; COOTE, PJ. Steroidal alkaloids and conessine from the medicinal plant Holarrhena antidysenterica restore antibiotic efficacy in a Galleria mellonella model of multidrug-resistant Pseudomonas aeruginosa infection. BMC Comp. Altern. Med.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 285. Disponível em: </w:t>
      </w:r>
      <w:hyperlink r:id="rId26">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https://bmccomplementmedtherapies.biomedcentral.com/articles/10.1186/s12906-018-2348-9</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16 jul. 2023.</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TORTORA, G.J.; FUNKE, B.R.; CASE, C.L.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Microbiologia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10th ed.; Artmed: Porto Alegre, Brazil,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pp. 1–939. Disponível em: </w:t>
      </w:r>
      <w:hyperlink r:id="rId27">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https://cir.nii.ac.jp/crid/1130282272106851968</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10 jul. 2023.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WYRES,  K.L.; HOLT  K.E. Klebsiella  pneumoniae  as  a  key  trafficker  of  drug  resistance  genes  from  environmental  to clinically important bacteria, Current Opinion in Microbiology. Revista Science Direct.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45:131–139. Disponível em: </w:t>
      </w:r>
      <w:hyperlink r:id="rId28">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https://pubmed.ncbi.nlm.nih.gov/29723841/</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18 jul. 2023.</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YAN, Yumei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Research Progress on Antibacterial Activities and Mechanisms of Natural Alkaloids: A Review.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Antibiotics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318. Disponível em: </w:t>
      </w:r>
      <w:hyperlink r:id="rId29">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https://www.mdpi.com/2079-6382/10/3/318</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16 jul. 2023.</w:t>
      </w:r>
    </w:p>
    <w:p w:rsidR="00000000" w:rsidDel="00000000" w:rsidP="00000000" w:rsidRDefault="00000000" w:rsidRPr="00000000" w14:paraId="0000006F">
      <w:pPr>
        <w:ind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headerReference r:id="rId30" w:type="default"/>
      <w:headerReference r:id="rId31" w:type="first"/>
      <w:footerReference r:id="rId32" w:type="default"/>
      <w:footerReference r:id="rId33" w:type="first"/>
      <w:pgSz w:h="16838" w:w="11906" w:orient="portrait"/>
      <w:pgMar w:bottom="1417" w:top="1417" w:left="1701" w:right="1417"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ind w:firstLine="0"/>
      <w:jc w:val="center"/>
      <w:rPr/>
    </w:pPr>
    <w:r w:rsidDel="00000000" w:rsidR="00000000" w:rsidRPr="00000000">
      <w:rPr>
        <w:color w:val="001836"/>
        <w:rtl w:val="0"/>
      </w:rPr>
      <w:t xml:space="preserve">© IV CONPESQ, 3, 4 e 5 de outubro de 2023, Juazeiro do Norte, CE, Brasil.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43" cy="194691"/>
              <wp:effectExtent b="0" l="0" r="0" t="0"/>
              <wp:wrapNone/>
              <wp:docPr id="3" name=""/>
              <a:graphic>
                <a:graphicData uri="http://schemas.microsoft.com/office/word/2010/wordprocessingShape">
                  <wps:wsp>
                    <wps:cNvSpPr/>
                    <wps:cNvPr id="4" name="Shape 4"/>
                    <wps:spPr>
                      <a:xfrm>
                        <a:off x="1485829" y="3689005"/>
                        <a:ext cx="7720343" cy="181991"/>
                      </a:xfrm>
                      <a:prstGeom prst="rect">
                        <a:avLst/>
                      </a:prstGeom>
                      <a:solidFill>
                        <a:srgbClr val="001836"/>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43" cy="194691"/>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33043" cy="194691"/>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ind w:firstLine="0"/>
      <w:jc w:val="center"/>
      <w:rPr/>
    </w:pPr>
    <w:r w:rsidDel="00000000" w:rsidR="00000000" w:rsidRPr="00000000">
      <w:rPr>
        <w:color w:val="001836"/>
        <w:rtl w:val="0"/>
      </w:rPr>
      <w:t xml:space="preserve">© IV CONPESQ, 3, 4 e 5 de outubro de 2023, Juazeiro do Norte, CE, Brasil.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30" cy="194310"/>
              <wp:effectExtent b="0" l="0" r="0" t="0"/>
              <wp:wrapNone/>
              <wp:docPr id="1" name=""/>
              <a:graphic>
                <a:graphicData uri="http://schemas.microsoft.com/office/word/2010/wordprocessingShape">
                  <wps:wsp>
                    <wps:cNvSpPr/>
                    <wps:cNvPr id="2" name="Shape 2"/>
                    <wps:spPr>
                      <a:xfrm>
                        <a:off x="1485835" y="3689195"/>
                        <a:ext cx="7720330" cy="181610"/>
                      </a:xfrm>
                      <a:prstGeom prst="rect">
                        <a:avLst/>
                      </a:prstGeom>
                      <a:solidFill>
                        <a:srgbClr val="001836"/>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30" cy="19431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33030" cy="19431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 Acadêmica da Universidade Federal do Cariri (UFCA), adriane.fonseca@aluno.ufca edu.br, bolsista de Iniciação Científica e Tecnológica (ICT) pela Fundação Cearense de Apoio ao Desenvolvimento Científico e Tecnológico (FUNCAP).</w:t>
      </w:r>
    </w:p>
  </w:footnote>
  <w:footnote w:id="1">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 Doutoranda no programa de pós-graduação em Biotecnologia - Rede Nordeste de Biotecnologia (RENORBIO) pela Universidade Estadual do Ceará, anaraquel.pereira@aluno.uece.br.</w:t>
      </w:r>
    </w:p>
  </w:footnote>
  <w:footnote w:id="2">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 Mestranda no Programa de Pós-graduação em Ciências da Saúde, Universidade Federal do Cariri (UFCA), nara.araujo@aluno.ufca.edu.br.</w:t>
      </w:r>
    </w:p>
  </w:footnote>
  <w:footnote w:id="3">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 Afiliado do Laboratório de Tecnologia Farmacêutica, Universidade Federal da Paraíba-UFPB, barbosa.ufpb@gmail.com.</w:t>
      </w:r>
    </w:p>
  </w:footnote>
  <w:footnote w:id="4">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 Mestranda no Programa de Pós-graduação em Ciência da Saúde, Universidade Federal do Cariri (UFCA), camila.pereira@aluno.ufca.edu.br.</w:t>
      </w:r>
    </w:p>
  </w:footnote>
  <w:footnote w:id="5">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 Acadêmica da Universidade Federal do Cariri (UFCA), erika.viana@aluno.ufca.edu.br, bolsista de Iniciação Cientifica e Tecnológica (ICT) pela Fundação Cearense de Apoio ao Desenvolvimento Científico e Tecnológico (FUNCAP).</w:t>
      </w:r>
    </w:p>
  </w:footnote>
  <w:footnote w:id="6">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 Acadêmico da Universidade Federal do Cariri (UFCA), harowd.carvalho@aluno.ufca.edu.br, bolsista de Iniciação Científica e Tecnológica (ICT) pela Fundação Cearense de Apoio ao Desenvolvimento Científico e Tecnológico (FUNCAP).</w:t>
      </w:r>
    </w:p>
  </w:footnote>
  <w:footnote w:id="7">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 Graduada pela Universidade Federal do Cariri (UFCA), sayonara.santos@aluno.ufca.edu.br, bolsista de Iniciação Cientifica e Tecnológica (PIICT), financiado pelo(a) CNPq (2022 – 2023).</w:t>
      </w:r>
    </w:p>
  </w:footnote>
  <w:footnote w:id="8">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 Graduada pela Universidade Federal do Cariri (UFCA), juliete.soares@aluno.ufca.edu.br, bolsista de Iniciação Cientifica e Tecnológica (PIICT), financiado pelo(a) UFCA (2022 – 2023).</w:t>
      </w:r>
    </w:p>
  </w:footnote>
  <w:footnote w:id="9">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 Professora na Universidade Federal do Cariri (UFCA), orientadora do projeto Susceptibilidade de Biofilmes Bacterianos Frente a Sapogeninas Esteroidais, jacqueline.andrade@ufca.edu.br.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Pr>
      <w:drawing>
        <wp:inline distB="0" distT="0" distL="0" distR="0">
          <wp:extent cx="3856648" cy="978113"/>
          <wp:effectExtent b="0" l="0" r="0" t="0"/>
          <wp:docPr id="6" name="image4.png"/>
          <a:graphic>
            <a:graphicData uri="http://schemas.openxmlformats.org/drawingml/2006/picture">
              <pic:pic>
                <pic:nvPicPr>
                  <pic:cNvPr id="0" name="image4.png"/>
                  <pic:cNvPicPr preferRelativeResize="0"/>
                </pic:nvPicPr>
                <pic:blipFill>
                  <a:blip r:embed="rId1"/>
                  <a:srcRect b="24567" l="21795" r="22046" t="18604"/>
                  <a:stretch>
                    <a:fillRect/>
                  </a:stretch>
                </pic:blipFill>
                <pic:spPr>
                  <a:xfrm>
                    <a:off x="0" y="0"/>
                    <a:ext cx="3856648" cy="9781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-1092199</wp:posOffset>
              </wp:positionH>
              <wp:positionV relativeFrom="paragraph">
                <wp:posOffset>-266699</wp:posOffset>
              </wp:positionV>
              <wp:extent cx="7581788" cy="1458342"/>
              <wp:effectExtent b="0" l="0" r="0" t="0"/>
              <wp:wrapNone/>
              <wp:docPr id="2" name=""/>
              <a:graphic>
                <a:graphicData uri="http://schemas.microsoft.com/office/word/2010/wordprocessingShape">
                  <wps:wsp>
                    <wps:cNvSpPr/>
                    <wps:cNvPr id="3" name="Shape 3"/>
                    <wps:spPr>
                      <a:xfrm rot="5400000">
                        <a:off x="4622764" y="-6132"/>
                        <a:ext cx="1446472" cy="7572263"/>
                      </a:xfrm>
                      <a:prstGeom prst="flowChartDelay">
                        <a:avLst/>
                      </a:prstGeom>
                      <a:blipFill rotWithShape="0">
                        <a:blip r:embed="rId2">
                          <a:alphaModFix/>
                        </a:blip>
                        <a:stretch>
                          <a:fillRect b="-80" l="80" r="80" t="-8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-1092199</wp:posOffset>
              </wp:positionH>
              <wp:positionV relativeFrom="paragraph">
                <wp:posOffset>-266699</wp:posOffset>
              </wp:positionV>
              <wp:extent cx="7581788" cy="1458342"/>
              <wp:effectExtent b="0" l="0" r="0" t="0"/>
              <wp:wrapNone/>
              <wp:docPr id="2"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7581788" cy="1458342"/>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Pr>
      <w:drawing>
        <wp:inline distB="0" distT="0" distL="0" distR="0">
          <wp:extent cx="2182177" cy="553438"/>
          <wp:effectExtent b="0" l="0" r="0" t="0"/>
          <wp:docPr descr="Texto&#10;&#10;Descrição gerada automaticamente com confiança média" id="8" name="image4.png"/>
          <a:graphic>
            <a:graphicData uri="http://schemas.openxmlformats.org/drawingml/2006/picture">
              <pic:pic>
                <pic:nvPicPr>
                  <pic:cNvPr descr="Texto&#10;&#10;Descrição gerada automaticamente com confiança média" id="0" name="image4.png"/>
                  <pic:cNvPicPr preferRelativeResize="0"/>
                </pic:nvPicPr>
                <pic:blipFill>
                  <a:blip r:embed="rId1"/>
                  <a:srcRect b="24567" l="21795" r="22046" t="18604"/>
                  <a:stretch>
                    <a:fillRect/>
                  </a:stretch>
                </pic:blipFill>
                <pic:spPr>
                  <a:xfrm>
                    <a:off x="0" y="0"/>
                    <a:ext cx="2182177" cy="553438"/>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2790441</wp:posOffset>
          </wp:positionH>
          <wp:positionV relativeFrom="paragraph">
            <wp:posOffset>132833</wp:posOffset>
          </wp:positionV>
          <wp:extent cx="991240" cy="210495"/>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91240" cy="2104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00000a"/>
        <w:sz w:val="24"/>
        <w:szCs w:val="24"/>
        <w:lang w:val="pt-BR"/>
      </w:rPr>
    </w:rPrDefault>
    <w:pPrDefault>
      <w:pPr>
        <w:widowControl w:val="0"/>
        <w:spacing w:after="12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spacing w:before="480" w:line="360" w:lineRule="auto"/>
      <w:ind w:firstLine="0"/>
    </w:pPr>
    <w:rPr>
      <w:b w:val="1"/>
      <w:smallCaps w:val="1"/>
      <w:color w:val="000000"/>
    </w:rPr>
  </w:style>
  <w:style w:type="paragraph" w:styleId="Heading2">
    <w:name w:val="heading 2"/>
    <w:basedOn w:val="Normal"/>
    <w:next w:val="Normal"/>
    <w:pPr>
      <w:widowControl w:val="1"/>
      <w:spacing w:after="240" w:before="480" w:line="360" w:lineRule="auto"/>
      <w:ind w:firstLine="0"/>
    </w:pPr>
    <w:rPr>
      <w:b w:val="1"/>
      <w:color w:val="000000"/>
    </w:rPr>
  </w:style>
  <w:style w:type="paragraph" w:styleId="Heading3">
    <w:name w:val="heading 3"/>
    <w:basedOn w:val="Normal"/>
    <w:next w:val="Normal"/>
    <w:pPr>
      <w:widowControl w:val="1"/>
      <w:spacing w:after="240" w:before="480" w:line="360" w:lineRule="auto"/>
      <w:ind w:left="624" w:hanging="624"/>
    </w:pPr>
    <w:rPr>
      <w:color w:val="000000"/>
    </w:rPr>
  </w:style>
  <w:style w:type="paragraph" w:styleId="Heading4">
    <w:name w:val="heading 4"/>
    <w:basedOn w:val="Normal"/>
    <w:next w:val="Normal"/>
    <w:pPr>
      <w:widowControl w:val="1"/>
      <w:spacing w:after="240" w:before="480" w:line="360" w:lineRule="auto"/>
      <w:ind w:left="851" w:hanging="851"/>
      <w:jc w:val="left"/>
    </w:pPr>
    <w:rPr>
      <w:i w:val="1"/>
      <w:color w:val="000000"/>
    </w:rPr>
  </w:style>
  <w:style w:type="paragraph" w:styleId="Heading5">
    <w:name w:val="heading 5"/>
    <w:basedOn w:val="Normal"/>
    <w:next w:val="Normal"/>
    <w:pPr>
      <w:widowControl w:val="1"/>
      <w:spacing w:before="40" w:line="360" w:lineRule="auto"/>
      <w:ind w:left="0" w:firstLine="0"/>
      <w:jc w:val="left"/>
    </w:pPr>
    <w:rPr>
      <w:i w:val="1"/>
      <w:color w:val="000000"/>
      <w:sz w:val="22"/>
      <w:szCs w:val="22"/>
    </w:rPr>
  </w:style>
  <w:style w:type="paragraph" w:styleId="Heading6">
    <w:name w:val="heading 6"/>
    <w:basedOn w:val="Normal"/>
    <w:next w:val="Normal"/>
    <w:pPr>
      <w:widowControl w:val="1"/>
      <w:spacing w:after="60" w:before="240" w:line="360" w:lineRule="auto"/>
      <w:ind w:left="1152" w:hanging="1152"/>
    </w:pPr>
    <w:rPr>
      <w:i w:val="1"/>
      <w:color w:val="000000"/>
      <w:sz w:val="22"/>
      <w:szCs w:val="22"/>
    </w:rPr>
  </w:style>
  <w:style w:type="paragraph" w:styleId="Title">
    <w:name w:val="Title"/>
    <w:basedOn w:val="Normal"/>
    <w:next w:val="Normal"/>
    <w:pPr>
      <w:spacing w:after="60" w:before="240" w:lineRule="auto"/>
      <w:jc w:val="center"/>
    </w:pPr>
    <w:rPr>
      <w:b w:val="1"/>
      <w:smallCap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intarchmed.biomedcentral.com/articles/10.1186/1755-7682-1-24" TargetMode="External"/><Relationship Id="rId22" Type="http://schemas.openxmlformats.org/officeDocument/2006/relationships/hyperlink" Target="https://revplantasmedicinales.sld.cu/index.php/pla/article/view/982" TargetMode="External"/><Relationship Id="rId21" Type="http://schemas.openxmlformats.org/officeDocument/2006/relationships/hyperlink" Target="https://journals.asm.org/doi/full/10.1128/mbio.01462-20" TargetMode="External"/><Relationship Id="rId24" Type="http://schemas.openxmlformats.org/officeDocument/2006/relationships/hyperlink" Target="https://pubs.acs.org/doi/abs/10.1021/jf200439q" TargetMode="External"/><Relationship Id="rId23" Type="http://schemas.openxmlformats.org/officeDocument/2006/relationships/hyperlink" Target="https://www.indianjournals.com/ijor.aspx?target=ijor:rjpt&amp;volume=12&amp;issue=5&amp;article=0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26" Type="http://schemas.openxmlformats.org/officeDocument/2006/relationships/hyperlink" Target="https://bmccomplementmedtherapies.biomedcentral.com/articles/10.1186/s12906-018-2348-9" TargetMode="External"/><Relationship Id="rId25" Type="http://schemas.openxmlformats.org/officeDocument/2006/relationships/hyperlink" Target="https://www.tandfonline.com/doi/full/10.1080/13880200802434484" TargetMode="External"/><Relationship Id="rId28" Type="http://schemas.openxmlformats.org/officeDocument/2006/relationships/hyperlink" Target="https://pubmed.ncbi.nlm.nih.gov/29723841/" TargetMode="External"/><Relationship Id="rId27" Type="http://schemas.openxmlformats.org/officeDocument/2006/relationships/hyperlink" Target="https://cir.nii.ac.jp/crid/1130282272106851968"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mdpi.com/2079-6382/10/3/318" TargetMode="External"/><Relationship Id="rId7" Type="http://schemas.openxmlformats.org/officeDocument/2006/relationships/image" Target="media/image3.png"/><Relationship Id="rId8" Type="http://schemas.openxmlformats.org/officeDocument/2006/relationships/hyperlink" Target="https://www.mdpi.com/2079-6382/11/10/1309#table_body_display_antibiotics-11-01309-t001" TargetMode="External"/><Relationship Id="rId31" Type="http://schemas.openxmlformats.org/officeDocument/2006/relationships/header" Target="header1.xml"/><Relationship Id="rId30" Type="http://schemas.openxmlformats.org/officeDocument/2006/relationships/header" Target="header2.xml"/><Relationship Id="rId11" Type="http://schemas.openxmlformats.org/officeDocument/2006/relationships/hyperlink" Target="https://editoraime.com.br/revistas/index.php/rems/article/view/1195" TargetMode="External"/><Relationship Id="rId33" Type="http://schemas.openxmlformats.org/officeDocument/2006/relationships/footer" Target="footer1.xml"/><Relationship Id="rId10" Type="http://schemas.openxmlformats.org/officeDocument/2006/relationships/hyperlink" Target="https://www.iasj.net/iasj/download/414cc342ace7f1b6" TargetMode="External"/><Relationship Id="rId32" Type="http://schemas.openxmlformats.org/officeDocument/2006/relationships/footer" Target="footer2.xml"/><Relationship Id="rId13" Type="http://schemas.openxmlformats.org/officeDocument/2006/relationships/hyperlink" Target="https://www.researchgate.net/publication/354604823_Antibacterial_In-Vitro_Evaluation_of_Phenotypically_Screened_Solasodine_from_Solanum_nigrum_Linn_Against_Enterohemorrhagic_Escherichia_coli_0157H7" TargetMode="External"/><Relationship Id="rId12" Type="http://schemas.openxmlformats.org/officeDocument/2006/relationships/hyperlink" Target="https://www.sciencedirect.com/science/article/abs/pii/S0065266021000183" TargetMode="External"/><Relationship Id="rId15" Type="http://schemas.openxmlformats.org/officeDocument/2006/relationships/hyperlink" Target="https://acervomais.com.br/index.php/artigos/article/view/7902" TargetMode="External"/><Relationship Id="rId14" Type="http://schemas.openxmlformats.org/officeDocument/2006/relationships/hyperlink" Target="https://www.scielo.br/j/rbpm/a/jLwtvWfVydRt6tkgfTy3WFt/abstract/?lang=en" TargetMode="External"/><Relationship Id="rId17" Type="http://schemas.openxmlformats.org/officeDocument/2006/relationships/hyperlink" Target="https://www.sciencedirect.com/science/article/abs/pii/S027869151730279X" TargetMode="External"/><Relationship Id="rId16" Type="http://schemas.openxmlformats.org/officeDocument/2006/relationships/hyperlink" Target="https://pubmed.ncbi.nlm.nih.gov/26876023/" TargetMode="External"/><Relationship Id="rId19" Type="http://schemas.openxmlformats.org/officeDocument/2006/relationships/hyperlink" Target="https://revistas.urosario.edu.co/index.php/revsalud/article/view/4353" TargetMode="External"/><Relationship Id="rId18" Type="http://schemas.openxmlformats.org/officeDocument/2006/relationships/hyperlink" Target="https://www.tandfonline.com/doi/full/10.3109/13880209.2010.508499"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 Id="rId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