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A90" w:rsidRDefault="00A44920">
      <w:pPr>
        <w:spacing w:after="0" w:line="259" w:lineRule="auto"/>
        <w:ind w:right="7" w:firstLine="0"/>
        <w:jc w:val="center"/>
      </w:pPr>
      <w:r>
        <w:rPr>
          <w:b/>
          <w:sz w:val="32"/>
        </w:rPr>
        <w:t xml:space="preserve">Saberes Docentes e Tecnologias Digitais no ensino da </w:t>
      </w:r>
    </w:p>
    <w:p w:rsidR="00C95A90" w:rsidRDefault="00A44920">
      <w:pPr>
        <w:spacing w:after="431" w:line="240" w:lineRule="auto"/>
        <w:ind w:firstLine="0"/>
        <w:jc w:val="center"/>
      </w:pPr>
      <w:r>
        <w:rPr>
          <w:b/>
          <w:sz w:val="32"/>
        </w:rPr>
        <w:t xml:space="preserve">Matemática: </w:t>
      </w:r>
      <w:r>
        <w:rPr>
          <w:sz w:val="32"/>
        </w:rPr>
        <w:t xml:space="preserve">análise </w:t>
      </w:r>
      <w:proofErr w:type="spellStart"/>
      <w:r>
        <w:rPr>
          <w:sz w:val="32"/>
        </w:rPr>
        <w:t>praxeológica</w:t>
      </w:r>
      <w:proofErr w:type="spellEnd"/>
      <w:r>
        <w:rPr>
          <w:sz w:val="32"/>
        </w:rPr>
        <w:t xml:space="preserve"> da utilização do </w:t>
      </w:r>
      <w:proofErr w:type="spellStart"/>
      <w:r>
        <w:rPr>
          <w:sz w:val="32"/>
        </w:rPr>
        <w:t>GeoGebra</w:t>
      </w:r>
      <w:proofErr w:type="spellEnd"/>
      <w:r>
        <w:rPr>
          <w:sz w:val="32"/>
        </w:rPr>
        <w:t xml:space="preserve"> no processo de ensino</w:t>
      </w:r>
      <w:r>
        <w:rPr>
          <w:b/>
          <w:sz w:val="32"/>
        </w:rPr>
        <w:t xml:space="preserve"> </w:t>
      </w:r>
      <w:r>
        <w:rPr>
          <w:sz w:val="32"/>
        </w:rPr>
        <w:t xml:space="preserve"> </w:t>
      </w:r>
    </w:p>
    <w:p w:rsidR="00C95A90" w:rsidRDefault="00264679">
      <w:pPr>
        <w:spacing w:after="128" w:line="259" w:lineRule="auto"/>
        <w:ind w:left="10" w:right="-13" w:hanging="10"/>
        <w:jc w:val="right"/>
      </w:pPr>
      <w:r>
        <w:rPr>
          <w:b/>
        </w:rPr>
        <w:t>Talyta Sampaio Figueiredo</w:t>
      </w:r>
      <w:r w:rsidR="00A44920">
        <w:rPr>
          <w:b/>
          <w:sz w:val="25"/>
          <w:vertAlign w:val="superscript"/>
        </w:rPr>
        <w:footnoteReference w:id="1"/>
      </w:r>
      <w:r w:rsidR="00A44920">
        <w:t xml:space="preserve"> </w:t>
      </w:r>
    </w:p>
    <w:p w:rsidR="00C95A90" w:rsidRDefault="00264679">
      <w:pPr>
        <w:spacing w:after="128" w:line="259" w:lineRule="auto"/>
        <w:ind w:left="10" w:right="-13" w:hanging="10"/>
        <w:jc w:val="right"/>
      </w:pPr>
      <w:r>
        <w:rPr>
          <w:b/>
        </w:rPr>
        <w:t>Maria Elaine Martins de Lima</w:t>
      </w:r>
      <w:r w:rsidR="00A44920">
        <w:rPr>
          <w:b/>
          <w:sz w:val="25"/>
          <w:vertAlign w:val="superscript"/>
        </w:rPr>
        <w:footnoteReference w:id="2"/>
      </w:r>
      <w:r w:rsidR="00A44920">
        <w:t xml:space="preserve"> </w:t>
      </w:r>
    </w:p>
    <w:p w:rsidR="00C95A90" w:rsidRDefault="00264679">
      <w:pPr>
        <w:spacing w:after="227" w:line="259" w:lineRule="auto"/>
        <w:ind w:left="10" w:right="-13" w:hanging="10"/>
        <w:jc w:val="right"/>
      </w:pPr>
      <w:r>
        <w:rPr>
          <w:b/>
        </w:rPr>
        <w:t>Rochelande Felipe Rodrigues</w:t>
      </w:r>
      <w:r w:rsidR="00A44920">
        <w:rPr>
          <w:b/>
          <w:sz w:val="25"/>
          <w:vertAlign w:val="superscript"/>
        </w:rPr>
        <w:footnoteReference w:id="3"/>
      </w:r>
      <w:r w:rsidR="00A44920">
        <w:rPr>
          <w:b/>
          <w:sz w:val="20"/>
        </w:rPr>
        <w:t xml:space="preserve"> </w:t>
      </w:r>
    </w:p>
    <w:p w:rsidR="00C95A90" w:rsidRDefault="00A44920">
      <w:pPr>
        <w:spacing w:after="252" w:line="238" w:lineRule="auto"/>
        <w:ind w:left="-15" w:firstLine="0"/>
      </w:pPr>
      <w:r>
        <w:rPr>
          <w:rFonts w:ascii="Calibri" w:eastAsia="Calibri" w:hAnsi="Calibri" w:cs="Calibri"/>
          <w:noProof/>
          <w:color w:val="000000"/>
          <w:sz w:val="22"/>
          <w:lang w:bidi="ar-SA"/>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15240</wp:posOffset>
                </wp:positionV>
                <wp:extent cx="7559675" cy="1448435"/>
                <wp:effectExtent l="0" t="0" r="0" b="0"/>
                <wp:wrapTopAndBottom/>
                <wp:docPr id="10182" name="Group 10182"/>
                <wp:cNvGraphicFramePr/>
                <a:graphic xmlns:a="http://schemas.openxmlformats.org/drawingml/2006/main">
                  <a:graphicData uri="http://schemas.microsoft.com/office/word/2010/wordprocessingGroup">
                    <wpg:wgp>
                      <wpg:cNvGrpSpPr/>
                      <wpg:grpSpPr>
                        <a:xfrm>
                          <a:off x="0" y="0"/>
                          <a:ext cx="7559675" cy="1448435"/>
                          <a:chOff x="0" y="0"/>
                          <a:chExt cx="7559675" cy="1448435"/>
                        </a:xfrm>
                      </wpg:grpSpPr>
                      <pic:pic xmlns:pic="http://schemas.openxmlformats.org/drawingml/2006/picture">
                        <pic:nvPicPr>
                          <pic:cNvPr id="11723" name="Picture 11723"/>
                          <pic:cNvPicPr/>
                        </pic:nvPicPr>
                        <pic:blipFill>
                          <a:blip r:embed="rId6"/>
                          <a:stretch>
                            <a:fillRect/>
                          </a:stretch>
                        </pic:blipFill>
                        <pic:spPr>
                          <a:xfrm>
                            <a:off x="0" y="-3047"/>
                            <a:ext cx="7543800" cy="1453896"/>
                          </a:xfrm>
                          <a:prstGeom prst="rect">
                            <a:avLst/>
                          </a:prstGeom>
                        </pic:spPr>
                      </pic:pic>
                      <wps:wsp>
                        <wps:cNvPr id="241" name="Rectangle 241"/>
                        <wps:cNvSpPr/>
                        <wps:spPr>
                          <a:xfrm>
                            <a:off x="5789422" y="1108049"/>
                            <a:ext cx="50673" cy="224380"/>
                          </a:xfrm>
                          <a:prstGeom prst="rect">
                            <a:avLst/>
                          </a:prstGeom>
                          <a:ln>
                            <a:noFill/>
                          </a:ln>
                        </wps:spPr>
                        <wps:txbx>
                          <w:txbxContent>
                            <w:p w:rsidR="00C95A90" w:rsidRDefault="00A44920">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252" name="Picture 252"/>
                          <pic:cNvPicPr/>
                        </pic:nvPicPr>
                        <pic:blipFill>
                          <a:blip r:embed="rId7"/>
                          <a:stretch>
                            <a:fillRect/>
                          </a:stretch>
                        </pic:blipFill>
                        <pic:spPr>
                          <a:xfrm>
                            <a:off x="1952879" y="273050"/>
                            <a:ext cx="3833241" cy="972186"/>
                          </a:xfrm>
                          <a:prstGeom prst="rect">
                            <a:avLst/>
                          </a:prstGeom>
                        </pic:spPr>
                      </pic:pic>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182" style="width:595.25pt;height:114.05pt;position:absolute;mso-position-horizontal-relative:page;mso-position-horizontal:absolute;margin-left:0pt;mso-position-vertical-relative:page;margin-top:1.20001pt;" coordsize="75596,14484">
                <v:shape id="Picture 11723" style="position:absolute;width:75438;height:14538;left:0;top:-30;" filled="f">
                  <v:imagedata r:id="rId16"/>
                </v:shape>
                <v:rect id="Rectangle 241" style="position:absolute;width:506;height:2243;left:57894;top:11080;" filled="f" stroked="f">
                  <v:textbox inset="0,0,0,0">
                    <w:txbxContent>
                      <w:p>
                        <w:pPr>
                          <w:spacing w:before="0" w:after="160" w:line="259" w:lineRule="auto"/>
                          <w:ind w:right="0" w:firstLine="0"/>
                          <w:jc w:val="left"/>
                        </w:pPr>
                        <w:r>
                          <w:rPr/>
                          <w:t xml:space="preserve"> </w:t>
                        </w:r>
                      </w:p>
                    </w:txbxContent>
                  </v:textbox>
                </v:rect>
                <v:shape id="Picture 252" style="position:absolute;width:38332;height:9721;left:19528;top:2730;" filled="f">
                  <v:imagedata r:id="rId17"/>
                </v:shape>
                <w10:wrap type="topAndBottom"/>
              </v:group>
            </w:pict>
          </mc:Fallback>
        </mc:AlternateContent>
      </w:r>
      <w:r>
        <w:rPr>
          <w:b/>
        </w:rPr>
        <w:t>RESUMO</w:t>
      </w:r>
      <w:r>
        <w:t>:</w:t>
      </w:r>
      <w:r>
        <w:rPr>
          <w:sz w:val="22"/>
        </w:rPr>
        <w:t xml:space="preserve"> </w:t>
      </w:r>
      <w:r>
        <w:t xml:space="preserve">O trabalho aqui descrito emergiu do projeto de pesquisa intitulado “Saberes Docentes e Tecnologias Digitais no Ensino de Matemática: Construção de um Modelo Epistemológico de </w:t>
      </w:r>
      <w:proofErr w:type="gramStart"/>
      <w:r>
        <w:t>Referência.”</w:t>
      </w:r>
      <w:proofErr w:type="gramEnd"/>
      <w:r>
        <w:t xml:space="preserve">  Assim, o principal objetivo desta pesquisa foi realizar uma análise da utilização do </w:t>
      </w:r>
      <w:proofErr w:type="spellStart"/>
      <w:r>
        <w:t>GeoGebra</w:t>
      </w:r>
      <w:proofErr w:type="spellEnd"/>
      <w:r>
        <w:t xml:space="preserve">, focando no estudo das </w:t>
      </w:r>
      <w:proofErr w:type="spellStart"/>
      <w:r>
        <w:t>praxeologias</w:t>
      </w:r>
      <w:proofErr w:type="spellEnd"/>
      <w:r>
        <w:t xml:space="preserve"> no processo de ensino de determinados conteúdos matemáticos, sendo eles ligados a Geometria e Álgebra. A metodologia utilizada foi de cunho quantitativo, assim baseado em estudos e análises foi desenvolvido e aplicado um minicurso com os professores da rede básica de ensino, focando no uso do </w:t>
      </w:r>
      <w:proofErr w:type="spellStart"/>
      <w:r>
        <w:t>GeoGebra</w:t>
      </w:r>
      <w:proofErr w:type="spellEnd"/>
      <w:r>
        <w:t xml:space="preserve">, apresentando os recursos do software e como se pode utiliza-lo nas </w:t>
      </w:r>
      <w:proofErr w:type="gramStart"/>
      <w:r>
        <w:t>aulas</w:t>
      </w:r>
      <w:proofErr w:type="gramEnd"/>
      <w:r>
        <w:t xml:space="preserve">. Uma das etapas do minicurso foi a aplicação de uma oficina com os alunos da rede básica de ensino, assim os docentes também desenvolveram na prática atividades do minicurso aplicando com seus próprios alunos. Essa prática possibilitou realizarmos uma análise tanto das </w:t>
      </w:r>
      <w:proofErr w:type="spellStart"/>
      <w:r>
        <w:t>praxeologias</w:t>
      </w:r>
      <w:proofErr w:type="spellEnd"/>
      <w:r>
        <w:t xml:space="preserve"> desenvolvidas pelos professores, como também dos alunos na utilização do software </w:t>
      </w:r>
      <w:proofErr w:type="spellStart"/>
      <w:r>
        <w:t>GeoGebra</w:t>
      </w:r>
      <w:proofErr w:type="spellEnd"/>
      <w:r>
        <w:t>. Diante disso, podemos considerar que tanto os professores quanto os alunos no que tange a tarefa seguem técnicas semelhantes na utilização deste recurso digital. Os participantes da oficina puderam explorar conceitos matemáticos de forma prática, manipulando a resolução de cálculos, gráficos e funções.</w:t>
      </w:r>
      <w:r>
        <w:rPr>
          <w:b/>
        </w:rPr>
        <w:t xml:space="preserve"> </w:t>
      </w:r>
    </w:p>
    <w:p w:rsidR="00C95A90" w:rsidRDefault="00A44920">
      <w:pPr>
        <w:spacing w:after="219" w:line="259" w:lineRule="auto"/>
        <w:ind w:firstLine="0"/>
        <w:jc w:val="left"/>
      </w:pPr>
      <w:r>
        <w:rPr>
          <w:b/>
        </w:rPr>
        <w:t>PALAVRAS-CHAVE</w:t>
      </w:r>
      <w:r>
        <w:t xml:space="preserve">: </w:t>
      </w:r>
      <w:r>
        <w:rPr>
          <w:sz w:val="22"/>
        </w:rPr>
        <w:t xml:space="preserve">Formação de Professores; Tecnologias Digitais; </w:t>
      </w:r>
      <w:proofErr w:type="spellStart"/>
      <w:r>
        <w:rPr>
          <w:sz w:val="22"/>
        </w:rPr>
        <w:t>GeoGebra</w:t>
      </w:r>
      <w:proofErr w:type="spellEnd"/>
      <w:r>
        <w:rPr>
          <w:sz w:val="22"/>
        </w:rPr>
        <w:t>.</w:t>
      </w:r>
      <w:r>
        <w:rPr>
          <w:b/>
        </w:rPr>
        <w:t xml:space="preserve"> </w:t>
      </w:r>
    </w:p>
    <w:p w:rsidR="00C95A90" w:rsidRDefault="00A44920">
      <w:pPr>
        <w:spacing w:after="0" w:line="244" w:lineRule="auto"/>
        <w:ind w:left="-15" w:firstLine="0"/>
      </w:pPr>
      <w:r>
        <w:rPr>
          <w:b/>
        </w:rPr>
        <w:t>ABSTRACT</w:t>
      </w:r>
      <w:r>
        <w:t xml:space="preserve">: The </w:t>
      </w:r>
      <w:proofErr w:type="spellStart"/>
      <w:r>
        <w:t>work</w:t>
      </w:r>
      <w:proofErr w:type="spellEnd"/>
      <w:r>
        <w:t xml:space="preserve"> </w:t>
      </w:r>
      <w:proofErr w:type="spellStart"/>
      <w:r>
        <w:t>described</w:t>
      </w:r>
      <w:proofErr w:type="spellEnd"/>
      <w:r>
        <w:t xml:space="preserve"> </w:t>
      </w:r>
      <w:proofErr w:type="spellStart"/>
      <w:r>
        <w:t>here</w:t>
      </w:r>
      <w:proofErr w:type="spellEnd"/>
      <w:r>
        <w:t xml:space="preserve"> </w:t>
      </w:r>
      <w:proofErr w:type="spellStart"/>
      <w:r>
        <w:t>emerged</w:t>
      </w:r>
      <w:proofErr w:type="spellEnd"/>
      <w:r>
        <w:t xml:space="preserve"> </w:t>
      </w:r>
      <w:proofErr w:type="spellStart"/>
      <w:r>
        <w:t>from</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project</w:t>
      </w:r>
      <w:proofErr w:type="spellEnd"/>
      <w:r>
        <w:t xml:space="preserve"> </w:t>
      </w:r>
      <w:proofErr w:type="spellStart"/>
      <w:r>
        <w:t>entitled</w:t>
      </w:r>
      <w:proofErr w:type="spellEnd"/>
      <w:r>
        <w:t xml:space="preserve"> “</w:t>
      </w:r>
      <w:proofErr w:type="spellStart"/>
      <w:r>
        <w:t>Teaching</w:t>
      </w:r>
      <w:proofErr w:type="spellEnd"/>
      <w:r>
        <w:t xml:space="preserve"> </w:t>
      </w:r>
      <w:proofErr w:type="spellStart"/>
      <w:r>
        <w:t>Knowledge</w:t>
      </w:r>
      <w:proofErr w:type="spellEnd"/>
      <w:r>
        <w:t xml:space="preserve"> </w:t>
      </w:r>
      <w:proofErr w:type="spellStart"/>
      <w:r>
        <w:t>and</w:t>
      </w:r>
      <w:proofErr w:type="spellEnd"/>
      <w:r>
        <w:t xml:space="preserve"> Digital Technologies in </w:t>
      </w:r>
      <w:proofErr w:type="spellStart"/>
      <w:r>
        <w:t>Mathematics</w:t>
      </w:r>
      <w:proofErr w:type="spellEnd"/>
      <w:r>
        <w:t xml:space="preserve"> </w:t>
      </w:r>
      <w:proofErr w:type="spellStart"/>
      <w:r>
        <w:t>Teaching</w:t>
      </w:r>
      <w:proofErr w:type="spellEnd"/>
      <w:r>
        <w:t xml:space="preserve">: </w:t>
      </w:r>
      <w:proofErr w:type="spellStart"/>
      <w:r>
        <w:t>Construction</w:t>
      </w:r>
      <w:proofErr w:type="spellEnd"/>
      <w:r>
        <w:t xml:space="preserve"> </w:t>
      </w:r>
      <w:proofErr w:type="spellStart"/>
      <w:r>
        <w:t>of</w:t>
      </w:r>
      <w:proofErr w:type="spellEnd"/>
      <w:r>
        <w:t xml:space="preserve"> </w:t>
      </w:r>
      <w:proofErr w:type="spellStart"/>
      <w:r>
        <w:t>an</w:t>
      </w:r>
      <w:proofErr w:type="spellEnd"/>
      <w:r>
        <w:t xml:space="preserve"> </w:t>
      </w:r>
      <w:proofErr w:type="spellStart"/>
      <w:r>
        <w:t>Epistemological</w:t>
      </w:r>
      <w:proofErr w:type="spellEnd"/>
      <w:r>
        <w:t xml:space="preserve"> </w:t>
      </w:r>
      <w:proofErr w:type="spellStart"/>
      <w:r>
        <w:t>Reference</w:t>
      </w:r>
      <w:proofErr w:type="spellEnd"/>
      <w:r>
        <w:t xml:space="preserve"> </w:t>
      </w:r>
      <w:proofErr w:type="spellStart"/>
      <w:proofErr w:type="gramStart"/>
      <w:r>
        <w:t>Model</w:t>
      </w:r>
      <w:proofErr w:type="spellEnd"/>
      <w:r>
        <w:t>.”</w:t>
      </w:r>
      <w:proofErr w:type="gramEnd"/>
      <w:r>
        <w:t xml:space="preserve"> </w:t>
      </w:r>
      <w:proofErr w:type="spellStart"/>
      <w:r>
        <w:t>Thus</w:t>
      </w:r>
      <w:proofErr w:type="spellEnd"/>
      <w:r>
        <w:t xml:space="preserve">, </w:t>
      </w:r>
      <w:proofErr w:type="spellStart"/>
      <w:r>
        <w:t>the</w:t>
      </w:r>
      <w:proofErr w:type="spellEnd"/>
      <w:r>
        <w:t xml:space="preserve"> </w:t>
      </w:r>
      <w:proofErr w:type="spellStart"/>
      <w:r>
        <w:t>main</w:t>
      </w:r>
      <w:proofErr w:type="spellEnd"/>
      <w:r>
        <w:t xml:space="preserv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to</w:t>
      </w:r>
      <w:proofErr w:type="spellEnd"/>
      <w:r>
        <w:t xml:space="preserve"> </w:t>
      </w:r>
      <w:proofErr w:type="spellStart"/>
      <w:r>
        <w:t>carry</w:t>
      </w:r>
      <w:proofErr w:type="spellEnd"/>
      <w:r>
        <w:t xml:space="preserve"> out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the</w:t>
      </w:r>
      <w:proofErr w:type="spellEnd"/>
      <w:r>
        <w:t xml:space="preserve"> use </w:t>
      </w:r>
      <w:proofErr w:type="spellStart"/>
      <w:r>
        <w:t>of</w:t>
      </w:r>
      <w:proofErr w:type="spellEnd"/>
      <w:r>
        <w:t xml:space="preserve"> </w:t>
      </w:r>
      <w:proofErr w:type="spellStart"/>
      <w:r>
        <w:t>GeoGebra</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the</w:t>
      </w:r>
      <w:proofErr w:type="spellEnd"/>
      <w:r>
        <w:t xml:space="preserve"> </w:t>
      </w:r>
      <w:proofErr w:type="spellStart"/>
      <w:r>
        <w:t>study</w:t>
      </w:r>
      <w:proofErr w:type="spellEnd"/>
      <w:r>
        <w:t xml:space="preserve"> </w:t>
      </w:r>
      <w:proofErr w:type="spellStart"/>
      <w:r>
        <w:t>of</w:t>
      </w:r>
      <w:proofErr w:type="spellEnd"/>
      <w:r>
        <w:t xml:space="preserve"> </w:t>
      </w:r>
      <w:proofErr w:type="spellStart"/>
      <w:r>
        <w:t>praxeologies</w:t>
      </w:r>
      <w:proofErr w:type="spellEnd"/>
      <w:r>
        <w:t xml:space="preserve"> in </w:t>
      </w:r>
      <w:proofErr w:type="spellStart"/>
      <w:r>
        <w:t>the</w:t>
      </w:r>
      <w:proofErr w:type="spellEnd"/>
      <w:r>
        <w:t xml:space="preserve"> </w:t>
      </w:r>
      <w:proofErr w:type="spellStart"/>
      <w:r>
        <w:t>teaching</w:t>
      </w:r>
      <w:proofErr w:type="spellEnd"/>
      <w:r>
        <w:t xml:space="preserve"> </w:t>
      </w:r>
      <w:proofErr w:type="spellStart"/>
      <w:r>
        <w:t>process</w:t>
      </w:r>
      <w:proofErr w:type="spellEnd"/>
      <w:r>
        <w:t xml:space="preserve"> </w:t>
      </w:r>
      <w:proofErr w:type="spellStart"/>
      <w:r>
        <w:t>of</w:t>
      </w:r>
      <w:proofErr w:type="spellEnd"/>
      <w:r>
        <w:t xml:space="preserve"> </w:t>
      </w:r>
      <w:proofErr w:type="spellStart"/>
      <w:r>
        <w:t>certain</w:t>
      </w:r>
      <w:proofErr w:type="spellEnd"/>
      <w:r>
        <w:t xml:space="preserve"> </w:t>
      </w:r>
      <w:proofErr w:type="spellStart"/>
      <w:r>
        <w:t>mathematical</w:t>
      </w:r>
      <w:proofErr w:type="spellEnd"/>
      <w:r>
        <w:t xml:space="preserve"> </w:t>
      </w:r>
      <w:proofErr w:type="spellStart"/>
      <w:r>
        <w:t>contents</w:t>
      </w:r>
      <w:proofErr w:type="spellEnd"/>
      <w:r>
        <w:t xml:space="preserve">, </w:t>
      </w:r>
      <w:proofErr w:type="spellStart"/>
      <w:r>
        <w:t>being</w:t>
      </w:r>
      <w:proofErr w:type="spellEnd"/>
      <w:r>
        <w:t xml:space="preserve"> </w:t>
      </w:r>
      <w:proofErr w:type="spellStart"/>
      <w:r>
        <w:t>linked</w:t>
      </w:r>
      <w:proofErr w:type="spellEnd"/>
      <w:r>
        <w:t xml:space="preserve"> </w:t>
      </w:r>
      <w:proofErr w:type="spellStart"/>
      <w:r>
        <w:t>to</w:t>
      </w:r>
      <w:proofErr w:type="spellEnd"/>
      <w:r>
        <w:t xml:space="preserve"> </w:t>
      </w:r>
      <w:proofErr w:type="spellStart"/>
      <w:r>
        <w:t>Geometry</w:t>
      </w:r>
      <w:proofErr w:type="spellEnd"/>
      <w:r>
        <w:t xml:space="preserve"> </w:t>
      </w:r>
      <w:proofErr w:type="spellStart"/>
      <w:r>
        <w:t>and</w:t>
      </w:r>
      <w:proofErr w:type="spellEnd"/>
      <w:r>
        <w:t xml:space="preserve"> </w:t>
      </w:r>
      <w:proofErr w:type="spellStart"/>
      <w:r>
        <w:t>Algebra</w:t>
      </w:r>
      <w:proofErr w:type="spellEnd"/>
      <w:r>
        <w:t xml:space="preserve">. The </w:t>
      </w:r>
      <w:proofErr w:type="spellStart"/>
      <w:r>
        <w:t>methodology</w:t>
      </w:r>
      <w:proofErr w:type="spellEnd"/>
      <w:r>
        <w:t xml:space="preserve"> </w:t>
      </w:r>
      <w:proofErr w:type="spellStart"/>
      <w:r>
        <w:t>used</w:t>
      </w:r>
      <w:proofErr w:type="spellEnd"/>
      <w:r>
        <w:t xml:space="preserve"> </w:t>
      </w:r>
      <w:proofErr w:type="spellStart"/>
      <w:r>
        <w:t>was</w:t>
      </w:r>
      <w:proofErr w:type="spellEnd"/>
      <w:r>
        <w:t xml:space="preserve"> </w:t>
      </w:r>
      <w:proofErr w:type="spellStart"/>
      <w:r>
        <w:t>of</w:t>
      </w:r>
      <w:proofErr w:type="spellEnd"/>
      <w:r>
        <w:t xml:space="preserve"> a </w:t>
      </w:r>
      <w:proofErr w:type="spellStart"/>
      <w:r>
        <w:t>quantitative</w:t>
      </w:r>
      <w:proofErr w:type="spellEnd"/>
      <w:r>
        <w:t xml:space="preserve"> </w:t>
      </w:r>
      <w:proofErr w:type="spellStart"/>
      <w:r>
        <w:t>nature</w:t>
      </w:r>
      <w:proofErr w:type="spellEnd"/>
      <w:r>
        <w:t xml:space="preserve">, </w:t>
      </w:r>
      <w:proofErr w:type="spellStart"/>
      <w:r>
        <w:t>so</w:t>
      </w:r>
      <w:proofErr w:type="spellEnd"/>
      <w:r>
        <w:t xml:space="preserve"> </w:t>
      </w:r>
      <w:proofErr w:type="spellStart"/>
      <w:r>
        <w:t>based</w:t>
      </w:r>
      <w:proofErr w:type="spellEnd"/>
      <w:r>
        <w:t xml:space="preserve"> </w:t>
      </w:r>
      <w:proofErr w:type="spellStart"/>
      <w:r>
        <w:t>on</w:t>
      </w:r>
      <w:proofErr w:type="spellEnd"/>
      <w:r>
        <w:t xml:space="preserve"> </w:t>
      </w:r>
      <w:proofErr w:type="spellStart"/>
      <w:r>
        <w:t>studies</w:t>
      </w:r>
      <w:proofErr w:type="spellEnd"/>
      <w:r>
        <w:t xml:space="preserve"> </w:t>
      </w:r>
      <w:proofErr w:type="spellStart"/>
      <w:r>
        <w:t>and</w:t>
      </w:r>
      <w:proofErr w:type="spellEnd"/>
      <w:r>
        <w:t xml:space="preserve"> </w:t>
      </w:r>
      <w:proofErr w:type="spellStart"/>
      <w:r>
        <w:t>analyzes</w:t>
      </w:r>
      <w:proofErr w:type="spellEnd"/>
      <w:r>
        <w:t xml:space="preserve">, a short </w:t>
      </w:r>
      <w:proofErr w:type="spellStart"/>
      <w:r>
        <w:t>course</w:t>
      </w:r>
      <w:proofErr w:type="spellEnd"/>
      <w:r>
        <w:t xml:space="preserve"> </w:t>
      </w:r>
      <w:proofErr w:type="spellStart"/>
      <w:r>
        <w:t>was</w:t>
      </w:r>
      <w:proofErr w:type="spellEnd"/>
      <w:r>
        <w:t xml:space="preserve"> </w:t>
      </w:r>
      <w:proofErr w:type="spellStart"/>
      <w:r>
        <w:t>developed</w:t>
      </w:r>
      <w:proofErr w:type="spellEnd"/>
      <w:r>
        <w:t xml:space="preserve"> </w:t>
      </w:r>
      <w:proofErr w:type="spellStart"/>
      <w:r>
        <w:t>and</w:t>
      </w:r>
      <w:proofErr w:type="spellEnd"/>
      <w:r>
        <w:t xml:space="preserve"> </w:t>
      </w:r>
      <w:proofErr w:type="spellStart"/>
      <w:r>
        <w:t>applied</w:t>
      </w:r>
      <w:proofErr w:type="spellEnd"/>
      <w:r>
        <w:t xml:space="preserve"> </w:t>
      </w:r>
      <w:proofErr w:type="spellStart"/>
      <w:r>
        <w:t>with</w:t>
      </w:r>
      <w:proofErr w:type="spellEnd"/>
      <w:r>
        <w:t xml:space="preserve"> </w:t>
      </w:r>
      <w:proofErr w:type="spellStart"/>
      <w:r>
        <w:t>teachers</w:t>
      </w:r>
      <w:proofErr w:type="spellEnd"/>
      <w:r>
        <w:t xml:space="preserve"> </w:t>
      </w:r>
      <w:proofErr w:type="spellStart"/>
      <w:r>
        <w:t>from</w:t>
      </w:r>
      <w:proofErr w:type="spellEnd"/>
      <w:r>
        <w:t xml:space="preserve"> </w:t>
      </w:r>
      <w:proofErr w:type="spellStart"/>
      <w:r>
        <w:t>the</w:t>
      </w:r>
      <w:proofErr w:type="spellEnd"/>
      <w:r>
        <w:t xml:space="preserve"> </w:t>
      </w:r>
      <w:proofErr w:type="spellStart"/>
      <w:r>
        <w:t>basic</w:t>
      </w:r>
      <w:proofErr w:type="spellEnd"/>
      <w:r>
        <w:t xml:space="preserve"> </w:t>
      </w:r>
      <w:proofErr w:type="spellStart"/>
      <w:r>
        <w:t>education</w:t>
      </w:r>
      <w:proofErr w:type="spellEnd"/>
      <w:r>
        <w:t xml:space="preserve"> network, </w:t>
      </w:r>
      <w:proofErr w:type="spellStart"/>
      <w:r>
        <w:t>focusing</w:t>
      </w:r>
      <w:proofErr w:type="spellEnd"/>
      <w:r>
        <w:t xml:space="preserve"> </w:t>
      </w:r>
      <w:proofErr w:type="spellStart"/>
      <w:r>
        <w:t>on</w:t>
      </w:r>
      <w:proofErr w:type="spellEnd"/>
      <w:r>
        <w:t xml:space="preserve"> </w:t>
      </w:r>
      <w:proofErr w:type="spellStart"/>
      <w:r>
        <w:t>the</w:t>
      </w:r>
      <w:proofErr w:type="spellEnd"/>
      <w:r>
        <w:t xml:space="preserve"> use </w:t>
      </w:r>
      <w:proofErr w:type="spellStart"/>
      <w:r>
        <w:t>of</w:t>
      </w:r>
      <w:proofErr w:type="spellEnd"/>
      <w:r>
        <w:t xml:space="preserve"> </w:t>
      </w:r>
      <w:proofErr w:type="spellStart"/>
      <w:r>
        <w:t>GeoGebra</w:t>
      </w:r>
      <w:proofErr w:type="spellEnd"/>
      <w:r>
        <w:t xml:space="preserve">, </w:t>
      </w:r>
      <w:proofErr w:type="spellStart"/>
      <w:r>
        <w:t>presenting</w:t>
      </w:r>
      <w:proofErr w:type="spellEnd"/>
      <w:r>
        <w:t xml:space="preserve"> </w:t>
      </w:r>
      <w:proofErr w:type="spellStart"/>
      <w:r>
        <w:t>the</w:t>
      </w:r>
      <w:proofErr w:type="spellEnd"/>
      <w:r>
        <w:t xml:space="preserve"> software </w:t>
      </w:r>
      <w:proofErr w:type="spellStart"/>
      <w:r>
        <w:t>resources</w:t>
      </w:r>
      <w:proofErr w:type="spellEnd"/>
      <w:r>
        <w:t xml:space="preserve"> </w:t>
      </w:r>
      <w:proofErr w:type="spellStart"/>
      <w:r>
        <w:t>and</w:t>
      </w:r>
      <w:proofErr w:type="spellEnd"/>
      <w:r>
        <w:t xml:space="preserve"> </w:t>
      </w:r>
      <w:proofErr w:type="spellStart"/>
      <w:r>
        <w:t>how</w:t>
      </w:r>
      <w:proofErr w:type="spellEnd"/>
      <w:r>
        <w:t xml:space="preserve"> it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in classes. </w:t>
      </w:r>
    </w:p>
    <w:p w:rsidR="00C95A90" w:rsidRDefault="00A44920">
      <w:pPr>
        <w:spacing w:after="240" w:line="238" w:lineRule="auto"/>
        <w:ind w:left="-15" w:firstLine="0"/>
      </w:pP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stages</w:t>
      </w:r>
      <w:proofErr w:type="spellEnd"/>
      <w:r>
        <w:t xml:space="preserve"> </w:t>
      </w:r>
      <w:proofErr w:type="spellStart"/>
      <w:r>
        <w:t>of</w:t>
      </w:r>
      <w:proofErr w:type="spellEnd"/>
      <w:r>
        <w:t xml:space="preserve"> </w:t>
      </w:r>
      <w:proofErr w:type="spellStart"/>
      <w:r>
        <w:t>the</w:t>
      </w:r>
      <w:proofErr w:type="spellEnd"/>
      <w:r>
        <w:t xml:space="preserve"> </w:t>
      </w:r>
      <w:proofErr w:type="spellStart"/>
      <w:r>
        <w:t>mini-course</w:t>
      </w:r>
      <w:proofErr w:type="spellEnd"/>
      <w:r>
        <w:t xml:space="preserve"> </w:t>
      </w:r>
      <w:proofErr w:type="spellStart"/>
      <w:r>
        <w:t>was</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a workshop </w:t>
      </w:r>
      <w:proofErr w:type="spellStart"/>
      <w:r>
        <w:t>with</w:t>
      </w:r>
      <w:proofErr w:type="spellEnd"/>
      <w:r>
        <w:t xml:space="preserve"> </w:t>
      </w:r>
      <w:proofErr w:type="spellStart"/>
      <w:r>
        <w:t>students</w:t>
      </w:r>
      <w:proofErr w:type="spellEnd"/>
      <w:r>
        <w:t xml:space="preserve"> </w:t>
      </w:r>
      <w:proofErr w:type="spellStart"/>
      <w:r>
        <w:t>from</w:t>
      </w:r>
      <w:proofErr w:type="spellEnd"/>
      <w:r>
        <w:t xml:space="preserve"> </w:t>
      </w:r>
      <w:proofErr w:type="spellStart"/>
      <w:r>
        <w:t>the</w:t>
      </w:r>
      <w:proofErr w:type="spellEnd"/>
      <w:r>
        <w:t xml:space="preserve"> </w:t>
      </w:r>
      <w:proofErr w:type="spellStart"/>
      <w:r>
        <w:t>basic</w:t>
      </w:r>
      <w:proofErr w:type="spellEnd"/>
      <w:r>
        <w:t xml:space="preserve"> </w:t>
      </w:r>
      <w:proofErr w:type="spellStart"/>
      <w:r>
        <w:t>education</w:t>
      </w:r>
      <w:proofErr w:type="spellEnd"/>
      <w:r>
        <w:t xml:space="preserve"> network, </w:t>
      </w:r>
      <w:proofErr w:type="spellStart"/>
      <w:r>
        <w:t>so</w:t>
      </w:r>
      <w:proofErr w:type="spellEnd"/>
      <w:r>
        <w:t xml:space="preserve"> </w:t>
      </w:r>
      <w:proofErr w:type="spellStart"/>
      <w:r>
        <w:t>the</w:t>
      </w:r>
      <w:proofErr w:type="spellEnd"/>
      <w:r>
        <w:t xml:space="preserve"> </w:t>
      </w:r>
      <w:proofErr w:type="spellStart"/>
      <w:r>
        <w:t>teachers</w:t>
      </w:r>
      <w:proofErr w:type="spellEnd"/>
      <w:r>
        <w:t xml:space="preserve"> </w:t>
      </w:r>
      <w:proofErr w:type="spellStart"/>
      <w:r>
        <w:t>also</w:t>
      </w:r>
      <w:proofErr w:type="spellEnd"/>
      <w:r>
        <w:t xml:space="preserve"> </w:t>
      </w:r>
      <w:proofErr w:type="spellStart"/>
      <w:r>
        <w:t>developed</w:t>
      </w:r>
      <w:proofErr w:type="spellEnd"/>
      <w:r>
        <w:t xml:space="preserve"> </w:t>
      </w:r>
      <w:proofErr w:type="spellStart"/>
      <w:r>
        <w:t>the</w:t>
      </w:r>
      <w:proofErr w:type="spellEnd"/>
      <w:r>
        <w:t xml:space="preserve"> </w:t>
      </w:r>
      <w:proofErr w:type="spellStart"/>
      <w:r>
        <w:t>mini-course</w:t>
      </w:r>
      <w:proofErr w:type="spellEnd"/>
      <w:r>
        <w:t xml:space="preserve"> </w:t>
      </w:r>
      <w:proofErr w:type="spellStart"/>
      <w:r>
        <w:t>activities</w:t>
      </w:r>
      <w:proofErr w:type="spellEnd"/>
      <w:r>
        <w:t xml:space="preserve"> in </w:t>
      </w:r>
      <w:proofErr w:type="spellStart"/>
      <w:r>
        <w:t>practice</w:t>
      </w:r>
      <w:proofErr w:type="spellEnd"/>
      <w:r>
        <w:t xml:space="preserve"> </w:t>
      </w:r>
      <w:proofErr w:type="spellStart"/>
      <w:r>
        <w:t>by</w:t>
      </w:r>
      <w:proofErr w:type="spellEnd"/>
      <w:r>
        <w:t xml:space="preserve"> </w:t>
      </w:r>
      <w:proofErr w:type="spellStart"/>
      <w:r>
        <w:t>applying</w:t>
      </w:r>
      <w:proofErr w:type="spellEnd"/>
      <w:r>
        <w:t xml:space="preserve"> </w:t>
      </w:r>
      <w:proofErr w:type="spellStart"/>
      <w:r>
        <w:t>them</w:t>
      </w:r>
      <w:proofErr w:type="spellEnd"/>
      <w:r>
        <w:t xml:space="preserve"> </w:t>
      </w:r>
      <w:proofErr w:type="spellStart"/>
      <w:r>
        <w:t>with</w:t>
      </w:r>
      <w:proofErr w:type="spellEnd"/>
      <w:r>
        <w:t xml:space="preserve"> </w:t>
      </w:r>
      <w:proofErr w:type="spellStart"/>
      <w:r>
        <w:t>their</w:t>
      </w:r>
      <w:proofErr w:type="spellEnd"/>
      <w:r>
        <w:t xml:space="preserve"> </w:t>
      </w:r>
      <w:proofErr w:type="spellStart"/>
      <w:r>
        <w:t>own</w:t>
      </w:r>
      <w:proofErr w:type="spellEnd"/>
      <w:r>
        <w:t xml:space="preserve"> </w:t>
      </w:r>
      <w:proofErr w:type="spellStart"/>
      <w:r>
        <w:t>students</w:t>
      </w:r>
      <w:proofErr w:type="spellEnd"/>
      <w:r>
        <w:t xml:space="preserve">. </w:t>
      </w:r>
      <w:proofErr w:type="spellStart"/>
      <w:r>
        <w:t>This</w:t>
      </w:r>
      <w:proofErr w:type="spellEnd"/>
      <w:r>
        <w:t xml:space="preserve"> </w:t>
      </w:r>
      <w:proofErr w:type="spellStart"/>
      <w:r>
        <w:t>practice</w:t>
      </w:r>
      <w:proofErr w:type="spellEnd"/>
      <w:r>
        <w:t xml:space="preserve"> </w:t>
      </w:r>
      <w:proofErr w:type="spellStart"/>
      <w:r>
        <w:t>made</w:t>
      </w:r>
      <w:proofErr w:type="spellEnd"/>
      <w:r>
        <w:t xml:space="preserve"> it </w:t>
      </w:r>
      <w:proofErr w:type="spellStart"/>
      <w:r>
        <w:t>possible</w:t>
      </w:r>
      <w:proofErr w:type="spellEnd"/>
      <w:r>
        <w:t xml:space="preserve"> </w:t>
      </w:r>
      <w:proofErr w:type="spellStart"/>
      <w:r>
        <w:t>to</w:t>
      </w:r>
      <w:proofErr w:type="spellEnd"/>
      <w:r>
        <w:t xml:space="preserve"> </w:t>
      </w:r>
      <w:proofErr w:type="spellStart"/>
      <w:r>
        <w:t>carry</w:t>
      </w:r>
      <w:proofErr w:type="spellEnd"/>
      <w:r>
        <w:t xml:space="preserve"> </w:t>
      </w:r>
      <w:r>
        <w:lastRenderedPageBreak/>
        <w:t xml:space="preserve">out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both</w:t>
      </w:r>
      <w:proofErr w:type="spellEnd"/>
      <w:r>
        <w:t xml:space="preserve"> </w:t>
      </w:r>
      <w:proofErr w:type="spellStart"/>
      <w:r>
        <w:t>the</w:t>
      </w:r>
      <w:proofErr w:type="spellEnd"/>
      <w:r>
        <w:t xml:space="preserve"> </w:t>
      </w:r>
      <w:proofErr w:type="spellStart"/>
      <w:r>
        <w:t>praxeologies</w:t>
      </w:r>
      <w:proofErr w:type="spellEnd"/>
      <w:r>
        <w:t xml:space="preserve"> </w:t>
      </w:r>
      <w:proofErr w:type="spellStart"/>
      <w:r>
        <w:t>of</w:t>
      </w:r>
      <w:proofErr w:type="spellEnd"/>
      <w:r>
        <w:t xml:space="preserve"> </w:t>
      </w:r>
      <w:proofErr w:type="spellStart"/>
      <w:r>
        <w:t>the</w:t>
      </w:r>
      <w:proofErr w:type="spellEnd"/>
      <w:r>
        <w:t xml:space="preserve"> </w:t>
      </w:r>
      <w:proofErr w:type="spellStart"/>
      <w:r>
        <w:t>teachers</w:t>
      </w:r>
      <w:proofErr w:type="spellEnd"/>
      <w:r>
        <w:t xml:space="preserve">, as </w:t>
      </w:r>
      <w:proofErr w:type="spellStart"/>
      <w:r>
        <w:t>well</w:t>
      </w:r>
      <w:proofErr w:type="spellEnd"/>
      <w:r>
        <w:t xml:space="preserve"> as </w:t>
      </w:r>
      <w:proofErr w:type="spellStart"/>
      <w:r>
        <w:t>of</w:t>
      </w:r>
      <w:proofErr w:type="spellEnd"/>
      <w:r>
        <w:t xml:space="preserve"> </w:t>
      </w:r>
      <w:proofErr w:type="spellStart"/>
      <w:r>
        <w:t>the</w:t>
      </w:r>
      <w:proofErr w:type="spellEnd"/>
      <w:r>
        <w:t xml:space="preserve"> </w:t>
      </w:r>
      <w:proofErr w:type="spellStart"/>
      <w:r>
        <w:t>students</w:t>
      </w:r>
      <w:proofErr w:type="spellEnd"/>
      <w:r>
        <w:t xml:space="preserve"> in </w:t>
      </w:r>
      <w:proofErr w:type="spellStart"/>
      <w:r>
        <w:t>the</w:t>
      </w:r>
      <w:proofErr w:type="spellEnd"/>
      <w:r>
        <w:t xml:space="preserve"> use </w:t>
      </w:r>
      <w:proofErr w:type="spellStart"/>
      <w:r>
        <w:t>of</w:t>
      </w:r>
      <w:proofErr w:type="spellEnd"/>
      <w:r>
        <w:t xml:space="preserve"> </w:t>
      </w:r>
      <w:proofErr w:type="spellStart"/>
      <w:r>
        <w:t>the</w:t>
      </w:r>
      <w:proofErr w:type="spellEnd"/>
      <w:r>
        <w:t xml:space="preserve"> </w:t>
      </w:r>
      <w:proofErr w:type="spellStart"/>
      <w:r>
        <w:t>GeoGebra</w:t>
      </w:r>
      <w:proofErr w:type="spellEnd"/>
      <w:r>
        <w:t xml:space="preserve"> software. In </w:t>
      </w:r>
      <w:proofErr w:type="spellStart"/>
      <w:r>
        <w:t>view</w:t>
      </w:r>
      <w:proofErr w:type="spellEnd"/>
      <w:r>
        <w:t xml:space="preserve"> </w:t>
      </w:r>
      <w:proofErr w:type="spellStart"/>
      <w:r>
        <w:t>of</w:t>
      </w:r>
      <w:proofErr w:type="spellEnd"/>
      <w:r>
        <w:t xml:space="preserve"> </w:t>
      </w:r>
      <w:proofErr w:type="spellStart"/>
      <w:r>
        <w:t>this</w:t>
      </w:r>
      <w:proofErr w:type="spellEnd"/>
      <w:r>
        <w:t xml:space="preserve">, </w:t>
      </w:r>
      <w:proofErr w:type="spellStart"/>
      <w:r>
        <w:t>we</w:t>
      </w:r>
      <w:proofErr w:type="spellEnd"/>
      <w:r>
        <w:t xml:space="preserve"> </w:t>
      </w:r>
      <w:proofErr w:type="spellStart"/>
      <w:r>
        <w:t>can</w:t>
      </w:r>
      <w:proofErr w:type="spellEnd"/>
      <w:r>
        <w:t xml:space="preserve"> </w:t>
      </w:r>
      <w:proofErr w:type="spellStart"/>
      <w:r>
        <w:t>consider</w:t>
      </w:r>
      <w:proofErr w:type="spellEnd"/>
      <w:r>
        <w:t xml:space="preserve"> </w:t>
      </w:r>
      <w:proofErr w:type="spellStart"/>
      <w:r>
        <w:t>that</w:t>
      </w:r>
      <w:proofErr w:type="spellEnd"/>
      <w:r>
        <w:t xml:space="preserve"> </w:t>
      </w:r>
      <w:proofErr w:type="spellStart"/>
      <w:r>
        <w:t>both</w:t>
      </w:r>
      <w:proofErr w:type="spellEnd"/>
      <w:r>
        <w:t xml:space="preserve"> </w:t>
      </w:r>
      <w:proofErr w:type="spellStart"/>
      <w:r>
        <w:t>teachers</w:t>
      </w:r>
      <w:proofErr w:type="spellEnd"/>
      <w:r>
        <w:t xml:space="preserve"> </w:t>
      </w:r>
      <w:proofErr w:type="spellStart"/>
      <w:r>
        <w:t>and</w:t>
      </w:r>
      <w:proofErr w:type="spellEnd"/>
      <w:r>
        <w:t xml:space="preserve"> </w:t>
      </w:r>
      <w:proofErr w:type="spellStart"/>
      <w:r>
        <w:t>students</w:t>
      </w:r>
      <w:proofErr w:type="spellEnd"/>
      <w:r>
        <w:t xml:space="preserve"> in </w:t>
      </w:r>
      <w:proofErr w:type="spellStart"/>
      <w:r>
        <w:t>terms</w:t>
      </w:r>
      <w:proofErr w:type="spellEnd"/>
      <w:r>
        <w:t xml:space="preserve"> </w:t>
      </w:r>
      <w:proofErr w:type="spellStart"/>
      <w:r>
        <w:t>of</w:t>
      </w:r>
      <w:proofErr w:type="spellEnd"/>
      <w:r>
        <w:t xml:space="preserve"> </w:t>
      </w:r>
      <w:proofErr w:type="spellStart"/>
      <w:r>
        <w:t>the</w:t>
      </w:r>
      <w:proofErr w:type="spellEnd"/>
      <w:r>
        <w:t xml:space="preserve"> </w:t>
      </w:r>
      <w:proofErr w:type="spellStart"/>
      <w:r>
        <w:t>task</w:t>
      </w:r>
      <w:proofErr w:type="spellEnd"/>
      <w:r>
        <w:t xml:space="preserve"> </w:t>
      </w:r>
      <w:proofErr w:type="spellStart"/>
      <w:r>
        <w:t>follow</w:t>
      </w:r>
      <w:proofErr w:type="spellEnd"/>
      <w:r>
        <w:t xml:space="preserve"> similar </w:t>
      </w:r>
      <w:proofErr w:type="spellStart"/>
      <w:r>
        <w:t>techniques</w:t>
      </w:r>
      <w:proofErr w:type="spellEnd"/>
      <w:r>
        <w:t xml:space="preserve"> in </w:t>
      </w:r>
      <w:proofErr w:type="spellStart"/>
      <w:r>
        <w:t>the</w:t>
      </w:r>
      <w:proofErr w:type="spellEnd"/>
      <w:r>
        <w:t xml:space="preserve"> use </w:t>
      </w:r>
      <w:proofErr w:type="spellStart"/>
      <w:r>
        <w:t>of</w:t>
      </w:r>
      <w:proofErr w:type="spellEnd"/>
      <w:r>
        <w:t xml:space="preserve"> </w:t>
      </w:r>
      <w:proofErr w:type="spellStart"/>
      <w:r>
        <w:t>this</w:t>
      </w:r>
      <w:proofErr w:type="spellEnd"/>
      <w:r>
        <w:t xml:space="preserve"> digital </w:t>
      </w:r>
      <w:proofErr w:type="spellStart"/>
      <w:r>
        <w:t>resource</w:t>
      </w:r>
      <w:proofErr w:type="spellEnd"/>
      <w:r>
        <w:t xml:space="preserve">. The workshop </w:t>
      </w:r>
      <w:proofErr w:type="spellStart"/>
      <w:r>
        <w:t>participants</w:t>
      </w:r>
      <w:proofErr w:type="spellEnd"/>
      <w:r>
        <w:t xml:space="preserve"> </w:t>
      </w:r>
      <w:proofErr w:type="spellStart"/>
      <w:r>
        <w:t>were</w:t>
      </w:r>
      <w:proofErr w:type="spellEnd"/>
      <w:r>
        <w:t xml:space="preserve"> </w:t>
      </w:r>
      <w:proofErr w:type="spellStart"/>
      <w:r>
        <w:t>able</w:t>
      </w:r>
      <w:proofErr w:type="spellEnd"/>
      <w:r>
        <w:t xml:space="preserve"> </w:t>
      </w:r>
      <w:proofErr w:type="spellStart"/>
      <w:r>
        <w:t>to</w:t>
      </w:r>
      <w:proofErr w:type="spellEnd"/>
      <w:r>
        <w:t xml:space="preserve"> explore </w:t>
      </w:r>
      <w:proofErr w:type="spellStart"/>
      <w:r>
        <w:t>mathematical</w:t>
      </w:r>
      <w:proofErr w:type="spellEnd"/>
      <w:r>
        <w:t xml:space="preserve"> </w:t>
      </w:r>
      <w:proofErr w:type="spellStart"/>
      <w:r>
        <w:t>concepts</w:t>
      </w:r>
      <w:proofErr w:type="spellEnd"/>
      <w:r>
        <w:t xml:space="preserve"> in a </w:t>
      </w:r>
      <w:proofErr w:type="spellStart"/>
      <w:r>
        <w:t>practical</w:t>
      </w:r>
      <w:proofErr w:type="spellEnd"/>
      <w:r>
        <w:t xml:space="preserve"> </w:t>
      </w:r>
      <w:proofErr w:type="spellStart"/>
      <w:r>
        <w:t>way</w:t>
      </w:r>
      <w:proofErr w:type="spellEnd"/>
      <w:r>
        <w:t xml:space="preserve">, </w:t>
      </w:r>
      <w:proofErr w:type="spellStart"/>
      <w:r>
        <w:t>manipulating</w:t>
      </w:r>
      <w:proofErr w:type="spellEnd"/>
      <w:r>
        <w:t xml:space="preserve"> </w:t>
      </w:r>
      <w:proofErr w:type="spellStart"/>
      <w:r>
        <w:t>the</w:t>
      </w:r>
      <w:proofErr w:type="spellEnd"/>
      <w:r>
        <w:t xml:space="preserve"> </w:t>
      </w:r>
      <w:proofErr w:type="spellStart"/>
      <w:r>
        <w:t>resolution</w:t>
      </w:r>
      <w:proofErr w:type="spellEnd"/>
      <w:r>
        <w:t xml:space="preserve"> </w:t>
      </w:r>
      <w:proofErr w:type="spellStart"/>
      <w:r>
        <w:t>of</w:t>
      </w:r>
      <w:proofErr w:type="spellEnd"/>
      <w:r>
        <w:t xml:space="preserve"> </w:t>
      </w:r>
      <w:proofErr w:type="spellStart"/>
      <w:r>
        <w:t>calculations</w:t>
      </w:r>
      <w:proofErr w:type="spellEnd"/>
      <w:r>
        <w:t xml:space="preserve">, </w:t>
      </w:r>
      <w:proofErr w:type="spellStart"/>
      <w:r>
        <w:t>graphs</w:t>
      </w:r>
      <w:proofErr w:type="spellEnd"/>
      <w:r>
        <w:t xml:space="preserve"> </w:t>
      </w:r>
      <w:proofErr w:type="spellStart"/>
      <w:r>
        <w:t>and</w:t>
      </w:r>
      <w:proofErr w:type="spellEnd"/>
      <w:r>
        <w:t xml:space="preserve"> </w:t>
      </w:r>
      <w:proofErr w:type="spellStart"/>
      <w:r>
        <w:t>functions</w:t>
      </w:r>
      <w:proofErr w:type="spellEnd"/>
      <w:r>
        <w:t>.</w:t>
      </w:r>
      <w:r>
        <w:rPr>
          <w:b/>
        </w:rPr>
        <w:t xml:space="preserve"> </w:t>
      </w:r>
    </w:p>
    <w:p w:rsidR="00C95A90" w:rsidRDefault="00A44920">
      <w:pPr>
        <w:spacing w:after="220" w:line="259" w:lineRule="auto"/>
        <w:ind w:left="-15" w:firstLine="0"/>
      </w:pPr>
      <w:proofErr w:type="spellStart"/>
      <w:r>
        <w:rPr>
          <w:b/>
        </w:rPr>
        <w:t>Keywords</w:t>
      </w:r>
      <w:proofErr w:type="spellEnd"/>
      <w:r>
        <w:t xml:space="preserve">: </w:t>
      </w:r>
      <w:proofErr w:type="spellStart"/>
      <w:r>
        <w:t>Teacher</w:t>
      </w:r>
      <w:proofErr w:type="spellEnd"/>
      <w:r>
        <w:t xml:space="preserve"> training; Digital Technologies; </w:t>
      </w:r>
      <w:proofErr w:type="spellStart"/>
      <w:r>
        <w:t>GeoGebra</w:t>
      </w:r>
      <w:proofErr w:type="spellEnd"/>
      <w:r>
        <w:t xml:space="preserve">. </w:t>
      </w:r>
    </w:p>
    <w:p w:rsidR="00C95A90" w:rsidRDefault="00A44920">
      <w:pPr>
        <w:spacing w:after="0" w:line="259" w:lineRule="auto"/>
        <w:ind w:firstLine="0"/>
        <w:jc w:val="left"/>
      </w:pPr>
      <w:r>
        <w:rPr>
          <w:b/>
        </w:rPr>
        <w:t xml:space="preserve"> </w:t>
      </w:r>
    </w:p>
    <w:p w:rsidR="00C95A90" w:rsidRDefault="00A44920">
      <w:pPr>
        <w:pStyle w:val="Ttulo1"/>
        <w:ind w:left="-5"/>
      </w:pPr>
      <w:r>
        <w:t xml:space="preserve">1 INTRODUÇÃO </w:t>
      </w:r>
    </w:p>
    <w:p w:rsidR="00C95A90" w:rsidRDefault="00A44920">
      <w:pPr>
        <w:spacing w:after="0" w:line="259" w:lineRule="auto"/>
        <w:ind w:firstLine="0"/>
        <w:jc w:val="left"/>
      </w:pPr>
      <w:r>
        <w:rPr>
          <w:b/>
        </w:rPr>
        <w:t xml:space="preserve"> </w:t>
      </w:r>
    </w:p>
    <w:p w:rsidR="00C95A90" w:rsidRDefault="00A44920">
      <w:pPr>
        <w:spacing w:after="0"/>
        <w:ind w:left="-15"/>
      </w:pPr>
      <w:r>
        <w:t xml:space="preserve">Fonseca (2020), ressalta que no cenário educativo observou-se cada vez mais o uso das tecnologias digitais como um campo latente de pesquisa e problematização no sentido de suas implicações para as finalidades pedagógicas. Além disso, muitos docentes aderiram as tecnologias digitais no âmbito da matemática para servir de apoio no processo de ensino de suas aulas. Este cenário de integração das tecnologias digitais nas escolas já é um processo gradual que vem ocorrendo há alguns anos e está se consolidando ao longo dos séculos. Podemos então considerar, que as tecnologias digitais podem servir como um apoio e complemento ao ensino.  </w:t>
      </w:r>
    </w:p>
    <w:p w:rsidR="00C95A90" w:rsidRDefault="00A44920">
      <w:pPr>
        <w:spacing w:after="0"/>
        <w:ind w:left="-15"/>
      </w:pPr>
      <w:r>
        <w:t xml:space="preserve">Dentre as diversificadas tecnologias digitais que se apresentam como facilitadoras no ensino e aprendizagem da matemática, destacamos aqui o </w:t>
      </w:r>
      <w:proofErr w:type="spellStart"/>
      <w:r>
        <w:t>GeoGebra</w:t>
      </w:r>
      <w:proofErr w:type="spellEnd"/>
      <w:r>
        <w:t xml:space="preserve">. É um software livre e </w:t>
      </w:r>
    </w:p>
    <w:p w:rsidR="00C95A90" w:rsidRDefault="00A44920" w:rsidP="00BF6909">
      <w:pPr>
        <w:spacing w:after="0"/>
        <w:ind w:left="-15" w:firstLine="0"/>
      </w:pPr>
      <w:proofErr w:type="spellStart"/>
      <w:proofErr w:type="gramStart"/>
      <w:r>
        <w:t>multiplataforma</w:t>
      </w:r>
      <w:proofErr w:type="spellEnd"/>
      <w:proofErr w:type="gramEnd"/>
      <w:r>
        <w:t xml:space="preserve"> que integra geometria, álgebra e cálculo em um único ambiente virtual. Desenvolvido inicialmente pelo matemático austríaco </w:t>
      </w:r>
      <w:proofErr w:type="spellStart"/>
      <w:r>
        <w:t>Markus</w:t>
      </w:r>
      <w:proofErr w:type="spellEnd"/>
      <w:r>
        <w:t xml:space="preserve"> </w:t>
      </w:r>
      <w:proofErr w:type="spellStart"/>
      <w:r>
        <w:t>Hohenwarter</w:t>
      </w:r>
      <w:proofErr w:type="spellEnd"/>
      <w:r>
        <w:t xml:space="preserve"> em 2001, o </w:t>
      </w:r>
      <w:proofErr w:type="spellStart"/>
      <w:r>
        <w:t>GeoGebra</w:t>
      </w:r>
      <w:proofErr w:type="spellEnd"/>
      <w:r>
        <w:t xml:space="preserve"> tem se tornado uma ferramenta popular para o ensino e aprendizagem da matemática em todo o mundo, tanto em escolas quanto em universidades.  Abar e Almeida (2017), chamam atenção para o uso do software </w:t>
      </w:r>
      <w:proofErr w:type="spellStart"/>
      <w:r>
        <w:t>GeoGebra</w:t>
      </w:r>
      <w:proofErr w:type="spellEnd"/>
      <w:r>
        <w:t xml:space="preserve">, esclarecendo que sua utilização não é apenas mais um recurso tecnológico, mas também um recurso que colabora no desenvolvimento de conceitos matemáticos, uma vez que, por si só, o software não faz matemática.   </w:t>
      </w:r>
    </w:p>
    <w:p w:rsidR="00C95A90" w:rsidRDefault="00A44920" w:rsidP="00BF6909">
      <w:pPr>
        <w:ind w:left="-15"/>
      </w:pPr>
      <w:r>
        <w:t xml:space="preserve">Mediante ao que foi supracitado, o objetivo desta pesquisa foi realizar uma análise da utilização do </w:t>
      </w:r>
      <w:proofErr w:type="spellStart"/>
      <w:r>
        <w:t>GeoGebra</w:t>
      </w:r>
      <w:proofErr w:type="spellEnd"/>
      <w:r>
        <w:t xml:space="preserve">, focando no estudo das </w:t>
      </w:r>
      <w:proofErr w:type="spellStart"/>
      <w:r>
        <w:t>praxeologias</w:t>
      </w:r>
      <w:proofErr w:type="spellEnd"/>
      <w:r>
        <w:t xml:space="preserve"> no processo de ensino dos conceitos matemáticos. A </w:t>
      </w:r>
      <w:proofErr w:type="spellStart"/>
      <w:r>
        <w:t>praxeologia</w:t>
      </w:r>
      <w:proofErr w:type="spellEnd"/>
      <w:r>
        <w:t xml:space="preserve"> é um importante elemento da Teoria Antropológica do Didático (TAD), neste aspecto iremos basear-se nela para a realização da análise </w:t>
      </w:r>
      <w:proofErr w:type="spellStart"/>
      <w:r>
        <w:t>praxeológica</w:t>
      </w:r>
      <w:proofErr w:type="spellEnd"/>
      <w:r>
        <w:t xml:space="preserve"> das práticas realizada através da utilização do software </w:t>
      </w:r>
      <w:proofErr w:type="spellStart"/>
      <w:r>
        <w:t>GeoGebra</w:t>
      </w:r>
      <w:proofErr w:type="spellEnd"/>
      <w:r>
        <w:t xml:space="preserve">. Desse modo, desenvolvemos um minicurso com os professores da Educação Básica focando no uso do </w:t>
      </w:r>
      <w:proofErr w:type="spellStart"/>
      <w:r>
        <w:t>GeoGebra</w:t>
      </w:r>
      <w:proofErr w:type="spellEnd"/>
      <w:r>
        <w:t xml:space="preserve">, apresentando assim as ferramentas presente neste software e sugestões de como </w:t>
      </w:r>
      <w:r>
        <w:lastRenderedPageBreak/>
        <w:t xml:space="preserve">utilizá-lo em sala. Uma das etapas do minicurso foi a aplicação de uma oficina com os alunos da Educação Básica com a participação dos seus professores, assim os docentes também desenvolveram na prática atividades do minicurso. A pesquisa foi desenvolvida na Universidade Federal do Cariri (UFCA) no Instituto de Formação de Educadores (IFE), no Laboratório de Educação Matemática e Tecnológica (LABMATEC). </w:t>
      </w:r>
    </w:p>
    <w:p w:rsidR="00C95A90" w:rsidRDefault="00A44920">
      <w:pPr>
        <w:spacing w:after="0" w:line="259" w:lineRule="auto"/>
        <w:ind w:left="708" w:firstLine="0"/>
        <w:jc w:val="left"/>
      </w:pPr>
      <w:r>
        <w:t xml:space="preserve"> </w:t>
      </w:r>
    </w:p>
    <w:p w:rsidR="00C95A90" w:rsidRDefault="00A44920">
      <w:pPr>
        <w:pStyle w:val="Ttulo1"/>
        <w:ind w:left="-5"/>
      </w:pPr>
      <w:r>
        <w:t xml:space="preserve">2 TECNOLOGIAS DIGITAIS NO ENSINO DA MATEMÁTICA E O SOFWARE GEOGEBRA </w:t>
      </w:r>
    </w:p>
    <w:p w:rsidR="00C95A90" w:rsidRDefault="00A44920">
      <w:pPr>
        <w:spacing w:after="0" w:line="259" w:lineRule="auto"/>
        <w:ind w:firstLine="0"/>
        <w:jc w:val="left"/>
      </w:pPr>
      <w:r>
        <w:rPr>
          <w:b/>
        </w:rPr>
        <w:t xml:space="preserve"> </w:t>
      </w:r>
    </w:p>
    <w:p w:rsidR="00C95A90" w:rsidRDefault="00A44920">
      <w:pPr>
        <w:spacing w:after="71"/>
        <w:ind w:left="-15"/>
      </w:pPr>
      <w:r>
        <w:t xml:space="preserve">Nota-se avanços das tecnologias desde o século XX, com maior ênfase as digitais, através do desenvolvimento científico as tecnologias foram se expandido e se manifestando cada vez mais na sociedade e com maior destaque nas escolas, como grande aliada do professor. É notório que, o conhecimento científico e tecnológico tem tomado uma maior proporção em todos os locais, em ambientes de trabalho, em escolas, entre outros, ou seja, estamos cercados de aparatos à nossa disposição para uso cotidiano e no ambiente escolar. Além disso, percebemos que com a informática surgem também vários softwares voltados ao ensino de Matemática com ênfase na visualização de recurso, que antes não se era possível utilizar, possibilitando o uso de diferentes estratégias de ensino. Logo, as aulas estão cada vez mais atrativas, pois despertam no estudante a vontade de conhecer e aprender como manipular essas ferramentas facilitadoras de ensino. </w:t>
      </w:r>
    </w:p>
    <w:p w:rsidR="00264679" w:rsidRDefault="00A44920" w:rsidP="00BF6909">
      <w:pPr>
        <w:spacing w:after="170" w:line="240" w:lineRule="auto"/>
        <w:ind w:left="2268" w:firstLine="0"/>
        <w:rPr>
          <w:sz w:val="20"/>
        </w:rPr>
      </w:pPr>
      <w:r>
        <w:rPr>
          <w:sz w:val="20"/>
        </w:rPr>
        <w:t xml:space="preserve">Compreendemos que o conhecimento é ampliado pelo operar das ferramentas digitais, pois permitem outras possibilidades de compreensão dos conteúdos matemáticos, uma vez que tornam suas atividades práticas e dinâmicas, bem como contribuem para inovar as metodologias, desencadeando discernimento e domínio do que realizam na e para formação de professores. (FONSECA, 2020, p. 15) </w:t>
      </w:r>
    </w:p>
    <w:p w:rsidR="00C95A90" w:rsidRDefault="00264679" w:rsidP="00264679">
      <w:pPr>
        <w:spacing w:after="170" w:line="315" w:lineRule="auto"/>
        <w:ind w:firstLine="888"/>
      </w:pPr>
      <w:r>
        <w:rPr>
          <w:sz w:val="20"/>
        </w:rPr>
        <w:t xml:space="preserve"> </w:t>
      </w:r>
      <w:r w:rsidR="00A44920">
        <w:t xml:space="preserve">Podemos então considerar, que as tecnologias digitais podem servir como um apoio e complemento ao ensino. Percebemos que “[...] as tecnologias digitais têm influenciado o nosso modo de pensar, agir e relacionar criando, assim, uma nova cultura e um novo modelo de sociedade, o que pode implicar diretamente nos planejamentos das aulas[...]” (FONSECA, 2020, p.02). Um software bastante utilizado pelos docentes no âmbito da matemática é o </w:t>
      </w:r>
      <w:proofErr w:type="spellStart"/>
      <w:r w:rsidR="00A44920">
        <w:t>GeoGebra</w:t>
      </w:r>
      <w:proofErr w:type="spellEnd"/>
      <w:r w:rsidR="00A44920">
        <w:t xml:space="preserve"> que é um aplicativo da matemática dinâmica que junta conhecimentos sobre geometria, cálculo e álgebra. </w:t>
      </w:r>
    </w:p>
    <w:p w:rsidR="00C95A90" w:rsidRDefault="00A44920">
      <w:pPr>
        <w:ind w:left="-15"/>
      </w:pPr>
      <w:r>
        <w:t xml:space="preserve">O software </w:t>
      </w:r>
      <w:proofErr w:type="spellStart"/>
      <w:r>
        <w:t>GeoGebra</w:t>
      </w:r>
      <w:proofErr w:type="spellEnd"/>
      <w:r>
        <w:t xml:space="preserve"> foi desenvolvido pelo professor e pesquisador </w:t>
      </w:r>
      <w:proofErr w:type="spellStart"/>
      <w:r>
        <w:t>Markus</w:t>
      </w:r>
      <w:proofErr w:type="spellEnd"/>
      <w:r>
        <w:t xml:space="preserve"> </w:t>
      </w:r>
      <w:proofErr w:type="spellStart"/>
      <w:r>
        <w:t>Hohenwarter</w:t>
      </w:r>
      <w:proofErr w:type="spellEnd"/>
      <w:r>
        <w:t xml:space="preserve">, no ano de 2001. O seu principal objetivo foi utilizar este software na educação matemática, com ênfase nas escolas, podendo assim ser utilizado em todos os níveis de ensino. Atualmente, segundo os dados fornecidos pelo Instituto São Paulo </w:t>
      </w:r>
      <w:proofErr w:type="spellStart"/>
      <w:r>
        <w:t>GeoGebra</w:t>
      </w:r>
      <w:proofErr w:type="spellEnd"/>
      <w:r>
        <w:t xml:space="preserve">, este </w:t>
      </w:r>
      <w:r>
        <w:lastRenderedPageBreak/>
        <w:t xml:space="preserve">software é usado em 190 países, traduzido para 55 idiomas, são mais de 300 mil downloads mensais, com 62 Institutos em 44 países, para dar suporte ao seu uso. Além disso, recebeu diversos prêmios de software educacional na Europa e nos EUA e foi instalado em milhões de laptops em vários países ao redor do mundo. </w:t>
      </w:r>
    </w:p>
    <w:p w:rsidR="00C95A90" w:rsidRDefault="00A44920" w:rsidP="00BF6909">
      <w:pPr>
        <w:spacing w:after="155" w:line="240" w:lineRule="auto"/>
        <w:ind w:left="2268" w:right="-6" w:hanging="11"/>
      </w:pPr>
      <w:r>
        <w:t xml:space="preserve"> </w:t>
      </w:r>
      <w:proofErr w:type="gramStart"/>
      <w:r>
        <w:rPr>
          <w:sz w:val="20"/>
        </w:rPr>
        <w:t>[...] De</w:t>
      </w:r>
      <w:proofErr w:type="gramEnd"/>
      <w:r>
        <w:rPr>
          <w:sz w:val="20"/>
        </w:rPr>
        <w:t xml:space="preserve"> forma prática, as informações na Janela de Álgebra correspondem aos elementos geométricos presentes na Janela de Visualização Gráfica, assim o software tem a capacidade de trabalhar com variáveis vinculadas a números, vetores e pontos, ou seja, uma expressão em Álgebra corresponde a um objeto concreto na Geometria e vice-versa (LEME, 2017, p. 55). </w:t>
      </w:r>
    </w:p>
    <w:p w:rsidR="00C95A90" w:rsidRDefault="00A44920">
      <w:pPr>
        <w:ind w:left="-15"/>
      </w:pPr>
      <w:r>
        <w:t xml:space="preserve"> Além disso, é uma ferramenta prática e possui uma interface amigável que facilita a criação de construções matemáticas e modelos que permitem explorações interativas, arrastando objetos e alterando parâmetros. Nele é possível encontrar algumas características importantes como gráficos, representações algébricas e tabelas que estão interligadas e possuem características dinâmicas; interface amigável, com vários recursos sofisticados; ferramenta de produção de aplicativos interativos em páginas WEB; disponível em vários idiomas para milhões de usuários em torno do mundo; software gratuito e de código aberto. </w:t>
      </w:r>
    </w:p>
    <w:p w:rsidR="00C95A90" w:rsidRDefault="00A44920">
      <w:pPr>
        <w:spacing w:after="0" w:line="259" w:lineRule="auto"/>
        <w:ind w:left="708" w:firstLine="0"/>
        <w:jc w:val="left"/>
      </w:pPr>
      <w:r>
        <w:t xml:space="preserve"> </w:t>
      </w:r>
    </w:p>
    <w:p w:rsidR="00C95A90" w:rsidRDefault="00A44920">
      <w:pPr>
        <w:pStyle w:val="Ttulo2"/>
        <w:ind w:left="-5"/>
      </w:pPr>
      <w:r>
        <w:t xml:space="preserve">2.1 Teoria Antropológica do Didático  </w:t>
      </w:r>
    </w:p>
    <w:p w:rsidR="00C95A90" w:rsidRDefault="00A44920">
      <w:pPr>
        <w:spacing w:after="0" w:line="259" w:lineRule="auto"/>
        <w:ind w:left="708" w:firstLine="0"/>
        <w:jc w:val="left"/>
      </w:pPr>
      <w:r>
        <w:t xml:space="preserve"> </w:t>
      </w:r>
    </w:p>
    <w:p w:rsidR="00C95A90" w:rsidRDefault="00A44920">
      <w:pPr>
        <w:spacing w:after="73"/>
        <w:ind w:left="-15"/>
      </w:pPr>
      <w:r>
        <w:t xml:space="preserve"> A Teoria Antropológica do Didático (TAD) foi desenvolvida por </w:t>
      </w:r>
      <w:proofErr w:type="spellStart"/>
      <w:r>
        <w:t>Chevallard</w:t>
      </w:r>
      <w:proofErr w:type="spellEnd"/>
      <w:r>
        <w:t xml:space="preserve"> (1992) com o intuito de promover noções fundamentais, apresentando-se assim como um instrumento de análises. </w:t>
      </w:r>
      <w:proofErr w:type="gramStart"/>
      <w:r>
        <w:t>Dois viés</w:t>
      </w:r>
      <w:proofErr w:type="gramEnd"/>
      <w:r>
        <w:t xml:space="preserve"> importantes que são os focos de estudos envolvendo a TAD são a prática docente e a análises de livros didáticos. Além disso, apresenta-se como um caminho necessário para a realização de análises de determinadas situações de ensino, sendo está um dos modelos didáticos desenvolvido através da didática da matemática. Sob um olhar desta teoria podemos observar o avanço na aprendizagem, bem como onde </w:t>
      </w:r>
      <w:proofErr w:type="spellStart"/>
      <w:r>
        <w:t>devese</w:t>
      </w:r>
      <w:proofErr w:type="spellEnd"/>
      <w:r>
        <w:t xml:space="preserve"> melhorar. Nesta </w:t>
      </w:r>
      <w:proofErr w:type="spellStart"/>
      <w:r>
        <w:t>pespectiva</w:t>
      </w:r>
      <w:proofErr w:type="spellEnd"/>
      <w:r>
        <w:t xml:space="preserve">, </w:t>
      </w:r>
      <w:proofErr w:type="spellStart"/>
      <w:r>
        <w:t>Chevallard</w:t>
      </w:r>
      <w:proofErr w:type="spellEnd"/>
      <w:r>
        <w:t xml:space="preserve"> (1999) comenta: </w:t>
      </w:r>
    </w:p>
    <w:p w:rsidR="00C95A90" w:rsidRDefault="00A44920" w:rsidP="00BF6909">
      <w:pPr>
        <w:spacing w:after="155" w:line="240" w:lineRule="auto"/>
        <w:ind w:left="2268" w:right="-6" w:hanging="11"/>
      </w:pPr>
      <w:r>
        <w:rPr>
          <w:sz w:val="20"/>
        </w:rPr>
        <w:t xml:space="preserve">A Teoria Antropologia do Didático, segundo </w:t>
      </w:r>
      <w:proofErr w:type="spellStart"/>
      <w:r>
        <w:rPr>
          <w:sz w:val="20"/>
        </w:rPr>
        <w:t>Chevallard</w:t>
      </w:r>
      <w:proofErr w:type="spellEnd"/>
      <w:r>
        <w:rPr>
          <w:sz w:val="20"/>
        </w:rPr>
        <w:t>, estuda o homem frente ao saber matemático, e mais especificamente, frente a situações matemáticas. Uma razão para a utilização do termo “antropológico” é que a TAD situa a atividade matemática e, em consequência, o estudo da matemática no âmbito do conjunto de atividades humanas e de instituições sociais (</w:t>
      </w:r>
      <w:proofErr w:type="spellStart"/>
      <w:r>
        <w:rPr>
          <w:sz w:val="20"/>
        </w:rPr>
        <w:t>Chevallard</w:t>
      </w:r>
      <w:proofErr w:type="spellEnd"/>
      <w:r>
        <w:rPr>
          <w:sz w:val="20"/>
        </w:rPr>
        <w:t xml:space="preserve">, p.1, 1999). </w:t>
      </w:r>
    </w:p>
    <w:p w:rsidR="00264679" w:rsidRDefault="00A44920" w:rsidP="00264679">
      <w:pPr>
        <w:ind w:left="-15"/>
      </w:pPr>
      <w:r>
        <w:t xml:space="preserve">A Didática da Matemática, segundo </w:t>
      </w:r>
      <w:proofErr w:type="spellStart"/>
      <w:r>
        <w:t>Almoulound</w:t>
      </w:r>
      <w:proofErr w:type="spellEnd"/>
      <w:r>
        <w:t xml:space="preserve"> (2015) considera em sua essência que tudo pode ser considerado objeto, destacando entre eles três relevantes, sendo: as instituições, os indivíduos e as posições dos indivíduos nas instituições, tomando assim os indivíduos como sujeitos dessas instituições. O conceito primitivo de Instituição é conceituado por </w:t>
      </w:r>
      <w:proofErr w:type="spellStart"/>
      <w:r>
        <w:t>Chevallard</w:t>
      </w:r>
      <w:proofErr w:type="spellEnd"/>
      <w:r>
        <w:t xml:space="preserve"> (1996, p. 129), nos seguintes termos</w:t>
      </w:r>
      <w:r w:rsidR="00264679">
        <w:t xml:space="preserve">: “[...] a instituição pode se </w:t>
      </w:r>
      <w:r w:rsidR="00264679">
        <w:lastRenderedPageBreak/>
        <w:t xml:space="preserve">quase tudo o que quer que seja. Uma escola é uma instituição, tal como o é uma sala de aula mas existe igualmente a instituição &lt;trabalhos orientados&gt;, a instituição &lt;curso&gt;, a instituição &lt;família&gt;”. </w:t>
      </w:r>
    </w:p>
    <w:p w:rsidR="00264679" w:rsidRDefault="00264679" w:rsidP="00264679">
      <w:pPr>
        <w:ind w:left="-15"/>
      </w:pPr>
      <w:r>
        <w:t xml:space="preserve">Podemos considerar ainda que, outro elemento importante para a TAD é a noção de </w:t>
      </w:r>
      <w:proofErr w:type="spellStart"/>
      <w:r>
        <w:t>praxeologia</w:t>
      </w:r>
      <w:proofErr w:type="spellEnd"/>
      <w:r>
        <w:t xml:space="preserve">, que também é apresentada por </w:t>
      </w:r>
      <w:proofErr w:type="spellStart"/>
      <w:r>
        <w:t>Chevallard</w:t>
      </w:r>
      <w:proofErr w:type="spellEnd"/>
      <w:r>
        <w:t xml:space="preserve"> (1996). A </w:t>
      </w:r>
      <w:proofErr w:type="spellStart"/>
      <w:r>
        <w:t>praxeologia</w:t>
      </w:r>
      <w:proofErr w:type="spellEnd"/>
      <w:r>
        <w:t xml:space="preserve"> é composta por determinada tarefa (T) que utilizará de uma ou mais técnicas (τ), constituindo um bloco prático-técnico (o saber-fazer). As técnicas são amparadas por uma tecnologia (</w:t>
      </w:r>
      <w:r>
        <w:rPr>
          <w:rFonts w:ascii="Cambria Math" w:hAnsi="Cambria Math" w:cs="Cambria Math"/>
        </w:rPr>
        <w:t>𝜃</w:t>
      </w:r>
      <w:r>
        <w:t>) e justificadas por uma teoria (Θ), ou por um bloco tecnológico-teórico (</w:t>
      </w:r>
      <w:proofErr w:type="gramStart"/>
      <w:r>
        <w:t>o logos</w:t>
      </w:r>
      <w:proofErr w:type="gramEnd"/>
      <w:r>
        <w:t xml:space="preserve">). Sobre isso </w:t>
      </w:r>
      <w:proofErr w:type="spellStart"/>
      <w:r>
        <w:t>Almouloud</w:t>
      </w:r>
      <w:proofErr w:type="spellEnd"/>
      <w:r>
        <w:t xml:space="preserve"> (2015), ressalta:  </w:t>
      </w:r>
    </w:p>
    <w:p w:rsidR="00264679" w:rsidRDefault="00264679" w:rsidP="00264679">
      <w:pPr>
        <w:ind w:left="-15"/>
      </w:pPr>
      <w:r>
        <w:t xml:space="preserve">Um saber diz respeito a uma organização </w:t>
      </w:r>
      <w:proofErr w:type="spellStart"/>
      <w:r>
        <w:t>praxeológica</w:t>
      </w:r>
      <w:proofErr w:type="spellEnd"/>
      <w:r>
        <w:t xml:space="preserve"> particular que lhe permite funcionar como uma máquina de produção de conhecimento. A </w:t>
      </w:r>
      <w:proofErr w:type="spellStart"/>
      <w:r>
        <w:t>praxeologia</w:t>
      </w:r>
      <w:proofErr w:type="spellEnd"/>
      <w:r>
        <w:t xml:space="preserve"> associada a um saber é a junção de dois blocos: saber-fazer (técnico/prático) e saber (tecnológico/teórico) cuja ecologia refere-se às condições de sua construção e vida nas instituições de ensino que a produz, utiliza ou transpõe. Consideram-se aqui as condições de “sobrevivência” de um saber e de um saber-fazer em analogia a um estudo ecológico: qual o habitat? Qual o nicho? Qual o papel desse saber ou saber-fazer na “cadeia alimentar”? Tais respostas ajudam na compreensão da organização matemática determinada por uma </w:t>
      </w:r>
      <w:proofErr w:type="spellStart"/>
      <w:r>
        <w:t>praxeologia</w:t>
      </w:r>
      <w:proofErr w:type="spellEnd"/>
      <w:r>
        <w:t xml:space="preserve">. (ALMOULOUD, 2015, p.12) </w:t>
      </w:r>
    </w:p>
    <w:p w:rsidR="00264679" w:rsidRDefault="00264679" w:rsidP="00264679">
      <w:pPr>
        <w:ind w:left="-15"/>
      </w:pPr>
      <w:r>
        <w:t xml:space="preserve">É notório então que qualquer tipo de tarefa vem acompanhada dos blocos </w:t>
      </w:r>
      <w:proofErr w:type="spellStart"/>
      <w:r>
        <w:t>práticotécnico</w:t>
      </w:r>
      <w:proofErr w:type="spellEnd"/>
      <w:r>
        <w:t xml:space="preserve"> e o tecnológico-teórico, o que remonta assim os elementos presentes na </w:t>
      </w:r>
      <w:proofErr w:type="spellStart"/>
      <w:r>
        <w:t>praxeologia</w:t>
      </w:r>
      <w:proofErr w:type="spellEnd"/>
      <w:r>
        <w:t xml:space="preserve">. Porém, o que ainda se percebe em estudos ligados à formação inicial dos professores da área da matemática é que existe uma forte tendência de abordar prioritariamente as tarefas e as técnicas sem relacionar com a tecnologia e a teoria, retirando o sentido da finalidade dos conceitos matemáticos abordados na sua formação, segundo Rodrigues (2019). Desse modo, podemos dizer que as </w:t>
      </w:r>
      <w:proofErr w:type="spellStart"/>
      <w:r>
        <w:t>praxeologias</w:t>
      </w:r>
      <w:proofErr w:type="spellEnd"/>
      <w:r>
        <w:t xml:space="preserve"> apresentam-se como uma ferramenta que facilita a análise de todo processo didático e da complexidade crescente das organizações matemáticas.  </w:t>
      </w:r>
    </w:p>
    <w:p w:rsidR="00C95A90" w:rsidRDefault="00A44920">
      <w:pPr>
        <w:pStyle w:val="Ttulo1"/>
        <w:ind w:left="-5"/>
      </w:pPr>
      <w:r>
        <w:t xml:space="preserve">3 METODOLOGIA  </w:t>
      </w:r>
    </w:p>
    <w:p w:rsidR="00C95A90" w:rsidRDefault="00A44920">
      <w:pPr>
        <w:spacing w:after="0" w:line="259" w:lineRule="auto"/>
        <w:ind w:firstLine="0"/>
        <w:jc w:val="left"/>
      </w:pPr>
      <w:r>
        <w:rPr>
          <w:b/>
        </w:rPr>
        <w:t xml:space="preserve"> </w:t>
      </w:r>
    </w:p>
    <w:p w:rsidR="00C95A90" w:rsidRDefault="00A44920">
      <w:pPr>
        <w:ind w:left="-15"/>
      </w:pPr>
      <w:r>
        <w:t xml:space="preserve">O trabalho aqui descrito emergiu do projeto de pesquisa intitulado “Saberes Docentes e Tecnologias Digitais no Ensino de Matemática: Construção de um Modelo Epistemológico de Referência. ” Logo a metodologia desenvolvida no presente projeto foi de cunho </w:t>
      </w:r>
      <w:r>
        <w:lastRenderedPageBreak/>
        <w:t xml:space="preserve">quantitativo, de acordo com </w:t>
      </w:r>
      <w:proofErr w:type="spellStart"/>
      <w:r>
        <w:t>Salkind</w:t>
      </w:r>
      <w:proofErr w:type="spellEnd"/>
      <w:r>
        <w:t xml:space="preserve"> (2017, p. 34) “na pesquisa quantitativa, buscamos medir e descrever com precisão os fenômenos que estudamos, a fim de identificar padrões e relações causais. ” Partindo deste pressuposto, a pesquisa ocorreu em dois semestres, onde no primeiro aconteceu a fase de preparação tanto do minicurso que seria desenvolvido com os professores da educação básica, como também da oficina que foi aplicada pelos professores envolvidos no minicurso, partindo dos conhecimentos que foram adquiridos. Desse modo, o primeiro semestre do projeto foi destinado ao levantamento de dados assim como, leituras bibliográficas e preparação da sequência didática amparada no Modelo Epistemológico de Referência (MER), baseado no trabalho de Rodrigues (2019) </w:t>
      </w:r>
    </w:p>
    <w:p w:rsidR="00C95A90" w:rsidRDefault="00A44920">
      <w:pPr>
        <w:ind w:left="-15"/>
      </w:pPr>
      <w:r>
        <w:t xml:space="preserve">Ainda assim, realizamos o embasamento teórico através de pesquisas e estudos para a concretização desta etapa, estudando o </w:t>
      </w:r>
      <w:proofErr w:type="spellStart"/>
      <w:r>
        <w:t>GeoGebra</w:t>
      </w:r>
      <w:proofErr w:type="spellEnd"/>
      <w:r>
        <w:t xml:space="preserve">, bem como suas aplicações para que pudéssemos entender e compreender melhor suas ferramentas e assim manuseá-las. Nesta etapa, ainda foi realizado um levantamento considerado de suma importância, onde focamos nas pesquisas que se direcionaram ao estudo do </w:t>
      </w:r>
      <w:proofErr w:type="spellStart"/>
      <w:r>
        <w:t>GeoGebra</w:t>
      </w:r>
      <w:proofErr w:type="spellEnd"/>
      <w:r>
        <w:t xml:space="preserve">, tanto no ensino fundamental quanto no médio. Além disso, em decorrência a esses estudos foi possível desenvolver o minicurso.  </w:t>
      </w:r>
    </w:p>
    <w:p w:rsidR="00C95A90" w:rsidRDefault="00A44920">
      <w:pPr>
        <w:ind w:left="-15"/>
      </w:pPr>
      <w:r>
        <w:t xml:space="preserve">Já no segundo semestre do projeto realizamos o desenvolvimento da aplicação do minicurso que se dividiu em quatro momentos. Os participantes foram professores em formação continuada, sendo estes docentes de ensino fundamental da rede básica de ensino. O local do encontro desta aplicação foi na Universidade Federal do Cariri (UFCA), no Instituto de Formação de Educadores (IFE), que se localiza na cidade de Brejo Santo- CE. A etapa de aplicação do minicurso subdividiu-se em quatro encontros sendo eles: apresentação do conceito sobre tecnologias digitais; conhecendo o </w:t>
      </w:r>
      <w:proofErr w:type="spellStart"/>
      <w:r>
        <w:t>GeoGebra</w:t>
      </w:r>
      <w:proofErr w:type="spellEnd"/>
      <w:r>
        <w:t xml:space="preserve">; produção da oficina e </w:t>
      </w:r>
      <w:proofErr w:type="spellStart"/>
      <w:r>
        <w:t>por</w:t>
      </w:r>
      <w:proofErr w:type="spellEnd"/>
      <w:r>
        <w:t xml:space="preserve"> fim a aplicação da oficina desenvolvida no minicurso. Esses momentos foram realizados de forma síncrona e também assíncrona, onde iremos detalhar nas análises deste projeto.  </w:t>
      </w:r>
    </w:p>
    <w:p w:rsidR="00C95A90" w:rsidRDefault="00A44920">
      <w:pPr>
        <w:ind w:left="-15"/>
      </w:pPr>
      <w:r>
        <w:t xml:space="preserve">No último encontro do minicurso, como já foi ressaltado desenvolvemos a aplicação de uma oficina preparada pelos próprios professores que participaram do minicurso, onde o público alvo foram os alunos do 9° ano de uma escola de rede pública de ensino. Optamos também por realizar este momento da oficina no Laboratório de Educação Matemática e Tecnológica (LABMATEC), utilizamos algumas ferramentas tecnológicas para nos auxiliar na coleta de dados da pesquisa, sendo eles: notebook, </w:t>
      </w:r>
      <w:proofErr w:type="spellStart"/>
      <w:r>
        <w:t>tablets</w:t>
      </w:r>
      <w:proofErr w:type="spellEnd"/>
      <w:r>
        <w:t xml:space="preserve">, celulares para conhecimento do software, data show, Open </w:t>
      </w:r>
      <w:proofErr w:type="spellStart"/>
      <w:r>
        <w:t>Broadcaster</w:t>
      </w:r>
      <w:proofErr w:type="spellEnd"/>
      <w:r>
        <w:t xml:space="preserve"> Software (OBS </w:t>
      </w:r>
      <w:proofErr w:type="spellStart"/>
      <w:r>
        <w:t>studie</w:t>
      </w:r>
      <w:proofErr w:type="spellEnd"/>
      <w:r>
        <w:t xml:space="preserve">) para colheita de som e </w:t>
      </w:r>
      <w:r>
        <w:lastRenderedPageBreak/>
        <w:t xml:space="preserve">imagem. Esclarecemos que a utilização do som e imagem foi autorizado pelos participantes da oficina. </w:t>
      </w:r>
    </w:p>
    <w:p w:rsidR="00C95A90" w:rsidRDefault="00A44920">
      <w:pPr>
        <w:spacing w:after="0" w:line="259" w:lineRule="auto"/>
        <w:ind w:left="708" w:firstLine="0"/>
        <w:jc w:val="left"/>
      </w:pPr>
      <w:r>
        <w:t xml:space="preserve"> </w:t>
      </w:r>
    </w:p>
    <w:p w:rsidR="00C95A90" w:rsidRDefault="00A44920">
      <w:pPr>
        <w:pStyle w:val="Ttulo1"/>
        <w:ind w:left="-5"/>
      </w:pPr>
      <w:r>
        <w:t xml:space="preserve">4 APRESENTAÇÃO E DISCUSSÃO DOS RESULTADOS </w:t>
      </w:r>
    </w:p>
    <w:p w:rsidR="00C95A90" w:rsidRDefault="00A44920">
      <w:pPr>
        <w:spacing w:after="0" w:line="259" w:lineRule="auto"/>
        <w:ind w:firstLine="0"/>
        <w:jc w:val="left"/>
      </w:pPr>
      <w:r>
        <w:rPr>
          <w:b/>
        </w:rPr>
        <w:t xml:space="preserve"> </w:t>
      </w:r>
    </w:p>
    <w:p w:rsidR="00C95A90" w:rsidRDefault="00A44920">
      <w:pPr>
        <w:ind w:left="-15"/>
      </w:pPr>
      <w:r>
        <w:t xml:space="preserve">Abordaremos neste tópico algumas discussões referentes a utilização do </w:t>
      </w:r>
      <w:proofErr w:type="spellStart"/>
      <w:r>
        <w:t>GeoGebra</w:t>
      </w:r>
      <w:proofErr w:type="spellEnd"/>
      <w:r>
        <w:t xml:space="preserve">, durante a aplicação do minicurso, assim detalharemos os quatro momentos desenvolvidos através de </w:t>
      </w:r>
      <w:proofErr w:type="spellStart"/>
      <w:r>
        <w:t>subtópicos</w:t>
      </w:r>
      <w:proofErr w:type="spellEnd"/>
      <w:r>
        <w:t xml:space="preserve">. Além disso, apresentaremos a exploração do software tanto pelos professores no minicurso, como também pelos alunos na oficina, a fim de identificarmos as </w:t>
      </w:r>
      <w:proofErr w:type="spellStart"/>
      <w:r>
        <w:t>praxeologias</w:t>
      </w:r>
      <w:proofErr w:type="spellEnd"/>
      <w:r>
        <w:t xml:space="preserve"> utilizadas, sob um olhar da Teoria Antropológica do Didático (TAD). </w:t>
      </w:r>
    </w:p>
    <w:p w:rsidR="00C95A90" w:rsidRDefault="00A44920">
      <w:pPr>
        <w:spacing w:after="0" w:line="259" w:lineRule="auto"/>
        <w:ind w:left="52" w:firstLine="0"/>
        <w:jc w:val="center"/>
      </w:pPr>
      <w:r>
        <w:rPr>
          <w:sz w:val="22"/>
        </w:rPr>
        <w:t xml:space="preserve"> </w:t>
      </w:r>
    </w:p>
    <w:p w:rsidR="00C95A90" w:rsidRDefault="00A44920">
      <w:pPr>
        <w:pStyle w:val="Ttulo2"/>
        <w:ind w:left="-5"/>
      </w:pPr>
      <w:r>
        <w:t xml:space="preserve">4.1 Momento I </w:t>
      </w:r>
    </w:p>
    <w:p w:rsidR="00C95A90" w:rsidRDefault="00A44920">
      <w:pPr>
        <w:spacing w:after="0" w:line="259" w:lineRule="auto"/>
        <w:ind w:left="708" w:firstLine="0"/>
        <w:jc w:val="left"/>
      </w:pPr>
      <w:r>
        <w:t xml:space="preserve"> </w:t>
      </w:r>
    </w:p>
    <w:p w:rsidR="00C95A90" w:rsidRDefault="00A44920">
      <w:pPr>
        <w:spacing w:after="73"/>
        <w:ind w:left="-15"/>
      </w:pPr>
      <w:r>
        <w:t xml:space="preserve">Este momento aconteceu de forma remota, através do </w:t>
      </w:r>
      <w:proofErr w:type="spellStart"/>
      <w:r>
        <w:t>google</w:t>
      </w:r>
      <w:proofErr w:type="spellEnd"/>
      <w:r>
        <w:t xml:space="preserve"> </w:t>
      </w:r>
      <w:proofErr w:type="spellStart"/>
      <w:r>
        <w:t>meet</w:t>
      </w:r>
      <w:proofErr w:type="spellEnd"/>
      <w:r>
        <w:t xml:space="preserve"> e foi destinado para a apresentação da proposta do nosso projeto, além da familiarização com os professores envolvidos no minicurso, assim realizamos uma acolhida.  Posteriormente, através do slide interativo apresentamos uma breve discussão sobre o que são as tecnologias digitais, abrindo espaço para os seguintes questionamentos que foram elaborados com o intuito de que os docentes percebessem a importância dessas ferramentas: O que é Tecnologia;  Qual a sua concepção a respeito das tecnologias no ensino da matemática; Qual a sua experiência com as Tecnologias Digitais; Quais as contribuições para a sua formação as TDICS trouxeram durante o período pandêmico; Como ensinar matemática utilizando recursos das TDIC (Tecnologias Digitais da Informação e Comunicação).  Em relação sobre o que é tecnologia obtivemos as seguintes respostas:  </w:t>
      </w:r>
    </w:p>
    <w:p w:rsidR="00C95A90" w:rsidRDefault="00A44920">
      <w:pPr>
        <w:spacing w:after="113" w:line="249" w:lineRule="auto"/>
        <w:ind w:left="561" w:hanging="10"/>
      </w:pPr>
      <w:r>
        <w:rPr>
          <w:i/>
          <w:sz w:val="20"/>
        </w:rPr>
        <w:t xml:space="preserve">Professor </w:t>
      </w:r>
      <w:proofErr w:type="gramStart"/>
      <w:r>
        <w:rPr>
          <w:i/>
          <w:sz w:val="20"/>
        </w:rPr>
        <w:t>1:É</w:t>
      </w:r>
      <w:proofErr w:type="gramEnd"/>
      <w:r>
        <w:rPr>
          <w:i/>
          <w:sz w:val="20"/>
        </w:rPr>
        <w:t xml:space="preserve"> uma pergunta considerada simples, porém ao mesmo tempo complexa para responder, mas eu diria que seria algo novo, algo que não seja tradicional, é até difícil de explicar, algo que busca inovar [...] </w:t>
      </w:r>
    </w:p>
    <w:p w:rsidR="00C95A90" w:rsidRDefault="00A44920">
      <w:pPr>
        <w:spacing w:after="0" w:line="249" w:lineRule="auto"/>
        <w:ind w:left="561" w:hanging="10"/>
      </w:pPr>
      <w:r>
        <w:rPr>
          <w:i/>
          <w:sz w:val="20"/>
        </w:rPr>
        <w:t xml:space="preserve">Professor 2: Acho que é utilizar técnicas, que muitas vezes é a internet que nos traz para desenvolver algum processo tanto dentro de sala aula, como também fora deste contexto, porque a tecnologia ela está em todo os lugares, não é utilizado apenas dentro e sala de aula com alguns softwares que tem e sim no nosso cotidiano, porque o nosso próprio celular é um tipo de tecnologia que tem a comunicação </w:t>
      </w:r>
    </w:p>
    <w:p w:rsidR="00C95A90" w:rsidRDefault="00A44920">
      <w:pPr>
        <w:spacing w:after="146" w:line="249" w:lineRule="auto"/>
        <w:ind w:left="561" w:hanging="10"/>
      </w:pPr>
      <w:r>
        <w:rPr>
          <w:i/>
          <w:sz w:val="20"/>
        </w:rPr>
        <w:t xml:space="preserve">[...] </w:t>
      </w:r>
    </w:p>
    <w:p w:rsidR="00C95A90" w:rsidRDefault="00A44920">
      <w:pPr>
        <w:ind w:left="-15"/>
      </w:pPr>
      <w:r>
        <w:t xml:space="preserve">Podemos perceber que o professor 2 define o conceito de tecnologia como algo que está presente em todos os lugares, o que na prática realmente esse argumento é de fato verídico, pois a tecnologia se faz presente em praticamente todos os lares brasileiros, principalmente depois do contexto pandêmico, onde as pessoas se viram praticamente </w:t>
      </w:r>
      <w:r>
        <w:lastRenderedPageBreak/>
        <w:t>obrigadas a se apropriar de ferramentas tecnológicas tanto para trabalhar como também estudar. Ademais, Fonseca (2020) ressalta justamente este contexto, onde cita que as tecnologias digitais, permitem outras possibilidades de compreensão dos conteúdos matemáticos, uma vez que tornam suas atividades práticas e dinâmicas.</w:t>
      </w:r>
      <w:r>
        <w:rPr>
          <w:i/>
          <w:sz w:val="20"/>
        </w:rPr>
        <w:t xml:space="preserve"> </w:t>
      </w:r>
    </w:p>
    <w:p w:rsidR="00C95A90" w:rsidRDefault="00A44920">
      <w:pPr>
        <w:ind w:left="-15" w:firstLine="566"/>
      </w:pPr>
      <w:r>
        <w:t xml:space="preserve">O processo educacional vem cada vez mais aderindo ao uso das tecnologias digitais, o que de certo modo facilita o ensino e aprendizagem dos estudantes, o docente deve buscar elencar a teoria vista em sala, com alguma prática que facilite o aprendizado, para que as aulas de matemática se tornem mais atrativas e interativas. Porém, com essas discussões apresentou-se também alguns pontos que ainda são considerados dificultosos, pois às vezes o educador leva para a sala de aula recursos digitais e os alunos acabam se dispersando e saindo do foco inicial da aula, nestes casos deve-se haver uma atenção maior.  </w:t>
      </w:r>
    </w:p>
    <w:p w:rsidR="00C95A90" w:rsidRDefault="00A44920">
      <w:pPr>
        <w:pStyle w:val="Ttulo2"/>
        <w:ind w:left="-5"/>
      </w:pPr>
      <w:r>
        <w:t xml:space="preserve">4.2 Momento II </w:t>
      </w:r>
    </w:p>
    <w:p w:rsidR="00C95A90" w:rsidRDefault="00A44920">
      <w:pPr>
        <w:spacing w:after="99" w:line="259" w:lineRule="auto"/>
        <w:ind w:left="708" w:firstLine="0"/>
        <w:jc w:val="left"/>
      </w:pPr>
      <w:r>
        <w:t xml:space="preserve"> </w:t>
      </w:r>
    </w:p>
    <w:p w:rsidR="00C95A90" w:rsidRDefault="00A44920">
      <w:pPr>
        <w:ind w:left="-15"/>
      </w:pPr>
      <w:r>
        <w:t xml:space="preserve">Este momento foi destinado para a explanação do </w:t>
      </w:r>
      <w:proofErr w:type="spellStart"/>
      <w:r>
        <w:t>GeoGebra</w:t>
      </w:r>
      <w:proofErr w:type="spellEnd"/>
      <w:r>
        <w:t xml:space="preserve">, onde apresentamos aos docentes um slide interativo, abordando sobre o que é o </w:t>
      </w:r>
      <w:proofErr w:type="spellStart"/>
      <w:r>
        <w:t>GeoGebra</w:t>
      </w:r>
      <w:proofErr w:type="spellEnd"/>
      <w:r>
        <w:t xml:space="preserve">, como surgiu, quais são as suas principais funções, as contribuições desta ferramenta para o ensino, entre outros. Ademais, também foi aplicada uma atividade contendo 6 questões para a fixação dos conceitos aplicados no Minicurso.  </w:t>
      </w:r>
    </w:p>
    <w:p w:rsidR="00C95A90" w:rsidRDefault="00A44920">
      <w:pPr>
        <w:ind w:left="-15"/>
      </w:pPr>
      <w:r>
        <w:t xml:space="preserve">Para melhor entendimento do que havia sido proposto, apresentamos algumas funções próprias do </w:t>
      </w:r>
      <w:proofErr w:type="spellStart"/>
      <w:r>
        <w:t>GeoGebra</w:t>
      </w:r>
      <w:proofErr w:type="spellEnd"/>
      <w:r>
        <w:t xml:space="preserve"> a fim de explanar a plataforma com os professores. Em seguida, partimos então para a parte prática, sendo esta a resolução de questões utilizando o </w:t>
      </w:r>
      <w:proofErr w:type="spellStart"/>
      <w:r>
        <w:t>GeoGebra</w:t>
      </w:r>
      <w:proofErr w:type="spellEnd"/>
      <w:r>
        <w:t>. Iniciamos com a resolução de dois exemplos básicos, com temáticas que seriam apresentadas na atividade, sendo eles: “</w:t>
      </w:r>
      <w:r>
        <w:rPr>
          <w:color w:val="14110F"/>
        </w:rPr>
        <w:t>Determine o ponto médio entre A</w:t>
      </w:r>
      <w:proofErr w:type="gramStart"/>
      <w:r>
        <w:rPr>
          <w:color w:val="14110F"/>
        </w:rPr>
        <w:t>=(</w:t>
      </w:r>
      <w:proofErr w:type="gramEnd"/>
      <w:r>
        <w:rPr>
          <w:color w:val="14110F"/>
        </w:rPr>
        <w:t xml:space="preserve">-4,1) e B=(-2,5)” e “Determine a área do ∆ABC, em que A=(-1,4), B=(1,0) e C=(3,6).”  </w:t>
      </w:r>
    </w:p>
    <w:p w:rsidR="00C95A90" w:rsidRDefault="00A44920">
      <w:pPr>
        <w:ind w:left="-15" w:firstLine="0"/>
      </w:pPr>
      <w:r>
        <w:t xml:space="preserve"> Logo após, foram expostas seis questões para serem resolvidas pelos professores, seguindo o víeis dos exemplos. Durante a resolução dessas questões foi notório a falta de domínio por parte dos professores ao manusear a ferramenta, por outro lado é perceptível o quanto utilizar esse recurso facilita o entendimento do que é proposto. Na resolução do exercício 1, apresentou-se a seguinte tarefa: “determinar a distância entre o ponto A = (-2,3) e a reta (t) 2x+3y=-4” notamos que um dos participantes obteve dificuldade em manusear a plataforma, ou seja não ocorreu uma compreensão do que havia sido proposto. Como a questão tratava-se de distância entre um ponto e a reta, inicialmente, um dos participantes usou da técnica de </w:t>
      </w:r>
      <w:r>
        <w:lastRenderedPageBreak/>
        <w:t xml:space="preserve">digitar os dois pontos na caixa de entrada, em seguida utilizou a opção própria do </w:t>
      </w:r>
      <w:proofErr w:type="spellStart"/>
      <w:r>
        <w:t>GeoGebra</w:t>
      </w:r>
      <w:proofErr w:type="spellEnd"/>
      <w:r>
        <w:t xml:space="preserve"> "Distância, comprimento ou perímetro” na janela de álgebra, e na janela de visualização clicou no ponto A em seguida na reta (t), sendo está uma técnica do próprio Software amparado pela sua tecnologia, assim obteve a resposta contida na imagem abaixo: </w:t>
      </w:r>
    </w:p>
    <w:p w:rsidR="00C95A90" w:rsidRDefault="00A44920">
      <w:pPr>
        <w:pStyle w:val="Ttulo2"/>
        <w:spacing w:after="92"/>
        <w:ind w:right="8"/>
        <w:jc w:val="center"/>
      </w:pPr>
      <w:r>
        <w:rPr>
          <w:color w:val="00000A"/>
        </w:rPr>
        <w:t>Figura 1</w:t>
      </w:r>
      <w:r>
        <w:rPr>
          <w:b w:val="0"/>
          <w:color w:val="00000A"/>
        </w:rPr>
        <w:t xml:space="preserve"> - Registro do gráfico desenvolvido pelo professor 1 </w:t>
      </w:r>
    </w:p>
    <w:p w:rsidR="00C95A90" w:rsidRDefault="00A44920">
      <w:pPr>
        <w:spacing w:after="0" w:line="259" w:lineRule="auto"/>
        <w:ind w:right="1378" w:firstLine="0"/>
        <w:jc w:val="right"/>
      </w:pPr>
      <w:r>
        <w:rPr>
          <w:noProof/>
          <w:lang w:bidi="ar-SA"/>
        </w:rPr>
        <w:drawing>
          <wp:inline distT="0" distB="0" distL="0" distR="0">
            <wp:extent cx="3760470" cy="1485900"/>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18"/>
                    <a:stretch>
                      <a:fillRect/>
                    </a:stretch>
                  </pic:blipFill>
                  <pic:spPr>
                    <a:xfrm>
                      <a:off x="0" y="0"/>
                      <a:ext cx="3760470" cy="1485900"/>
                    </a:xfrm>
                    <a:prstGeom prst="rect">
                      <a:avLst/>
                    </a:prstGeom>
                  </pic:spPr>
                </pic:pic>
              </a:graphicData>
            </a:graphic>
          </wp:inline>
        </w:drawing>
      </w:r>
      <w:r>
        <w:t xml:space="preserve"> </w:t>
      </w:r>
    </w:p>
    <w:p w:rsidR="00C95A90" w:rsidRDefault="00A44920">
      <w:pPr>
        <w:spacing w:after="3" w:line="259" w:lineRule="auto"/>
        <w:ind w:left="10" w:right="6" w:hanging="10"/>
        <w:jc w:val="center"/>
      </w:pPr>
      <w:r>
        <w:rPr>
          <w:sz w:val="20"/>
        </w:rPr>
        <w:t xml:space="preserve">Fonte: </w:t>
      </w:r>
      <w:proofErr w:type="spellStart"/>
      <w:r>
        <w:rPr>
          <w:sz w:val="20"/>
        </w:rPr>
        <w:t>GeoGebra</w:t>
      </w:r>
      <w:proofErr w:type="spellEnd"/>
      <w:r>
        <w:rPr>
          <w:sz w:val="20"/>
        </w:rPr>
        <w:t xml:space="preserve">. </w:t>
      </w:r>
    </w:p>
    <w:p w:rsidR="00C95A90" w:rsidRDefault="00A44920">
      <w:pPr>
        <w:spacing w:after="20" w:line="259" w:lineRule="auto"/>
        <w:ind w:left="46" w:firstLine="0"/>
        <w:jc w:val="center"/>
      </w:pPr>
      <w:r>
        <w:rPr>
          <w:sz w:val="20"/>
        </w:rPr>
        <w:t xml:space="preserve"> </w:t>
      </w:r>
    </w:p>
    <w:p w:rsidR="00C95A90" w:rsidRDefault="00A44920">
      <w:pPr>
        <w:ind w:left="-15" w:firstLine="578"/>
      </w:pPr>
      <w:r>
        <w:t xml:space="preserve">Durante a resolução das questões propostas, pudemos observar que ambos os participantes utilizaram as mesmas técnicas nas questões, utilizando a plataforma </w:t>
      </w:r>
      <w:proofErr w:type="spellStart"/>
      <w:r>
        <w:t>GeoGebra</w:t>
      </w:r>
      <w:proofErr w:type="spellEnd"/>
      <w:r>
        <w:t xml:space="preserve"> e suas funções, na qual foi abordado a teoria da álgebra juntamente com a geometria, a fim de encontrar soluções </w:t>
      </w:r>
      <w:proofErr w:type="spellStart"/>
      <w:r>
        <w:t>acertivas</w:t>
      </w:r>
      <w:proofErr w:type="spellEnd"/>
      <w:r>
        <w:t xml:space="preserve"> sobre o que estava sendo proposto. Os resultados dessa prática e discussão sobre a utilização do </w:t>
      </w:r>
      <w:proofErr w:type="spellStart"/>
      <w:r>
        <w:t>GeoGebra</w:t>
      </w:r>
      <w:proofErr w:type="spellEnd"/>
      <w:r>
        <w:t xml:space="preserve"> com professores em sala de aula evidenciam seu potencial para transformar o ensino e aprendizagem da matemática. Apesar dos desafios encontrados, a ferramenta mostrou-se promissora para engajar os professores, facilitar a compreensão de conceitos matemáticos e promover uma abordagem mais personalizada no processo de ensino. </w:t>
      </w:r>
    </w:p>
    <w:p w:rsidR="00C95A90" w:rsidRDefault="00A44920">
      <w:pPr>
        <w:ind w:left="-15" w:firstLine="578"/>
      </w:pPr>
      <w:r>
        <w:t xml:space="preserve">Durante esse momento ocorreu a discussão sobre a importância da utilização desse recurso tecnológico em suas aulas, a fim de pensar em uma proposta educacional a ser trabalhada com seus alunos que brevemente será apresentada no tópico seguinte e quais </w:t>
      </w:r>
      <w:proofErr w:type="spellStart"/>
      <w:r>
        <w:t>praxeologias</w:t>
      </w:r>
      <w:proofErr w:type="spellEnd"/>
      <w:r>
        <w:t xml:space="preserve"> podem ser identificadas nesse processo.  É neste contexto, que “a </w:t>
      </w:r>
      <w:proofErr w:type="spellStart"/>
      <w:r>
        <w:t>praxeologia</w:t>
      </w:r>
      <w:proofErr w:type="spellEnd"/>
      <w:r>
        <w:t xml:space="preserve"> associada a um saber é a junção dois blocos: saber-fazer (técnico/prático) e saber (tecnológico/teórico) cuja ecologia refere-se às condições de sua construção e vida nas instituições de ensino que a produz, utiliza ou transpõe” segundo </w:t>
      </w:r>
      <w:proofErr w:type="spellStart"/>
      <w:r>
        <w:t>Almouloud</w:t>
      </w:r>
      <w:proofErr w:type="spellEnd"/>
      <w:r>
        <w:t xml:space="preserve"> (2015, p.12).</w:t>
      </w:r>
      <w:r>
        <w:rPr>
          <w:sz w:val="20"/>
        </w:rPr>
        <w:t xml:space="preserve"> </w:t>
      </w:r>
    </w:p>
    <w:p w:rsidR="00C95A90" w:rsidRDefault="00A44920">
      <w:pPr>
        <w:pStyle w:val="Ttulo3"/>
        <w:ind w:left="-5"/>
      </w:pPr>
      <w:r>
        <w:t xml:space="preserve">4.3 Momentos III e IV </w:t>
      </w:r>
    </w:p>
    <w:p w:rsidR="00C95A90" w:rsidRDefault="00A44920">
      <w:pPr>
        <w:spacing w:after="99" w:line="259" w:lineRule="auto"/>
        <w:ind w:left="708" w:firstLine="0"/>
        <w:jc w:val="left"/>
      </w:pPr>
      <w:r>
        <w:t xml:space="preserve"> </w:t>
      </w:r>
    </w:p>
    <w:p w:rsidR="00C95A90" w:rsidRDefault="00A44920">
      <w:pPr>
        <w:ind w:left="-15"/>
      </w:pPr>
      <w:r>
        <w:t xml:space="preserve">O terceiro momento foi destinado para que os professores participantes do minicurso produzissem uma oficina em formato de plano de aula, utilizando-se dos conhecimentos </w:t>
      </w:r>
      <w:r>
        <w:lastRenderedPageBreak/>
        <w:t xml:space="preserve">adquirido sobre o </w:t>
      </w:r>
      <w:proofErr w:type="spellStart"/>
      <w:r>
        <w:t>GeoGebra</w:t>
      </w:r>
      <w:proofErr w:type="spellEnd"/>
      <w:r>
        <w:t xml:space="preserve">. Um destes planos, apresentava a proposta de realizar a aplicação na própria universidade. Assim o quarto e último momento do minicurso foi destinado para aplicação da oficina. O público alvo foram os alunos do 9° ano de uma escola de rede pública de ensino, realizamos este encontro na UFCA, no LABMATEC sendo este um local apropriado para a aplicação, pois possui computadores, onde os alunos utilizaram para conhecer o </w:t>
      </w:r>
      <w:proofErr w:type="spellStart"/>
      <w:r>
        <w:t>GeoGebra</w:t>
      </w:r>
      <w:proofErr w:type="spellEnd"/>
      <w:r>
        <w:t xml:space="preserve">. Assim apresentamos o </w:t>
      </w:r>
      <w:proofErr w:type="spellStart"/>
      <w:r>
        <w:t>GeoGebra</w:t>
      </w:r>
      <w:proofErr w:type="spellEnd"/>
      <w:r>
        <w:t xml:space="preserve"> para os alunos de forma dinâmica e interativa, logo após relembramos o conceito de função afim, para que os discentes pudessem resolver as questões propostas, logo foi aplicada uma atividade prática sobre o assunto em questão, onde utilizaram-se do </w:t>
      </w:r>
      <w:proofErr w:type="spellStart"/>
      <w:r>
        <w:t>GeoGebra</w:t>
      </w:r>
      <w:proofErr w:type="spellEnd"/>
      <w:r>
        <w:t xml:space="preserve"> para resolver. Foi exposto um slide interativo contendo explicações sucinta e dinâmica sobre o que é o </w:t>
      </w:r>
      <w:proofErr w:type="spellStart"/>
      <w:r>
        <w:t>GeoGebra</w:t>
      </w:r>
      <w:proofErr w:type="spellEnd"/>
      <w:r>
        <w:t xml:space="preserve">. Percebemos que os alunos desconheciam tal software, assim como também apresentavam uma certa dificuldade no seu manuseio. Para essa etapa foi dada ênfase a um determinado conteúdo, na qual os alunos já estavam familiarizados, sendo este o esboço do gráfico da função afim. Os discentes foram divididos em seis grupos, onde cada grupo tinha acesso a um computador do Laboratório, para que de maneira conjunta eles desenvolvessem a atividade.  </w:t>
      </w:r>
    </w:p>
    <w:p w:rsidR="00C95A90" w:rsidRDefault="00A44920">
      <w:pPr>
        <w:spacing w:after="148"/>
        <w:ind w:left="-15"/>
      </w:pPr>
      <w:r>
        <w:t xml:space="preserve">Como já tinha sido explicado como realizar o acesso ao software no primeiro momento do minicurso, essa etapa foi considerada fácil pelos alunos, assim cada grupo entrou no </w:t>
      </w:r>
      <w:proofErr w:type="spellStart"/>
      <w:r>
        <w:t>GeoGebra</w:t>
      </w:r>
      <w:proofErr w:type="spellEnd"/>
      <w:r>
        <w:t xml:space="preserve"> Classic através dos computadores. Logo após, os alunos passaram a manusear algumas ferramentas que o Software apresenta. Assim, foram expostas funções afim, para que cada grupo representasse o gráfico no </w:t>
      </w:r>
      <w:proofErr w:type="spellStart"/>
      <w:r>
        <w:t>GeoGebra</w:t>
      </w:r>
      <w:proofErr w:type="spellEnd"/>
      <w:r>
        <w:t xml:space="preserve">. Esse momento foi um teste de melhor visualização do que estava sendo trabalhado. </w:t>
      </w:r>
      <w:proofErr w:type="spellStart"/>
      <w:r>
        <w:t>Almouloud</w:t>
      </w:r>
      <w:proofErr w:type="spellEnd"/>
      <w:r>
        <w:t xml:space="preserve"> (2015) ressalta “um saber diz respeito a uma organização </w:t>
      </w:r>
      <w:proofErr w:type="spellStart"/>
      <w:r>
        <w:t>praxeológica</w:t>
      </w:r>
      <w:proofErr w:type="spellEnd"/>
      <w:r>
        <w:t xml:space="preserve"> particular que lhe permite funcionar como uma máquina de produção de conhecimento. ” Vale considerar que, utilizamos um aplicativo matemático, dentro dos materiais didáticos, assim o jogo </w:t>
      </w:r>
      <w:proofErr w:type="spellStart"/>
      <w:r>
        <w:t>classic</w:t>
      </w:r>
      <w:proofErr w:type="spellEnd"/>
      <w:r>
        <w:t xml:space="preserve"> utilizado foi “Gráficos e equações da Função Afim” que foi desenvolvido com o objetivo de ajudar na compreensão da construção do gráfico da função afim. O jogo apresentava uma determinada função, primeiramente os alunos deveriam calcular possíveis valores paro o x e assim quando obter os pares ordenados poderá manusear os pontos no jogo para que assim se forme o gráfico, como mostra a imagem abaixo: </w:t>
      </w:r>
    </w:p>
    <w:p w:rsidR="00C95A90" w:rsidRDefault="00A44920">
      <w:pPr>
        <w:pStyle w:val="Ttulo2"/>
        <w:spacing w:after="92"/>
        <w:ind w:right="11"/>
        <w:jc w:val="center"/>
      </w:pPr>
      <w:r>
        <w:rPr>
          <w:color w:val="00000A"/>
        </w:rPr>
        <w:lastRenderedPageBreak/>
        <w:t>Figura 2</w:t>
      </w:r>
      <w:r>
        <w:rPr>
          <w:b w:val="0"/>
          <w:color w:val="00000A"/>
        </w:rPr>
        <w:t xml:space="preserve"> - Registro do jogo “Gráfico e equações da Função Afim” </w:t>
      </w:r>
    </w:p>
    <w:p w:rsidR="00C95A90" w:rsidRDefault="00A44920">
      <w:pPr>
        <w:spacing w:after="0" w:line="259" w:lineRule="auto"/>
        <w:ind w:right="1189" w:firstLine="0"/>
        <w:jc w:val="right"/>
      </w:pPr>
      <w:r>
        <w:rPr>
          <w:noProof/>
          <w:lang w:bidi="ar-SA"/>
        </w:rPr>
        <w:drawing>
          <wp:inline distT="0" distB="0" distL="0" distR="0">
            <wp:extent cx="4000500" cy="1547495"/>
            <wp:effectExtent l="0" t="0" r="0" b="0"/>
            <wp:docPr id="1446" name="Picture 1446"/>
            <wp:cNvGraphicFramePr/>
            <a:graphic xmlns:a="http://schemas.openxmlformats.org/drawingml/2006/main">
              <a:graphicData uri="http://schemas.openxmlformats.org/drawingml/2006/picture">
                <pic:pic xmlns:pic="http://schemas.openxmlformats.org/drawingml/2006/picture">
                  <pic:nvPicPr>
                    <pic:cNvPr id="1446" name="Picture 1446"/>
                    <pic:cNvPicPr/>
                  </pic:nvPicPr>
                  <pic:blipFill>
                    <a:blip r:embed="rId19"/>
                    <a:stretch>
                      <a:fillRect/>
                    </a:stretch>
                  </pic:blipFill>
                  <pic:spPr>
                    <a:xfrm>
                      <a:off x="0" y="0"/>
                      <a:ext cx="4000500" cy="1547495"/>
                    </a:xfrm>
                    <a:prstGeom prst="rect">
                      <a:avLst/>
                    </a:prstGeom>
                  </pic:spPr>
                </pic:pic>
              </a:graphicData>
            </a:graphic>
          </wp:inline>
        </w:drawing>
      </w:r>
      <w:r>
        <w:t xml:space="preserve"> </w:t>
      </w:r>
    </w:p>
    <w:p w:rsidR="00C95A90" w:rsidRDefault="00A44920">
      <w:pPr>
        <w:spacing w:after="3" w:line="259" w:lineRule="auto"/>
        <w:ind w:left="10" w:right="6" w:hanging="10"/>
        <w:jc w:val="center"/>
      </w:pPr>
      <w:r>
        <w:rPr>
          <w:sz w:val="20"/>
        </w:rPr>
        <w:t xml:space="preserve">Fonte: </w:t>
      </w:r>
      <w:proofErr w:type="spellStart"/>
      <w:r>
        <w:rPr>
          <w:sz w:val="20"/>
        </w:rPr>
        <w:t>GeoGebra</w:t>
      </w:r>
      <w:proofErr w:type="spellEnd"/>
      <w:r>
        <w:rPr>
          <w:sz w:val="20"/>
        </w:rPr>
        <w:t xml:space="preserve">. </w:t>
      </w:r>
    </w:p>
    <w:p w:rsidR="00C95A90" w:rsidRDefault="00A44920">
      <w:pPr>
        <w:spacing w:after="18" w:line="259" w:lineRule="auto"/>
        <w:ind w:left="46" w:firstLine="0"/>
        <w:jc w:val="center"/>
      </w:pPr>
      <w:r>
        <w:rPr>
          <w:sz w:val="20"/>
        </w:rPr>
        <w:t xml:space="preserve"> </w:t>
      </w:r>
    </w:p>
    <w:p w:rsidR="00C95A90" w:rsidRDefault="00A44920">
      <w:pPr>
        <w:spacing w:after="483" w:line="357" w:lineRule="auto"/>
        <w:ind w:right="5" w:firstLine="720"/>
      </w:pPr>
      <w:r>
        <w:rPr>
          <w:color w:val="000000"/>
        </w:rPr>
        <w:t xml:space="preserve">Apresenta-se a função para que os alunos possam obter dois pares ordenados a partir da equação exposta. Desse modo, depois deste procedimento é necessário que o aluno esboce o gráfico, através das coordenadas dos pontos da função. Ao lado direito são expostas duas opções, uma de conferir se a resposta está correta, e a outra é a visualização de uma dica de resolução como mostra na imagem onde o aluno, se caso necessário, poderá acessá-la. Ao decorrer deste projeto realizamos a análise </w:t>
      </w:r>
      <w:proofErr w:type="spellStart"/>
      <w:r>
        <w:rPr>
          <w:color w:val="000000"/>
        </w:rPr>
        <w:t>praxeológica</w:t>
      </w:r>
      <w:proofErr w:type="spellEnd"/>
      <w:r>
        <w:rPr>
          <w:color w:val="000000"/>
        </w:rPr>
        <w:t xml:space="preserve"> de maneira detalhada dos seis grupos envolvidos na aplicação e percebemos que todos os seis apresentam técnicas semelhantes de resolução, devido as tarefas seguirem um mesmo padrão, sendo ela o esboço do gráfico, através de uma determinada função afim. Nesta perspectiva, Rodrigues (2019) comenta que </w:t>
      </w:r>
      <w:r>
        <w:t xml:space="preserve">existe uma forte tendência de abordar prioritariamente as tarefas e as técnicas sem relacionar com a tecnologia e a teoria, retirando o sentido da finalidade dos conceitos matemáticos abordados na sua formação.  </w:t>
      </w:r>
    </w:p>
    <w:p w:rsidR="00C95A90" w:rsidRDefault="00A44920">
      <w:pPr>
        <w:pStyle w:val="Ttulo1"/>
        <w:spacing w:after="388"/>
        <w:ind w:left="-5"/>
      </w:pPr>
      <w:r>
        <w:t xml:space="preserve">5 CONCLUSÕES </w:t>
      </w:r>
    </w:p>
    <w:p w:rsidR="00C95A90" w:rsidRDefault="00A44920">
      <w:pPr>
        <w:ind w:left="-15"/>
      </w:pPr>
      <w:r>
        <w:t xml:space="preserve">Por ser um software livre, o </w:t>
      </w:r>
      <w:proofErr w:type="spellStart"/>
      <w:r>
        <w:t>GeoGebra</w:t>
      </w:r>
      <w:proofErr w:type="spellEnd"/>
      <w:r>
        <w:t xml:space="preserve"> se torna uma opção de ensino de conteúdo, permitindo a professores e alunos a possibilidade de explorar, conjecturar, investigar tais conteúdos na construção do conhecimento matemático.  Abar e Almeida (2017) chamam atenção para o uso do software </w:t>
      </w:r>
      <w:proofErr w:type="spellStart"/>
      <w:r>
        <w:t>GeoGebra</w:t>
      </w:r>
      <w:proofErr w:type="spellEnd"/>
      <w:r>
        <w:t xml:space="preserve">, esclarecendo que sua utilização não é apenas mais um recurso tecnológico, mas também um recurso que colabora no desenvolvimento de conceitos matemáticos, uma vez que, por si só, o software não faz matemática. Com a utilização de softwares educacionais como o </w:t>
      </w:r>
      <w:proofErr w:type="spellStart"/>
      <w:r>
        <w:t>GeoGebra</w:t>
      </w:r>
      <w:proofErr w:type="spellEnd"/>
      <w:r>
        <w:t xml:space="preserve"> é possível verificar alguns conceitos e resultados matemáticos para construções e representações de objetos como figuras planas ou espaciais, fazendo com que dúvidas sejam esclarecidas, possibilitando o conhecimento e a aprendizagem de conceitos e objetos que muitas vezes são difíceis aos olhos dos alunos.  </w:t>
      </w:r>
    </w:p>
    <w:p w:rsidR="00C95A90" w:rsidRDefault="00A44920" w:rsidP="00BF6909">
      <w:pPr>
        <w:ind w:left="-15"/>
      </w:pPr>
      <w:r>
        <w:lastRenderedPageBreak/>
        <w:t xml:space="preserve">Destacamos por fim, alguns pontos positivos e negativos sobre a utilização do </w:t>
      </w:r>
      <w:proofErr w:type="spellStart"/>
      <w:r>
        <w:t>GeoGebra</w:t>
      </w:r>
      <w:proofErr w:type="spellEnd"/>
      <w:r>
        <w:t xml:space="preserve"> neste minicurso. Como ponto principal, a interatividade, ou seja, os participantes da oficina puderam explorar conceitos matemáticos de forma prática, manipulando a resolução de cálculos, gráficos e funções. Além disso, a inserção de diferentes áreas da matemática, como por exemplo a combinação geometria, álgebra e até mesmo o cálculo em um único ambiente. Por fim, destacamos alguns pontos negativos, como as dificuldades de se trabalhar com recursos tecnológicos em sala de aula, percebemos boa parte dos professores relatam o desejo de se trabalhar com as TICS, porém há uma série de problemas a serem enfrentados, como por exemplo a falta de computadores em sala de aula, além de alguns alunos não possuírem um domínio necessário no manuseio dessas ferramentas. Diante disso, seguiremos com a pesquisa em questão concretizando as etapas seguintes para obtermos resultados mais concretos, através do Modelo Epistemológico de Referência desenvolvido. </w:t>
      </w:r>
      <w:bookmarkStart w:id="0" w:name="_GoBack"/>
      <w:bookmarkEnd w:id="0"/>
    </w:p>
    <w:p w:rsidR="00C95A90" w:rsidRDefault="00A44920">
      <w:pPr>
        <w:pStyle w:val="Ttulo1"/>
        <w:spacing w:after="225"/>
        <w:ind w:left="0" w:right="9" w:firstLine="0"/>
        <w:jc w:val="center"/>
      </w:pPr>
      <w:r>
        <w:t xml:space="preserve">REFERÊNCIAS </w:t>
      </w:r>
    </w:p>
    <w:p w:rsidR="00C95A90" w:rsidRDefault="00A44920">
      <w:pPr>
        <w:spacing w:after="0" w:line="238" w:lineRule="auto"/>
        <w:ind w:left="-5" w:hanging="10"/>
        <w:jc w:val="left"/>
      </w:pPr>
      <w:r>
        <w:t xml:space="preserve">ABAR, Celina Aparecida Almeida Pereira; ALMEIDA, Marcio Vieira de. </w:t>
      </w:r>
      <w:proofErr w:type="spellStart"/>
      <w:r>
        <w:rPr>
          <w:b/>
        </w:rPr>
        <w:t>Geogebra</w:t>
      </w:r>
      <w:proofErr w:type="spellEnd"/>
      <w:r>
        <w:rPr>
          <w:b/>
        </w:rPr>
        <w:t xml:space="preserve"> como organizador de recursos tecnológicos para o ensino e aprendizagem da matemática em uma formação de professores.</w:t>
      </w:r>
      <w:r>
        <w:t xml:space="preserve"> Ensino da Matemática em Debate, São Paulo, v. 4, n. 2, p. 136-144, 2017  </w:t>
      </w:r>
    </w:p>
    <w:p w:rsidR="00C95A90" w:rsidRDefault="00A44920">
      <w:pPr>
        <w:spacing w:after="0" w:line="259" w:lineRule="auto"/>
        <w:ind w:firstLine="0"/>
        <w:jc w:val="left"/>
      </w:pPr>
      <w:r>
        <w:t xml:space="preserve"> </w:t>
      </w:r>
    </w:p>
    <w:p w:rsidR="00C95A90" w:rsidRDefault="00A44920">
      <w:pPr>
        <w:spacing w:after="5" w:line="248" w:lineRule="auto"/>
        <w:ind w:left="-5" w:hanging="10"/>
        <w:jc w:val="left"/>
      </w:pPr>
      <w:r>
        <w:rPr>
          <w:color w:val="000000"/>
        </w:rPr>
        <w:t xml:space="preserve">ALMOULOUD, </w:t>
      </w:r>
      <w:proofErr w:type="spellStart"/>
      <w:r>
        <w:rPr>
          <w:color w:val="000000"/>
        </w:rPr>
        <w:t>Saddo</w:t>
      </w:r>
      <w:proofErr w:type="spellEnd"/>
      <w:r>
        <w:rPr>
          <w:color w:val="000000"/>
        </w:rPr>
        <w:t xml:space="preserve"> Ag</w:t>
      </w:r>
      <w:r>
        <w:rPr>
          <w:b/>
          <w:color w:val="000000"/>
        </w:rPr>
        <w:t xml:space="preserve">. </w:t>
      </w:r>
      <w:proofErr w:type="spellStart"/>
      <w:r>
        <w:rPr>
          <w:b/>
          <w:color w:val="000000"/>
        </w:rPr>
        <w:t>Teoría</w:t>
      </w:r>
      <w:proofErr w:type="spellEnd"/>
      <w:r>
        <w:rPr>
          <w:b/>
          <w:color w:val="000000"/>
        </w:rPr>
        <w:t xml:space="preserve"> antropológica do didático: metodologia de análise de materiais didáticos.</w:t>
      </w:r>
      <w:r>
        <w:rPr>
          <w:color w:val="000000"/>
        </w:rPr>
        <w:t xml:space="preserve"> UNION-Revista </w:t>
      </w:r>
      <w:proofErr w:type="spellStart"/>
      <w:r>
        <w:rPr>
          <w:color w:val="000000"/>
        </w:rPr>
        <w:t>Iberoamericana</w:t>
      </w:r>
      <w:proofErr w:type="spellEnd"/>
      <w:r>
        <w:rPr>
          <w:color w:val="000000"/>
        </w:rPr>
        <w:t xml:space="preserve"> de </w:t>
      </w:r>
      <w:proofErr w:type="spellStart"/>
      <w:r>
        <w:rPr>
          <w:color w:val="000000"/>
        </w:rPr>
        <w:t>Educación</w:t>
      </w:r>
      <w:proofErr w:type="spellEnd"/>
      <w:r>
        <w:rPr>
          <w:color w:val="000000"/>
        </w:rPr>
        <w:t xml:space="preserve"> Matemática, v. 11, n. 42, 2015. </w:t>
      </w:r>
    </w:p>
    <w:p w:rsidR="00C95A90" w:rsidRDefault="00A44920">
      <w:pPr>
        <w:spacing w:after="0" w:line="259" w:lineRule="auto"/>
        <w:ind w:firstLine="0"/>
        <w:jc w:val="left"/>
      </w:pPr>
      <w:r>
        <w:rPr>
          <w:color w:val="000000"/>
        </w:rPr>
        <w:t xml:space="preserve"> </w:t>
      </w:r>
    </w:p>
    <w:p w:rsidR="00C95A90" w:rsidRDefault="00A44920">
      <w:pPr>
        <w:spacing w:after="5" w:line="248" w:lineRule="auto"/>
        <w:ind w:left="-5" w:hanging="10"/>
        <w:jc w:val="left"/>
      </w:pPr>
      <w:r>
        <w:rPr>
          <w:color w:val="000000"/>
        </w:rPr>
        <w:t xml:space="preserve">CHEVALLARD, Y. </w:t>
      </w:r>
      <w:r>
        <w:rPr>
          <w:b/>
          <w:color w:val="000000"/>
        </w:rPr>
        <w:t xml:space="preserve">Conceitos fundamentais da didática: as perspectivas trazidas por uma abordagem </w:t>
      </w:r>
      <w:proofErr w:type="spellStart"/>
      <w:r>
        <w:rPr>
          <w:b/>
          <w:color w:val="000000"/>
        </w:rPr>
        <w:t>antropologica</w:t>
      </w:r>
      <w:proofErr w:type="spellEnd"/>
      <w:r>
        <w:rPr>
          <w:b/>
          <w:color w:val="000000"/>
        </w:rPr>
        <w:t>.</w:t>
      </w:r>
      <w:r>
        <w:rPr>
          <w:color w:val="000000"/>
        </w:rPr>
        <w:t xml:space="preserve"> In: BRUN, J. (Org.). </w:t>
      </w:r>
      <w:proofErr w:type="spellStart"/>
      <w:r>
        <w:rPr>
          <w:color w:val="000000"/>
        </w:rPr>
        <w:t>Didáctica</w:t>
      </w:r>
      <w:proofErr w:type="spellEnd"/>
      <w:r>
        <w:rPr>
          <w:color w:val="000000"/>
        </w:rPr>
        <w:t xml:space="preserve"> das matemáticas. Lisboa: Instituto Piaget, 1996. p. 115-153. </w:t>
      </w:r>
    </w:p>
    <w:p w:rsidR="00C95A90" w:rsidRDefault="00A44920">
      <w:pPr>
        <w:spacing w:after="0" w:line="259" w:lineRule="auto"/>
        <w:ind w:firstLine="0"/>
        <w:jc w:val="left"/>
      </w:pPr>
      <w:r>
        <w:rPr>
          <w:color w:val="000000"/>
        </w:rPr>
        <w:t xml:space="preserve"> </w:t>
      </w:r>
    </w:p>
    <w:p w:rsidR="00C95A90" w:rsidRDefault="00A44920">
      <w:pPr>
        <w:spacing w:after="5" w:line="248" w:lineRule="auto"/>
        <w:ind w:left="-5" w:hanging="10"/>
        <w:jc w:val="left"/>
      </w:pPr>
      <w:r>
        <w:rPr>
          <w:color w:val="000000"/>
        </w:rPr>
        <w:t xml:space="preserve">CHEVALLARD, Y. (1999). </w:t>
      </w:r>
      <w:proofErr w:type="spellStart"/>
      <w:r>
        <w:rPr>
          <w:color w:val="000000"/>
        </w:rPr>
        <w:t>Analyse</w:t>
      </w:r>
      <w:proofErr w:type="spellEnd"/>
      <w:r>
        <w:rPr>
          <w:color w:val="000000"/>
        </w:rPr>
        <w:t xml:space="preserve"> </w:t>
      </w:r>
      <w:proofErr w:type="spellStart"/>
      <w:r>
        <w:rPr>
          <w:color w:val="000000"/>
        </w:rPr>
        <w:t>des</w:t>
      </w:r>
      <w:proofErr w:type="spellEnd"/>
      <w:r>
        <w:rPr>
          <w:color w:val="000000"/>
        </w:rPr>
        <w:t xml:space="preserve"> pratiques </w:t>
      </w:r>
      <w:proofErr w:type="spellStart"/>
      <w:r>
        <w:rPr>
          <w:color w:val="000000"/>
        </w:rPr>
        <w:t>enseignantes</w:t>
      </w:r>
      <w:proofErr w:type="spellEnd"/>
      <w:r>
        <w:rPr>
          <w:color w:val="000000"/>
        </w:rPr>
        <w:t xml:space="preserve"> et </w:t>
      </w:r>
      <w:proofErr w:type="spellStart"/>
      <w:r>
        <w:rPr>
          <w:color w:val="000000"/>
        </w:rPr>
        <w:t>didactique</w:t>
      </w:r>
      <w:proofErr w:type="spellEnd"/>
      <w:r>
        <w:rPr>
          <w:color w:val="000000"/>
        </w:rPr>
        <w:t xml:space="preserve"> </w:t>
      </w:r>
      <w:proofErr w:type="spellStart"/>
      <w:r>
        <w:rPr>
          <w:color w:val="000000"/>
        </w:rPr>
        <w:t>des</w:t>
      </w:r>
      <w:proofErr w:type="spellEnd"/>
      <w:r>
        <w:rPr>
          <w:color w:val="000000"/>
        </w:rPr>
        <w:t xml:space="preserve"> </w:t>
      </w:r>
      <w:proofErr w:type="spellStart"/>
      <w:r>
        <w:rPr>
          <w:color w:val="000000"/>
        </w:rPr>
        <w:t>mathematiques</w:t>
      </w:r>
      <w:proofErr w:type="spellEnd"/>
      <w:r>
        <w:rPr>
          <w:color w:val="000000"/>
        </w:rPr>
        <w:t xml:space="preserve">: </w:t>
      </w:r>
      <w:proofErr w:type="spellStart"/>
      <w:r>
        <w:rPr>
          <w:color w:val="000000"/>
        </w:rPr>
        <w:t>l’approche</w:t>
      </w:r>
      <w:proofErr w:type="spellEnd"/>
      <w:r>
        <w:rPr>
          <w:color w:val="000000"/>
        </w:rPr>
        <w:t xml:space="preserve"> </w:t>
      </w:r>
      <w:proofErr w:type="spellStart"/>
      <w:r>
        <w:rPr>
          <w:color w:val="000000"/>
        </w:rPr>
        <w:t>anthropologique</w:t>
      </w:r>
      <w:proofErr w:type="spellEnd"/>
      <w:r>
        <w:rPr>
          <w:color w:val="000000"/>
        </w:rPr>
        <w:t xml:space="preserve">. </w:t>
      </w:r>
      <w:proofErr w:type="spellStart"/>
      <w:r>
        <w:rPr>
          <w:color w:val="000000"/>
        </w:rPr>
        <w:t>Recherches</w:t>
      </w:r>
      <w:proofErr w:type="spellEnd"/>
      <w:r>
        <w:rPr>
          <w:color w:val="000000"/>
        </w:rPr>
        <w:t xml:space="preserve"> em </w:t>
      </w:r>
      <w:proofErr w:type="spellStart"/>
      <w:r>
        <w:rPr>
          <w:color w:val="000000"/>
        </w:rPr>
        <w:t>Didactique</w:t>
      </w:r>
      <w:proofErr w:type="spellEnd"/>
      <w:r>
        <w:rPr>
          <w:color w:val="000000"/>
        </w:rPr>
        <w:t xml:space="preserve"> dês </w:t>
      </w:r>
      <w:proofErr w:type="spellStart"/>
      <w:r>
        <w:rPr>
          <w:color w:val="000000"/>
        </w:rPr>
        <w:t>Mathématiques</w:t>
      </w:r>
      <w:proofErr w:type="spellEnd"/>
      <w:r>
        <w:rPr>
          <w:color w:val="000000"/>
        </w:rPr>
        <w:t xml:space="preserve">. Vol.19, no.2, pp.221-26. </w:t>
      </w:r>
    </w:p>
    <w:p w:rsidR="00C95A90" w:rsidRDefault="00A44920">
      <w:pPr>
        <w:spacing w:after="0" w:line="259" w:lineRule="auto"/>
        <w:ind w:firstLine="0"/>
        <w:jc w:val="left"/>
      </w:pPr>
      <w:r>
        <w:rPr>
          <w:color w:val="000000"/>
        </w:rPr>
        <w:t xml:space="preserve"> </w:t>
      </w:r>
    </w:p>
    <w:p w:rsidR="00C95A90" w:rsidRDefault="00A44920">
      <w:pPr>
        <w:spacing w:after="0" w:line="238" w:lineRule="auto"/>
        <w:ind w:firstLine="0"/>
        <w:jc w:val="left"/>
      </w:pPr>
      <w:r>
        <w:rPr>
          <w:color w:val="222222"/>
        </w:rPr>
        <w:t xml:space="preserve">FONSECA, Daniele Amaral et al. </w:t>
      </w:r>
      <w:r>
        <w:rPr>
          <w:b/>
          <w:color w:val="222222"/>
        </w:rPr>
        <w:t>A utilização das tecnologias digitais na formação inicial de professores de Matemática: compreensões, desafios e possibilidades.</w:t>
      </w:r>
      <w:r>
        <w:rPr>
          <w:color w:val="222222"/>
        </w:rPr>
        <w:t xml:space="preserve"> Revista Eletrônica de Educação Matemática, v. 15, n. 2, p. 1-19, 2020. </w:t>
      </w:r>
    </w:p>
    <w:p w:rsidR="00C95A90" w:rsidRDefault="00A44920">
      <w:pPr>
        <w:spacing w:after="0" w:line="259" w:lineRule="auto"/>
        <w:ind w:firstLine="0"/>
        <w:jc w:val="left"/>
      </w:pPr>
      <w:r>
        <w:rPr>
          <w:color w:val="000000"/>
        </w:rPr>
        <w:t xml:space="preserve"> </w:t>
      </w:r>
    </w:p>
    <w:p w:rsidR="00C95A90" w:rsidRDefault="00A44920">
      <w:pPr>
        <w:pStyle w:val="Ttulo2"/>
        <w:ind w:left="-5"/>
      </w:pPr>
      <w:r>
        <w:rPr>
          <w:b w:val="0"/>
        </w:rPr>
        <w:t xml:space="preserve">RODRIGUES, R. F. </w:t>
      </w:r>
      <w:r>
        <w:t>Percurso de Estudo e Pesquisa no Conceito de Função</w:t>
      </w:r>
      <w:r>
        <w:rPr>
          <w:b w:val="0"/>
        </w:rPr>
        <w:t xml:space="preserve">: Analisando o </w:t>
      </w:r>
    </w:p>
    <w:p w:rsidR="00C95A90" w:rsidRDefault="00A44920">
      <w:pPr>
        <w:spacing w:after="5" w:line="248" w:lineRule="auto"/>
        <w:ind w:left="-5" w:hanging="10"/>
        <w:jc w:val="left"/>
      </w:pPr>
      <w:r>
        <w:rPr>
          <w:color w:val="000000"/>
        </w:rPr>
        <w:t xml:space="preserve">Processo de Ensino e Aprendizagem e as Influências na Formação do Professor de Matemática. Tese de doutorado. Programa de Ciências Naturais e Matemática da Universidade Federal Rural de Pernambuco, 2019. </w:t>
      </w:r>
    </w:p>
    <w:p w:rsidR="00C95A90" w:rsidRDefault="00A44920">
      <w:pPr>
        <w:spacing w:after="0" w:line="259" w:lineRule="auto"/>
        <w:ind w:firstLine="0"/>
        <w:jc w:val="left"/>
      </w:pPr>
      <w:r>
        <w:rPr>
          <w:color w:val="000000"/>
        </w:rPr>
        <w:lastRenderedPageBreak/>
        <w:t xml:space="preserve"> </w:t>
      </w:r>
    </w:p>
    <w:p w:rsidR="00C95A90" w:rsidRDefault="00A44920">
      <w:pPr>
        <w:spacing w:after="0" w:line="238" w:lineRule="auto"/>
        <w:ind w:left="-5" w:hanging="10"/>
        <w:jc w:val="left"/>
      </w:pPr>
      <w:r>
        <w:t xml:space="preserve">LEME, Cláudio Batista. </w:t>
      </w:r>
      <w:r>
        <w:rPr>
          <w:b/>
        </w:rPr>
        <w:t xml:space="preserve">O uso do </w:t>
      </w:r>
      <w:proofErr w:type="spellStart"/>
      <w:r>
        <w:rPr>
          <w:b/>
        </w:rPr>
        <w:t>geogebra</w:t>
      </w:r>
      <w:proofErr w:type="spellEnd"/>
      <w:r>
        <w:rPr>
          <w:b/>
        </w:rPr>
        <w:t xml:space="preserve"> no ensino da geometria espacial para alunos do 2º ano do ensino médio</w:t>
      </w:r>
      <w:r>
        <w:t>. 2017, 125f. Dissertação (Mestrado em Matemática), Universidade Estadual de Ponta Grossa, Ponta Grossa, 2017.</w:t>
      </w:r>
      <w:r>
        <w:rPr>
          <w:color w:val="000000"/>
        </w:rPr>
        <w:t xml:space="preserve"> </w:t>
      </w:r>
    </w:p>
    <w:p w:rsidR="00C95A90" w:rsidRDefault="00A44920">
      <w:pPr>
        <w:spacing w:after="0" w:line="259" w:lineRule="auto"/>
        <w:ind w:left="708" w:firstLine="0"/>
        <w:jc w:val="left"/>
      </w:pPr>
      <w:r>
        <w:t xml:space="preserve"> </w:t>
      </w:r>
    </w:p>
    <w:sectPr w:rsidR="00C95A90">
      <w:headerReference w:type="even" r:id="rId20"/>
      <w:headerReference w:type="default" r:id="rId21"/>
      <w:footerReference w:type="even" r:id="rId22"/>
      <w:footerReference w:type="default" r:id="rId23"/>
      <w:headerReference w:type="first" r:id="rId24"/>
      <w:footerReference w:type="first" r:id="rId25"/>
      <w:footnotePr>
        <w:numRestart w:val="eachPage"/>
      </w:footnotePr>
      <w:pgSz w:w="11906" w:h="16838"/>
      <w:pgMar w:top="1567" w:right="1411" w:bottom="1473" w:left="1702" w:header="454" w:footer="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F10" w:rsidRDefault="005A6F10">
      <w:pPr>
        <w:spacing w:after="0" w:line="240" w:lineRule="auto"/>
      </w:pPr>
      <w:r>
        <w:separator/>
      </w:r>
    </w:p>
  </w:endnote>
  <w:endnote w:type="continuationSeparator" w:id="0">
    <w:p w:rsidR="005A6F10" w:rsidRDefault="005A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90" w:rsidRDefault="00A44920">
    <w:pPr>
      <w:spacing w:after="0" w:line="259" w:lineRule="auto"/>
      <w:ind w:left="694" w:firstLine="0"/>
      <w:jc w:val="left"/>
    </w:pPr>
    <w:r>
      <w:rPr>
        <w:rFonts w:ascii="Calibri" w:eastAsia="Calibri" w:hAnsi="Calibri" w:cs="Calibri"/>
        <w:noProof/>
        <w:color w:val="000000"/>
        <w:sz w:val="22"/>
        <w:lang w:bidi="ar-SA"/>
      </w:rPr>
      <mc:AlternateContent>
        <mc:Choice Requires="wpg">
          <w:drawing>
            <wp:anchor distT="0" distB="0" distL="114300" distR="114300" simplePos="0" relativeHeight="251671552" behindDoc="0" locked="0" layoutInCell="1" allowOverlap="1">
              <wp:simplePos x="0" y="0"/>
              <wp:positionH relativeFrom="page">
                <wp:posOffset>0</wp:posOffset>
              </wp:positionH>
              <wp:positionV relativeFrom="page">
                <wp:posOffset>10506722</wp:posOffset>
              </wp:positionV>
              <wp:extent cx="7559675" cy="181610"/>
              <wp:effectExtent l="0" t="0" r="0" b="0"/>
              <wp:wrapSquare wrapText="bothSides"/>
              <wp:docPr id="11882" name="Group 11882"/>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2030" name="Shape 12030"/>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1884" name="Shape 11884"/>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82" style="width:595.25pt;height:14.3pt;position:absolute;mso-position-horizontal-relative:page;mso-position-horizontal:absolute;margin-left:0pt;mso-position-vertical-relative:page;margin-top:827.301pt;" coordsize="75596,1816">
              <v:shape id="Shape 12031" style="position:absolute;width:75596;height:1816;left:0;top:0;" coordsize="7559675,181610" path="m0,0l7559675,0l7559675,181610l0,181610l0,0">
                <v:stroke weight="0pt" endcap="flat" joinstyle="miter" miterlimit="10" on="false" color="#000000" opacity="0"/>
                <v:fill on="true" color="#001836"/>
              </v:shape>
              <v:shape id="Shape 11884"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90" w:rsidRDefault="00A44920">
    <w:pPr>
      <w:spacing w:after="0" w:line="259" w:lineRule="auto"/>
      <w:ind w:left="694" w:firstLine="0"/>
      <w:jc w:val="left"/>
    </w:pPr>
    <w:r>
      <w:rPr>
        <w:rFonts w:ascii="Calibri" w:eastAsia="Calibri" w:hAnsi="Calibri" w:cs="Calibri"/>
        <w:noProof/>
        <w:color w:val="000000"/>
        <w:sz w:val="22"/>
        <w:lang w:bidi="ar-SA"/>
      </w:rPr>
      <mc:AlternateContent>
        <mc:Choice Requires="wpg">
          <w:drawing>
            <wp:anchor distT="0" distB="0" distL="114300" distR="114300" simplePos="0" relativeHeight="251672576" behindDoc="0" locked="0" layoutInCell="1" allowOverlap="1">
              <wp:simplePos x="0" y="0"/>
              <wp:positionH relativeFrom="page">
                <wp:posOffset>0</wp:posOffset>
              </wp:positionH>
              <wp:positionV relativeFrom="page">
                <wp:posOffset>10506722</wp:posOffset>
              </wp:positionV>
              <wp:extent cx="7559675" cy="181610"/>
              <wp:effectExtent l="0" t="0" r="0" b="0"/>
              <wp:wrapSquare wrapText="bothSides"/>
              <wp:docPr id="11853" name="Group 11853"/>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2028" name="Shape 12028"/>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1855" name="Shape 11855"/>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53" style="width:595.25pt;height:14.3pt;position:absolute;mso-position-horizontal-relative:page;mso-position-horizontal:absolute;margin-left:0pt;mso-position-vertical-relative:page;margin-top:827.301pt;" coordsize="75596,1816">
              <v:shape id="Shape 12029" style="position:absolute;width:75596;height:1816;left:0;top:0;" coordsize="7559675,181610" path="m0,0l7559675,0l7559675,181610l0,181610l0,0">
                <v:stroke weight="0pt" endcap="flat" joinstyle="miter" miterlimit="10" on="false" color="#000000" opacity="0"/>
                <v:fill on="true" color="#001836"/>
              </v:shape>
              <v:shape id="Shape 11855"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90" w:rsidRDefault="00A44920">
    <w:pPr>
      <w:spacing w:after="0" w:line="259" w:lineRule="auto"/>
      <w:ind w:left="694" w:firstLine="0"/>
      <w:jc w:val="left"/>
    </w:pPr>
    <w:r>
      <w:rPr>
        <w:rFonts w:ascii="Calibri" w:eastAsia="Calibri" w:hAnsi="Calibri" w:cs="Calibri"/>
        <w:noProof/>
        <w:color w:val="000000"/>
        <w:sz w:val="22"/>
        <w:lang w:bidi="ar-SA"/>
      </w:rPr>
      <mc:AlternateContent>
        <mc:Choice Requires="wpg">
          <w:drawing>
            <wp:anchor distT="0" distB="0" distL="114300" distR="114300" simplePos="0" relativeHeight="251673600" behindDoc="0" locked="0" layoutInCell="1" allowOverlap="1">
              <wp:simplePos x="0" y="0"/>
              <wp:positionH relativeFrom="page">
                <wp:posOffset>0</wp:posOffset>
              </wp:positionH>
              <wp:positionV relativeFrom="page">
                <wp:posOffset>10506722</wp:posOffset>
              </wp:positionV>
              <wp:extent cx="7559675" cy="181610"/>
              <wp:effectExtent l="0" t="0" r="0" b="0"/>
              <wp:wrapSquare wrapText="bothSides"/>
              <wp:docPr id="11824" name="Group 11824"/>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2026" name="Shape 12026"/>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1826" name="Shape 11826"/>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24" style="width:595.25pt;height:14.3pt;position:absolute;mso-position-horizontal-relative:page;mso-position-horizontal:absolute;margin-left:0pt;mso-position-vertical-relative:page;margin-top:827.301pt;" coordsize="75596,1816">
              <v:shape id="Shape 12027" style="position:absolute;width:75596;height:1816;left:0;top:0;" coordsize="7559675,181610" path="m0,0l7559675,0l7559675,181610l0,181610l0,0">
                <v:stroke weight="0pt" endcap="flat" joinstyle="miter" miterlimit="10" on="false" color="#000000" opacity="0"/>
                <v:fill on="true" color="#001836"/>
              </v:shape>
              <v:shape id="Shape 11826"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F10" w:rsidRDefault="005A6F10">
      <w:pPr>
        <w:spacing w:after="0" w:line="259" w:lineRule="auto"/>
        <w:ind w:firstLine="0"/>
        <w:jc w:val="left"/>
      </w:pPr>
      <w:r>
        <w:separator/>
      </w:r>
    </w:p>
  </w:footnote>
  <w:footnote w:type="continuationSeparator" w:id="0">
    <w:p w:rsidR="005A6F10" w:rsidRDefault="005A6F10">
      <w:pPr>
        <w:spacing w:after="0" w:line="259" w:lineRule="auto"/>
        <w:ind w:firstLine="0"/>
        <w:jc w:val="left"/>
      </w:pPr>
      <w:r>
        <w:continuationSeparator/>
      </w:r>
    </w:p>
  </w:footnote>
  <w:footnote w:id="1">
    <w:p w:rsidR="00C95A90" w:rsidRDefault="00A44920">
      <w:pPr>
        <w:pStyle w:val="footnotedescription"/>
      </w:pPr>
      <w:r>
        <w:rPr>
          <w:rStyle w:val="footnotemark"/>
        </w:rPr>
        <w:footnoteRef/>
      </w:r>
      <w:r w:rsidR="00BF6909">
        <w:t xml:space="preserve"> </w:t>
      </w:r>
      <w:r w:rsidR="00BF6909" w:rsidRPr="00BF6909">
        <w:t>Graduada em Ciências Naturais e Matemática pela Universidade Federal do Cariri - UFCA, talyta.sampaio@aluno.ufca.edu.br;</w:t>
      </w:r>
    </w:p>
  </w:footnote>
  <w:footnote w:id="2">
    <w:p w:rsidR="00C95A90" w:rsidRDefault="00A44920">
      <w:pPr>
        <w:pStyle w:val="footnotedescription"/>
      </w:pPr>
      <w:r>
        <w:rPr>
          <w:rStyle w:val="footnotemark"/>
        </w:rPr>
        <w:footnoteRef/>
      </w:r>
      <w:r>
        <w:t xml:space="preserve"> </w:t>
      </w:r>
      <w:r w:rsidR="00BF6909" w:rsidRPr="00BF6909">
        <w:t>Graduanda em Ciências Naturais e Matemática pela Universidade Federal do Cariri - UFCA, elaine.maria@aluno.ufca.edu.br</w:t>
      </w:r>
    </w:p>
  </w:footnote>
  <w:footnote w:id="3">
    <w:p w:rsidR="00C95A90" w:rsidRDefault="00A44920">
      <w:pPr>
        <w:pStyle w:val="footnotedescription"/>
        <w:spacing w:line="258" w:lineRule="auto"/>
      </w:pPr>
      <w:r>
        <w:rPr>
          <w:rStyle w:val="footnotemark"/>
        </w:rPr>
        <w:footnoteRef/>
      </w:r>
      <w:r>
        <w:t xml:space="preserve"> </w:t>
      </w:r>
      <w:r w:rsidR="00BF6909" w:rsidRPr="00BF6909">
        <w:t xml:space="preserve">Doutor em Ensino das Ciências pela Universidade Federal Rural de Pernambuco- </w:t>
      </w:r>
      <w:proofErr w:type="gramStart"/>
      <w:r w:rsidR="00BF6909" w:rsidRPr="00BF6909">
        <w:t>UFRPE,;</w:t>
      </w:r>
      <w:proofErr w:type="gramEnd"/>
      <w:r w:rsidR="00BF6909" w:rsidRPr="00BF6909">
        <w:t xml:space="preserve"> rochelande.rodrigues@ufca.edu.br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90" w:rsidRDefault="00A44920">
    <w:pPr>
      <w:spacing w:after="0" w:line="259" w:lineRule="auto"/>
      <w:ind w:left="54" w:firstLine="0"/>
      <w:jc w:val="center"/>
    </w:pPr>
    <w:r>
      <w:rPr>
        <w:rFonts w:ascii="Calibri" w:eastAsia="Calibri" w:hAnsi="Calibri" w:cs="Calibri"/>
        <w:noProof/>
        <w:color w:val="000000"/>
        <w:sz w:val="22"/>
        <w:lang w:bidi="ar-SA"/>
      </w:rPr>
      <mc:AlternateContent>
        <mc:Choice Requires="wpg">
          <w:drawing>
            <wp:anchor distT="0" distB="0" distL="114300" distR="114300" simplePos="0" relativeHeight="251665408" behindDoc="0" locked="0" layoutInCell="1" allowOverlap="1">
              <wp:simplePos x="0" y="0"/>
              <wp:positionH relativeFrom="page">
                <wp:posOffset>2794000</wp:posOffset>
              </wp:positionH>
              <wp:positionV relativeFrom="page">
                <wp:posOffset>288290</wp:posOffset>
              </wp:positionV>
              <wp:extent cx="2148205" cy="544830"/>
              <wp:effectExtent l="0" t="0" r="0" b="0"/>
              <wp:wrapSquare wrapText="bothSides"/>
              <wp:docPr id="11862" name="Group 11862"/>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1864" name="Picture 11864"/>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1863" name="Picture 11863"/>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62" style="width:169.15pt;height:42.9pt;position:absolute;mso-position-horizontal-relative:page;mso-position-horizontal:absolute;margin-left:220pt;mso-position-vertical-relative:page;margin-top:22.7pt;" coordsize="21482,5448">
              <v:shape id="Picture 11864" style="position:absolute;width:9897;height:2101;left:10763;top:1327;" filled="f">
                <v:imagedata r:id="rId21"/>
              </v:shape>
              <v:shape id="Picture 11863" style="position:absolute;width:21482;height:5448;left:0;top:0;" filled="f">
                <v:imagedata r:id="rId17"/>
              </v:shape>
              <w10:wrap type="square"/>
            </v:group>
          </w:pict>
        </mc:Fallback>
      </mc:AlternateContent>
    </w:r>
    <w:r>
      <w:t xml:space="preserve"> </w:t>
    </w:r>
  </w:p>
  <w:p w:rsidR="00C95A90" w:rsidRDefault="00A44920">
    <w:r>
      <w:rPr>
        <w:rFonts w:ascii="Calibri" w:eastAsia="Calibri" w:hAnsi="Calibri" w:cs="Calibri"/>
        <w:noProof/>
        <w:color w:val="000000"/>
        <w:sz w:val="22"/>
        <w:lang w:bidi="ar-SA"/>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1" cy="1"/>
              <wp:effectExtent l="0" t="0" r="0" b="0"/>
              <wp:wrapNone/>
              <wp:docPr id="11865" name="Group 118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6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90" w:rsidRDefault="00A44920">
    <w:pPr>
      <w:spacing w:after="0" w:line="259" w:lineRule="auto"/>
      <w:ind w:left="54" w:firstLine="0"/>
      <w:jc w:val="center"/>
    </w:pPr>
    <w:r>
      <w:rPr>
        <w:rFonts w:ascii="Calibri" w:eastAsia="Calibri" w:hAnsi="Calibri" w:cs="Calibri"/>
        <w:noProof/>
        <w:color w:val="000000"/>
        <w:sz w:val="22"/>
        <w:lang w:bidi="ar-SA"/>
      </w:rPr>
      <mc:AlternateContent>
        <mc:Choice Requires="wpg">
          <w:drawing>
            <wp:anchor distT="0" distB="0" distL="114300" distR="114300" simplePos="0" relativeHeight="251667456" behindDoc="0" locked="0" layoutInCell="1" allowOverlap="1">
              <wp:simplePos x="0" y="0"/>
              <wp:positionH relativeFrom="page">
                <wp:posOffset>2794000</wp:posOffset>
              </wp:positionH>
              <wp:positionV relativeFrom="page">
                <wp:posOffset>288290</wp:posOffset>
              </wp:positionV>
              <wp:extent cx="2148205" cy="544830"/>
              <wp:effectExtent l="0" t="0" r="0" b="0"/>
              <wp:wrapSquare wrapText="bothSides"/>
              <wp:docPr id="11833" name="Group 11833"/>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1835" name="Picture 11835"/>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1834" name="Picture 11834"/>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33" style="width:169.15pt;height:42.9pt;position:absolute;mso-position-horizontal-relative:page;mso-position-horizontal:absolute;margin-left:220pt;mso-position-vertical-relative:page;margin-top:22.7pt;" coordsize="21482,5448">
              <v:shape id="Picture 11835" style="position:absolute;width:9897;height:2101;left:10763;top:1327;" filled="f">
                <v:imagedata r:id="rId21"/>
              </v:shape>
              <v:shape id="Picture 11834" style="position:absolute;width:21482;height:5448;left:0;top:0;" filled="f">
                <v:imagedata r:id="rId17"/>
              </v:shape>
              <w10:wrap type="square"/>
            </v:group>
          </w:pict>
        </mc:Fallback>
      </mc:AlternateContent>
    </w:r>
    <w:r>
      <w:t xml:space="preserve"> </w:t>
    </w:r>
  </w:p>
  <w:p w:rsidR="00C95A90" w:rsidRDefault="00A44920">
    <w:r>
      <w:rPr>
        <w:rFonts w:ascii="Calibri" w:eastAsia="Calibri" w:hAnsi="Calibri" w:cs="Calibri"/>
        <w:noProof/>
        <w:color w:val="000000"/>
        <w:sz w:val="22"/>
        <w:lang w:bidi="ar-SA"/>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11836" name="Group 118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3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90" w:rsidRDefault="00A44920">
    <w:pPr>
      <w:spacing w:after="0" w:line="259" w:lineRule="auto"/>
      <w:ind w:left="54" w:firstLine="0"/>
      <w:jc w:val="center"/>
    </w:pPr>
    <w:r>
      <w:rPr>
        <w:rFonts w:ascii="Calibri" w:eastAsia="Calibri" w:hAnsi="Calibri" w:cs="Calibri"/>
        <w:noProof/>
        <w:color w:val="000000"/>
        <w:sz w:val="22"/>
        <w:lang w:bidi="ar-SA"/>
      </w:rPr>
      <mc:AlternateContent>
        <mc:Choice Requires="wpg">
          <w:drawing>
            <wp:anchor distT="0" distB="0" distL="114300" distR="114300" simplePos="0" relativeHeight="251669504" behindDoc="0" locked="0" layoutInCell="1" allowOverlap="1">
              <wp:simplePos x="0" y="0"/>
              <wp:positionH relativeFrom="page">
                <wp:posOffset>2794000</wp:posOffset>
              </wp:positionH>
              <wp:positionV relativeFrom="page">
                <wp:posOffset>288290</wp:posOffset>
              </wp:positionV>
              <wp:extent cx="2148205" cy="544830"/>
              <wp:effectExtent l="0" t="0" r="0" b="0"/>
              <wp:wrapSquare wrapText="bothSides"/>
              <wp:docPr id="11804" name="Group 11804"/>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1806" name="Picture 11806"/>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1805" name="Picture 11805"/>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04" style="width:169.15pt;height:42.9pt;position:absolute;mso-position-horizontal-relative:page;mso-position-horizontal:absolute;margin-left:220pt;mso-position-vertical-relative:page;margin-top:22.7pt;" coordsize="21482,5448">
              <v:shape id="Picture 11806" style="position:absolute;width:9897;height:2101;left:10763;top:1327;" filled="f">
                <v:imagedata r:id="rId21"/>
              </v:shape>
              <v:shape id="Picture 11805" style="position:absolute;width:21482;height:5448;left:0;top:0;" filled="f">
                <v:imagedata r:id="rId17"/>
              </v:shape>
              <w10:wrap type="square"/>
            </v:group>
          </w:pict>
        </mc:Fallback>
      </mc:AlternateContent>
    </w:r>
    <w:r>
      <w:t xml:space="preserve"> </w:t>
    </w:r>
  </w:p>
  <w:p w:rsidR="00C95A90" w:rsidRDefault="00A44920">
    <w:r>
      <w:rPr>
        <w:rFonts w:ascii="Calibri" w:eastAsia="Calibri" w:hAnsi="Calibri" w:cs="Calibri"/>
        <w:noProof/>
        <w:color w:val="000000"/>
        <w:sz w:val="22"/>
        <w:lang w:bidi="ar-SA"/>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11807" name="Group 118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807"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A90"/>
    <w:rsid w:val="00092F46"/>
    <w:rsid w:val="00264679"/>
    <w:rsid w:val="005A6F10"/>
    <w:rsid w:val="00A44920"/>
    <w:rsid w:val="00BF6909"/>
    <w:rsid w:val="00C95A90"/>
    <w:rsid w:val="00D119DA"/>
    <w:rsid w:val="00F16A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854473-34C1-1642-A254-B3452E81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9" w:line="367" w:lineRule="auto"/>
      <w:ind w:firstLine="698"/>
      <w:jc w:val="both"/>
    </w:pPr>
    <w:rPr>
      <w:rFonts w:ascii="Times New Roman" w:eastAsia="Times New Roman" w:hAnsi="Times New Roman" w:cs="Times New Roman"/>
      <w:color w:val="00000A"/>
      <w:sz w:val="24"/>
      <w:lang w:bidi="pt-BR"/>
    </w:rPr>
  </w:style>
  <w:style w:type="paragraph" w:styleId="Ttulo1">
    <w:name w:val="heading 1"/>
    <w:next w:val="Normal"/>
    <w:link w:val="Ttulo1Char"/>
    <w:uiPriority w:val="9"/>
    <w:qFormat/>
    <w:pPr>
      <w:keepNext/>
      <w:keepLines/>
      <w:spacing w:after="0"/>
      <w:ind w:left="10" w:hanging="10"/>
      <w:outlineLvl w:val="0"/>
    </w:pPr>
    <w:rPr>
      <w:rFonts w:ascii="Times New Roman" w:eastAsia="Times New Roman" w:hAnsi="Times New Roman" w:cs="Times New Roman"/>
      <w:b/>
      <w:color w:val="00000A"/>
      <w:sz w:val="24"/>
    </w:rPr>
  </w:style>
  <w:style w:type="paragraph" w:styleId="Ttulo2">
    <w:name w:val="heading 2"/>
    <w:next w:val="Normal"/>
    <w:link w:val="Ttulo2Char"/>
    <w:uiPriority w:val="9"/>
    <w:unhideWhenUsed/>
    <w:qFormat/>
    <w:pPr>
      <w:keepNext/>
      <w:keepLines/>
      <w:spacing w:after="0"/>
      <w:ind w:left="10" w:hanging="10"/>
      <w:outlineLvl w:val="1"/>
    </w:pPr>
    <w:rPr>
      <w:rFonts w:ascii="Times New Roman" w:eastAsia="Times New Roman" w:hAnsi="Times New Roman" w:cs="Times New Roman"/>
      <w:b/>
      <w:color w:val="000000"/>
      <w:sz w:val="24"/>
    </w:rPr>
  </w:style>
  <w:style w:type="paragraph" w:styleId="Ttulo3">
    <w:name w:val="heading 3"/>
    <w:next w:val="Normal"/>
    <w:link w:val="Ttulo3Char"/>
    <w:uiPriority w:val="9"/>
    <w:unhideWhenUsed/>
    <w:qFormat/>
    <w:pPr>
      <w:keepNext/>
      <w:keepLines/>
      <w:spacing w:after="0"/>
      <w:ind w:left="10" w:hanging="10"/>
      <w:outlineLvl w:val="2"/>
    </w:pPr>
    <w:rPr>
      <w:rFonts w:ascii="Times New Roman" w:eastAsia="Times New Roman" w:hAnsi="Times New Roman" w:cs="Times New Roman"/>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ootnotedescription">
    <w:name w:val="footnote description"/>
    <w:next w:val="Normal"/>
    <w:link w:val="footnotedescriptionChar"/>
    <w:hidden/>
    <w:pPr>
      <w:spacing w:after="0"/>
    </w:pPr>
    <w:rPr>
      <w:rFonts w:ascii="Times New Roman" w:eastAsia="Times New Roman" w:hAnsi="Times New Roman" w:cs="Times New Roman"/>
      <w:color w:val="00000A"/>
      <w:sz w:val="20"/>
    </w:rPr>
  </w:style>
  <w:style w:type="character" w:customStyle="1" w:styleId="footnotedescriptionChar">
    <w:name w:val="footnote description Char"/>
    <w:link w:val="footnotedescription"/>
    <w:rPr>
      <w:rFonts w:ascii="Times New Roman" w:eastAsia="Times New Roman" w:hAnsi="Times New Roman" w:cs="Times New Roman"/>
      <w:color w:val="00000A"/>
      <w:sz w:val="20"/>
    </w:rPr>
  </w:style>
  <w:style w:type="character" w:customStyle="1" w:styleId="Ttulo1Char">
    <w:name w:val="Título 1 Char"/>
    <w:link w:val="Ttulo1"/>
    <w:rPr>
      <w:rFonts w:ascii="Times New Roman" w:eastAsia="Times New Roman" w:hAnsi="Times New Roman" w:cs="Times New Roman"/>
      <w:b/>
      <w:color w:val="00000A"/>
      <w:sz w:val="24"/>
    </w:rPr>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footnotemark">
    <w:name w:val="footnote mark"/>
    <w:hidden/>
    <w:rPr>
      <w:rFonts w:ascii="Times New Roman" w:eastAsia="Times New Roman" w:hAnsi="Times New Roman" w:cs="Times New Roman"/>
      <w:color w:val="00000A"/>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8" Type="http://schemas.openxmlformats.org/officeDocument/2006/relationships/image" Target="media/image3.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7" Type="http://schemas.openxmlformats.org/officeDocument/2006/relationships/image" Target="media/image0.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endnotes" Target="endnotes.xml"/><Relationship Id="rId23" Type="http://schemas.openxmlformats.org/officeDocument/2006/relationships/footer" Target="footer2.xml"/><Relationship Id="rId19" Type="http://schemas.openxmlformats.org/officeDocument/2006/relationships/image" Target="media/image4.jpg"/><Relationship Id="rId4" Type="http://schemas.openxmlformats.org/officeDocument/2006/relationships/footnotes" Target="footnotes.xml"/><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1" Type="http://schemas.openxmlformats.org/officeDocument/2006/relationships/image" Target="media/image10.png"/><Relationship Id="rId17" Type="http://schemas.openxmlformats.org/officeDocument/2006/relationships/image" Target="media/image0.png"/><Relationship Id="rId2" Type="http://schemas.openxmlformats.org/officeDocument/2006/relationships/image" Target="media/image2.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1" Type="http://schemas.openxmlformats.org/officeDocument/2006/relationships/image" Target="media/image10.png"/><Relationship Id="rId17" Type="http://schemas.openxmlformats.org/officeDocument/2006/relationships/image" Target="media/image0.png"/><Relationship Id="rId2" Type="http://schemas.openxmlformats.org/officeDocument/2006/relationships/image" Target="media/image2.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1" Type="http://schemas.openxmlformats.org/officeDocument/2006/relationships/image" Target="media/image10.png"/><Relationship Id="rId17" Type="http://schemas.openxmlformats.org/officeDocument/2006/relationships/image" Target="media/image0.png"/><Relationship Id="rId2" Type="http://schemas.openxmlformats.org/officeDocument/2006/relationships/image" Target="media/image2.pn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4658</Words>
  <Characters>25159</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cp:keywords/>
  <cp:lastModifiedBy>thall</cp:lastModifiedBy>
  <cp:revision>5</cp:revision>
  <cp:lastPrinted>2023-10-11T00:29:00Z</cp:lastPrinted>
  <dcterms:created xsi:type="dcterms:W3CDTF">2023-10-11T00:08:00Z</dcterms:created>
  <dcterms:modified xsi:type="dcterms:W3CDTF">2023-10-11T01:48:00Z</dcterms:modified>
</cp:coreProperties>
</file>