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Obtenção de Nanofibras de TiO2/g-C3N4 pela Técnica Solution Blow Spinning (SBS)</w:t>
      </w:r>
    </w:p>
    <w:p w:rsidR="00000000" w:rsidDel="00000000" w:rsidP="00000000" w:rsidRDefault="00000000" w:rsidRPr="00000000" w14:paraId="00000002">
      <w:pPr>
        <w:spacing w:after="120" w:before="200" w:line="120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Keila da Conceição Costa</w:t>
      </w:r>
    </w:p>
    <w:p w:rsidR="00000000" w:rsidDel="00000000" w:rsidP="00000000" w:rsidRDefault="00000000" w:rsidRPr="00000000" w14:paraId="00000003">
      <w:pPr>
        <w:spacing w:line="12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keila.costa@aluno.ufca.edu.br</w:t>
      </w:r>
    </w:p>
    <w:p w:rsidR="00000000" w:rsidDel="00000000" w:rsidP="00000000" w:rsidRDefault="00000000" w:rsidRPr="00000000" w14:paraId="00000004">
      <w:pPr>
        <w:spacing w:before="200" w:line="120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Maria Geórgia da Silva Andrade</w:t>
      </w:r>
    </w:p>
    <w:p w:rsidR="00000000" w:rsidDel="00000000" w:rsidP="00000000" w:rsidRDefault="00000000" w:rsidRPr="00000000" w14:paraId="00000005">
      <w:pPr>
        <w:spacing w:before="0" w:line="120" w:lineRule="auto"/>
        <w:ind w:firstLine="0"/>
        <w:jc w:val="right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georgia.andrade@aluno.ufca.edu.br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120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Ermeson David dos Santos</w:t>
      </w:r>
    </w:p>
    <w:p w:rsidR="00000000" w:rsidDel="00000000" w:rsidP="00000000" w:rsidRDefault="00000000" w:rsidRPr="00000000" w14:paraId="00000007">
      <w:pPr>
        <w:spacing w:line="120" w:lineRule="auto"/>
        <w:ind w:firstLine="0"/>
        <w:jc w:val="right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ermdavids@gmail.com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00" w:line="120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Leonardo Facundo de Sousa</w:t>
      </w:r>
    </w:p>
    <w:p w:rsidR="00000000" w:rsidDel="00000000" w:rsidP="00000000" w:rsidRDefault="00000000" w:rsidRPr="00000000" w14:paraId="00000009">
      <w:pPr>
        <w:spacing w:line="120" w:lineRule="auto"/>
        <w:ind w:firstLine="0"/>
        <w:jc w:val="right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leonardo.facundo@aluno.ufca.edu.br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00" w:line="120" w:lineRule="auto"/>
        <w:ind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Edvânia Trajano Teófilo</w:t>
      </w:r>
    </w:p>
    <w:p w:rsidR="00000000" w:rsidDel="00000000" w:rsidP="00000000" w:rsidRDefault="00000000" w:rsidRPr="00000000" w14:paraId="0000000B">
      <w:pPr>
        <w:spacing w:line="120" w:lineRule="auto"/>
        <w:ind w:firstLine="0"/>
        <w:jc w:val="right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edvania.teofilo@ufca.edu.br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/>
        <w:ind w:firstLine="0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ind w:firstLine="0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1 INTRODUÇÃO</w:t>
      </w:r>
    </w:p>
    <w:p w:rsidR="00000000" w:rsidDel="00000000" w:rsidP="00000000" w:rsidRDefault="00000000" w:rsidRPr="00000000" w14:paraId="0000000E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 o objetivo de melhorar a qualidade da água ao reduzir a presença de poluentes, a titânia, também conhecida como dióxido de titânio (TiO2), emerge como uma opção adequada para aplicações ambientais, devido ao seu baixo custo e boas propriedades fotocatalíticas na presença de radiação UV (GÜNDOĞMUŞ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2020). A limitação de seu uso, advinda do elevado valor de </w:t>
      </w:r>
      <w:r w:rsidDel="00000000" w:rsidR="00000000" w:rsidRPr="00000000">
        <w:rPr>
          <w:i w:val="1"/>
          <w:rtl w:val="0"/>
        </w:rPr>
        <w:t xml:space="preserve">bandgap</w:t>
      </w:r>
      <w:r w:rsidDel="00000000" w:rsidR="00000000" w:rsidRPr="00000000">
        <w:rPr>
          <w:rtl w:val="0"/>
        </w:rPr>
        <w:t xml:space="preserve">, pode ser minimizada ao se criar uma heterojunção com semicondutores com valores menores da </w:t>
      </w:r>
      <w:r w:rsidDel="00000000" w:rsidR="00000000" w:rsidRPr="00000000">
        <w:rPr>
          <w:i w:val="1"/>
          <w:rtl w:val="0"/>
        </w:rPr>
        <w:t xml:space="preserve">bandgap</w:t>
      </w:r>
      <w:r w:rsidDel="00000000" w:rsidR="00000000" w:rsidRPr="00000000">
        <w:rPr>
          <w:rtl w:val="0"/>
        </w:rPr>
        <w:t xml:space="preserve">. E a eficiência fotocatalítica ainda pode ser mais aprimorada se o material estiver em escala nanométrica. Dentre os nanomateriais utilizados, as nanofibras vêm se destacando e se consolidando como eficientes.</w:t>
      </w:r>
    </w:p>
    <w:p w:rsidR="00000000" w:rsidDel="00000000" w:rsidP="00000000" w:rsidRDefault="00000000" w:rsidRPr="00000000" w14:paraId="0000000F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  As nanofibras de óxidos cerâmicos, estruturas de alto desempenho com uma razão de aspecto elevada, podem ser produzidas eficientemente através da técnica chamada </w:t>
      </w:r>
      <w:r w:rsidDel="00000000" w:rsidR="00000000" w:rsidRPr="00000000">
        <w:rPr>
          <w:i w:val="1"/>
          <w:rtl w:val="0"/>
        </w:rPr>
        <w:t xml:space="preserve">solution blow spinning</w:t>
      </w:r>
      <w:r w:rsidDel="00000000" w:rsidR="00000000" w:rsidRPr="00000000">
        <w:rPr>
          <w:rtl w:val="0"/>
        </w:rPr>
        <w:t xml:space="preserve"> (SBS), ou fiação por sopro em solução, a qual se destaca pelo baixo custo, facilidade e altas taxas de produção. O método sol-gel associado à técnica SBS, vem sendo utilizado, consistindo na síntese da titânia em uma reação de hidrólise na presença de um precursor inorgânico como o Isopropóxido de titânio (TTIP). A técnica SBS, possui a capacidade de produzir fibras nanométricas e submicrométricas, através de um sistema constituído por uma fonte de gás pressurizado, um regulador de pressão, uma bomba de injeção, uma matriz de fiação com bicos concêntricos e um coletor (MEDEIROS </w:t>
      </w:r>
      <w:r w:rsidDel="00000000" w:rsidR="00000000" w:rsidRPr="00000000">
        <w:rPr>
          <w:i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2009).</w:t>
      </w:r>
    </w:p>
    <w:p w:rsidR="00000000" w:rsidDel="00000000" w:rsidP="00000000" w:rsidRDefault="00000000" w:rsidRPr="00000000" w14:paraId="00000010">
      <w:pPr>
        <w:spacing w:after="120" w:line="360" w:lineRule="auto"/>
        <w:rPr>
          <w:b w:val="1"/>
          <w:smallCaps w:val="1"/>
        </w:rPr>
      </w:pPr>
      <w:r w:rsidDel="00000000" w:rsidR="00000000" w:rsidRPr="00000000">
        <w:rPr>
          <w:rtl w:val="0"/>
        </w:rPr>
        <w:t xml:space="preserve">A junção de TiO2 com outro semicondutor que absorve a luz visível, como o nitreto de carbono grafítico (g-C3N4), pode criar uma heterojunção capaz de absorver a luz visível, retardar a recombinação do par elétron-buraco devido à transferência de elétrons entre as bandas de condução dos semicondutores e melhorar seu desempenho fotocatalítico (GÜNDOĞMUŞ </w:t>
      </w:r>
      <w:r w:rsidDel="00000000" w:rsidR="00000000" w:rsidRPr="00000000">
        <w:rPr>
          <w:i w:val="1"/>
          <w:rtl w:val="0"/>
        </w:rPr>
        <w:t xml:space="preserve">et al</w:t>
      </w:r>
      <w:r w:rsidDel="00000000" w:rsidR="00000000" w:rsidRPr="00000000">
        <w:rPr>
          <w:rtl w:val="0"/>
        </w:rPr>
        <w:t xml:space="preserve">., 2020). Nisto, o presente estudo objetivou utilizar-se da simplicidade e eficiência da técnica SBS para obter  nanofibras de TiO2 incorporadas com nitreto de carbono grafítico (g-C3N4), visando aprimorar seu desempenho fotocatalítico para futuras aplicações na remediação ambiental </w:t>
      </w:r>
      <w:r w:rsidDel="00000000" w:rsidR="00000000" w:rsidRPr="00000000">
        <w:rPr>
          <w:color w:val="1f1f1f"/>
          <w:highlight w:val="white"/>
          <w:rtl w:val="0"/>
        </w:rPr>
        <w:t xml:space="preserve">no que concerne ao tratamento de águas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ind w:firstLine="0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ind w:firstLine="0"/>
        <w:rPr>
          <w:b w:val="1"/>
          <w:i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2 PROCEDIMENTO METODOLÓGICO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20" w:line="360" w:lineRule="auto"/>
        <w:rPr/>
      </w:pPr>
      <w:r w:rsidDel="00000000" w:rsidR="00000000" w:rsidRPr="00000000">
        <w:rPr>
          <w:rtl w:val="0"/>
        </w:rPr>
        <w:tab/>
        <w:t xml:space="preserve">Uréia foi utilizada para a obtenção do g-C3N4. Como polímero matriz e auxiliar de fiação foi utilizado o Poli(vinil) pirrolidona (PVP). Como precursores na síntese de fibras foram utilizados: Isopropóxido de titânio IV (Ti[OCH(CH3)2]4) 97% (denominado TTIP); Álcool Etílico absoluto (Etanol) [CH3CH2OH] e Ácido Acético Glacial P.A [C2H5OH].</w:t>
      </w:r>
    </w:p>
    <w:p w:rsidR="00000000" w:rsidDel="00000000" w:rsidP="00000000" w:rsidRDefault="00000000" w:rsidRPr="00000000" w14:paraId="00000014">
      <w:pPr>
        <w:widowControl w:val="1"/>
        <w:spacing w:after="120" w:line="360" w:lineRule="auto"/>
        <w:ind w:firstLine="720"/>
        <w:rPr/>
      </w:pPr>
      <w:r w:rsidDel="00000000" w:rsidR="00000000" w:rsidRPr="00000000">
        <w:rPr>
          <w:rtl w:val="0"/>
        </w:rPr>
        <w:t xml:space="preserve">O g-C3N4 (CN) foi produzido, com base na metodologia de Chidhambaram e Ravichandran (2017) por pirólise direta da uréia em um forno mufla. Em seguida, g-C3N4 na proporção de 10% em relação à massa do polímero foi uniformemente disperso em uma solução com 2ml de etanol por tratamento ultrassônico por 120 min e reservada para mistura posterior com solução contendo o precursor  de titânia (o TTIP).</w:t>
      </w:r>
    </w:p>
    <w:p w:rsidR="00000000" w:rsidDel="00000000" w:rsidP="00000000" w:rsidRDefault="00000000" w:rsidRPr="00000000" w14:paraId="00000015">
      <w:pPr>
        <w:widowControl w:val="1"/>
        <w:spacing w:after="120" w:line="360" w:lineRule="auto"/>
        <w:ind w:firstLine="720"/>
        <w:rPr/>
      </w:pPr>
      <w:r w:rsidDel="00000000" w:rsidR="00000000" w:rsidRPr="00000000">
        <w:rPr>
          <w:rtl w:val="0"/>
        </w:rPr>
        <w:t xml:space="preserve">Para a síntese das nanofibras de TiO2 puras preparou-se uma solução com 0,8 g de PVP dissolvido em 5ml de etanol e, separadamente, outra solução com 1,2 ml de TTIP, 2 ml de ácido acético e 1,8 ml de etanol, agitados por 30 min. Para formar a solução de fiação, a solução de TTIP foi gotejada sob agitação magnética na solução de PVP e misturadas por mais 30 min.</w:t>
      </w:r>
    </w:p>
    <w:p w:rsidR="00000000" w:rsidDel="00000000" w:rsidP="00000000" w:rsidRDefault="00000000" w:rsidRPr="00000000" w14:paraId="00000016">
      <w:pPr>
        <w:widowControl w:val="1"/>
        <w:spacing w:after="120" w:line="360" w:lineRule="auto"/>
        <w:ind w:firstLine="720"/>
        <w:rPr/>
      </w:pPr>
      <w:r w:rsidDel="00000000" w:rsidR="00000000" w:rsidRPr="00000000">
        <w:rPr>
          <w:rtl w:val="0"/>
        </w:rPr>
        <w:t xml:space="preserve">Para a síntese das nanofibras híbridas (TiO2/g-C3N4) preparou-se soluções utilizando o mesmo procedimento anterior, com variação apenas na quantidade de etanol, que foi de 4 ml na solução de PVP e 0,8 ml na de TTIP, para manter o equilíbrio desse reagente na solução final. Seguidamente, para compor a solução de fiação, adicionou-se a </w:t>
      </w:r>
      <w:r w:rsidDel="00000000" w:rsidR="00000000" w:rsidRPr="00000000">
        <w:rPr>
          <w:sz w:val="22"/>
          <w:szCs w:val="22"/>
          <w:rtl w:val="0"/>
        </w:rPr>
        <w:t xml:space="preserve">solução contendo g-C3N4 que tinha sido preparada e reservada anteriormente. Tal solução foi adicionada sob gotejamento e a mistura mantida por 60 min em tratamento ultrassônico e mais 60 min em agitação magnética para </w:t>
      </w:r>
      <w:r w:rsidDel="00000000" w:rsidR="00000000" w:rsidRPr="00000000">
        <w:rPr>
          <w:rtl w:val="0"/>
        </w:rPr>
        <w:t xml:space="preserve">completa homogeneização. </w:t>
      </w:r>
    </w:p>
    <w:p w:rsidR="00000000" w:rsidDel="00000000" w:rsidP="00000000" w:rsidRDefault="00000000" w:rsidRPr="00000000" w14:paraId="00000017">
      <w:pPr>
        <w:widowControl w:val="1"/>
        <w:spacing w:after="120" w:line="360" w:lineRule="auto"/>
        <w:ind w:firstLine="720"/>
        <w:rPr/>
      </w:pPr>
      <w:r w:rsidDel="00000000" w:rsidR="00000000" w:rsidRPr="00000000">
        <w:rPr>
          <w:rtl w:val="0"/>
        </w:rPr>
        <w:t xml:space="preserve">Para obtenção das nanofibras (NFs) de TiO2 puras e híbridas, as soluções de fiação foram submetidas ao sistema SBS utilizando os seguintes parâmetros: taxa de injeção de 5,0 mL.h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; pressão de 2 bar; distância de trabalho de 30 cm e distância de protusão de 1mm. As fibras produzidas foram calcinadas a 550°C (para obtenção da fase anatásio, que apresenta melhor atividade fotocatalítica) em cadinho aberto e fechado. As amostras foram caracterizadas por Microscopia Eletrônica de Varredura (MEV) e os diâmetros das fibras foram medidos através de um software analisador de imagens (Image J). Para cada amostra o diâmetro médio e sua distribuição foi determinada a partir da medida de 100 fibras aleatórias.</w:t>
      </w:r>
    </w:p>
    <w:p w:rsidR="00000000" w:rsidDel="00000000" w:rsidP="00000000" w:rsidRDefault="00000000" w:rsidRPr="00000000" w14:paraId="00000018">
      <w:pPr>
        <w:spacing w:after="120" w:line="360" w:lineRule="auto"/>
        <w:ind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/>
        <w:ind w:firstLine="0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3 DISCUSSÃO DOS RESULTADOS</w:t>
      </w:r>
    </w:p>
    <w:p w:rsidR="00000000" w:rsidDel="00000000" w:rsidP="00000000" w:rsidRDefault="00000000" w:rsidRPr="00000000" w14:paraId="0000001A">
      <w:pPr>
        <w:widowControl w:val="1"/>
        <w:spacing w:after="120" w:line="360" w:lineRule="auto"/>
        <w:rPr/>
      </w:pPr>
      <w:r w:rsidDel="00000000" w:rsidR="00000000" w:rsidRPr="00000000">
        <w:rPr>
          <w:rtl w:val="0"/>
        </w:rPr>
        <w:tab/>
        <w:t xml:space="preserve">Na Figura 1, estão apresentadas as imagens das nanofibras de TiO2 e TiO2/g-C3N4 obtidas a partir de soluções contendo TTIP, PVP e g-C3N4 (no caso da híbrida), tanto antes como após a calcinação. Observa-se bom rendimento e aspecto semelhante a lã de algodão para as fibras não calcinadas. Após o tratamento térmico ocorre diminuição de volume, devido à eliminação de materiais orgânicos, apresentando aspecto quebradiço, coerente com material cerâmico. As nanofibras TiO2/g-C3N4 a exibem uma coloração com aspecto acinzentado (mesclando  regiões branca e preta), que pode ser indicativo da presença do nitreto de carbono.</w:t>
      </w:r>
    </w:p>
    <w:p w:rsidR="00000000" w:rsidDel="00000000" w:rsidP="00000000" w:rsidRDefault="00000000" w:rsidRPr="00000000" w14:paraId="0000001B">
      <w:pPr>
        <w:widowControl w:val="1"/>
        <w:spacing w:after="120"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Figura 1 - </w:t>
      </w:r>
      <w:r w:rsidDel="00000000" w:rsidR="00000000" w:rsidRPr="00000000">
        <w:rPr>
          <w:rtl w:val="0"/>
        </w:rPr>
        <w:t xml:space="preserve">Nanofibras de titânia pura: (a) antes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(b) após calcinação e nanofibras com g-C3N4: (c) antes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(d) após calcinação</w:t>
      </w:r>
    </w:p>
    <w:p w:rsidR="00000000" w:rsidDel="00000000" w:rsidP="00000000" w:rsidRDefault="00000000" w:rsidRPr="00000000" w14:paraId="0000001C">
      <w:pPr>
        <w:widowControl w:val="1"/>
        <w:spacing w:after="120" w:line="36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580000" cy="1371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20" w:line="3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120" w:line="360" w:lineRule="auto"/>
        <w:rPr/>
      </w:pPr>
      <w:r w:rsidDel="00000000" w:rsidR="00000000" w:rsidRPr="00000000">
        <w:rPr>
          <w:rtl w:val="0"/>
        </w:rPr>
        <w:tab/>
        <w:t xml:space="preserve">Na Figura 2 apresenta-se as micrografias e os respectivos histogramas dos diâmetros das fibras de titânia pura e híbridas obtidas após calcinação em cadinho aberto. Para a amostra pura (Figura 2a) observa-se que houve a formação de fibras finas e alongadas, com diâmetro médio em aproximadamente 274,5 nm. E para a amostra híbrida (Figura 2b) as fibras também são finas e  contínuas, com diâmetros médios maiores, 340,5 nm, devido a aderência do nitreto na na superfície das fibras.  Para as amostras de TiO2/g-C3N4 produzidas com cadinho fechado as alterações morfológicas são significativas, pois a presença do g-C3N4 é claramente observável nas nanofibras, resultando em um aumento na rugosidade em determinadas regiões, conforme pode ser observado na Figura 3.</w:t>
      </w:r>
    </w:p>
    <w:p w:rsidR="00000000" w:rsidDel="00000000" w:rsidP="00000000" w:rsidRDefault="00000000" w:rsidRPr="00000000" w14:paraId="0000001F">
      <w:pPr>
        <w:widowControl w:val="1"/>
        <w:spacing w:after="120" w:line="36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Figura 2</w:t>
      </w:r>
      <w:r w:rsidDel="00000000" w:rsidR="00000000" w:rsidRPr="00000000">
        <w:rPr>
          <w:rtl w:val="0"/>
        </w:rPr>
        <w:t xml:space="preserve"> - Micrografia (10.000x)  e gráfico de distribuição de diâmetros das nanofibras de</w:t>
      </w:r>
    </w:p>
    <w:p w:rsidR="00000000" w:rsidDel="00000000" w:rsidP="00000000" w:rsidRDefault="00000000" w:rsidRPr="00000000" w14:paraId="00000020">
      <w:pPr>
        <w:widowControl w:val="1"/>
        <w:spacing w:after="12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(a) TiO2 pura e (b) TiO2/g-C3N4 obtidas com cadinho aberto.</w:t>
      </w:r>
    </w:p>
    <w:p w:rsidR="00000000" w:rsidDel="00000000" w:rsidP="00000000" w:rsidRDefault="00000000" w:rsidRPr="00000000" w14:paraId="00000021">
      <w:pPr>
        <w:widowControl w:val="1"/>
        <w:spacing w:after="120" w:line="36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25850" cy="218624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53" r="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2186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120" w:line="36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44900" cy="20406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634" l="0" r="0" t="634"/>
                    <a:stretch>
                      <a:fillRect/>
                    </a:stretch>
                  </pic:blipFill>
                  <pic:spPr>
                    <a:xfrm>
                      <a:off x="0" y="0"/>
                      <a:ext cx="4944900" cy="2040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20" w:line="36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Fonte: Autor</w:t>
      </w:r>
    </w:p>
    <w:p w:rsidR="00000000" w:rsidDel="00000000" w:rsidP="00000000" w:rsidRDefault="00000000" w:rsidRPr="00000000" w14:paraId="00000024">
      <w:pPr>
        <w:widowControl w:val="1"/>
        <w:spacing w:after="120" w:line="36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Figura 3</w:t>
      </w:r>
      <w:r w:rsidDel="00000000" w:rsidR="00000000" w:rsidRPr="00000000">
        <w:rPr>
          <w:rtl w:val="0"/>
        </w:rPr>
        <w:t xml:space="preserve"> - Micrografias (20.000x) das nanofibras TiO2/g-C3N4 calcinadas com cadinho fechado: (a) região branca, (b) região preta. Os círculos indicam o g-C3N4</w:t>
      </w:r>
    </w:p>
    <w:p w:rsidR="00000000" w:rsidDel="00000000" w:rsidP="00000000" w:rsidRDefault="00000000" w:rsidRPr="00000000" w14:paraId="00000025">
      <w:pPr>
        <w:widowControl w:val="1"/>
        <w:spacing w:after="120" w:line="36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054313" cy="216728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127" r="1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313" cy="2167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20" w:line="360" w:lineRule="auto"/>
        <w:ind w:firstLine="0"/>
        <w:jc w:val="center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Fonte: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20" w:line="36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20"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4 CONCLUSÕES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O nitreto de carbono grafítico foi obtido de forma econômica por meio da pirólise direta da ureia. A utilização da técnica SBS </w:t>
      </w:r>
      <w:r w:rsidDel="00000000" w:rsidR="00000000" w:rsidRPr="00000000">
        <w:rPr>
          <w:rtl w:val="0"/>
        </w:rPr>
        <w:t xml:space="preserve">para a produção</w:t>
      </w:r>
      <w:r w:rsidDel="00000000" w:rsidR="00000000" w:rsidRPr="00000000">
        <w:rPr>
          <w:rtl w:val="0"/>
        </w:rPr>
        <w:t xml:space="preserve"> de nanofibras de titânia revelou-se adequada para o processo de dopagem com nitreto, uma vez que, com os parâmetros empregados, as fibras foram produzidas com eficiência satisfatória e pequenos diâmetros. A presença do nitreto de carbono grafítico ficou evidenciada pela rugosidade na superfície das fibras e foi mais nítida nas amostras calcinadas em cadinho fechado.</w:t>
      </w:r>
    </w:p>
    <w:p w:rsidR="00000000" w:rsidDel="00000000" w:rsidP="00000000" w:rsidRDefault="00000000" w:rsidRPr="00000000" w14:paraId="0000002A">
      <w:pPr>
        <w:widowControl w:val="1"/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120" w:line="36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AGRADECIMENTOS</w:t>
      </w:r>
    </w:p>
    <w:p w:rsidR="00000000" w:rsidDel="00000000" w:rsidP="00000000" w:rsidRDefault="00000000" w:rsidRPr="00000000" w14:paraId="0000002C">
      <w:pPr>
        <w:widowControl w:val="1"/>
        <w:spacing w:after="120" w:line="360" w:lineRule="auto"/>
        <w:ind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Os autores agradecem a UFCA pelas bolsas concedidas </w:t>
      </w:r>
      <w:r w:rsidDel="00000000" w:rsidR="00000000" w:rsidRPr="00000000">
        <w:rPr>
          <w:rtl w:val="0"/>
        </w:rPr>
        <w:t xml:space="preserve">para a realização</w:t>
      </w:r>
      <w:r w:rsidDel="00000000" w:rsidR="00000000" w:rsidRPr="00000000">
        <w:rPr>
          <w:rtl w:val="0"/>
        </w:rPr>
        <w:t xml:space="preserve"> deste estudo.</w:t>
      </w:r>
    </w:p>
    <w:p w:rsidR="00000000" w:rsidDel="00000000" w:rsidP="00000000" w:rsidRDefault="00000000" w:rsidRPr="00000000" w14:paraId="0000002D">
      <w:pPr>
        <w:spacing w:after="120" w:line="360" w:lineRule="auto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360" w:lineRule="auto"/>
        <w:ind w:firstLine="0"/>
        <w:jc w:val="center"/>
        <w:rPr/>
      </w:pPr>
      <w:r w:rsidDel="00000000" w:rsidR="00000000" w:rsidRPr="00000000">
        <w:rPr>
          <w:b w:val="1"/>
          <w:smallCap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40"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CHIDHAMBARAM, N.; RAVICHANDRAN, K. Single step transformation of urea into metal-free g-C3N4 nanoflakes for visible light photocatalytic applications. </w:t>
      </w:r>
      <w:r w:rsidDel="00000000" w:rsidR="00000000" w:rsidRPr="00000000">
        <w:rPr>
          <w:b w:val="1"/>
          <w:rtl w:val="0"/>
        </w:rPr>
        <w:t xml:space="preserve">Materials Letters</w:t>
      </w:r>
      <w:r w:rsidDel="00000000" w:rsidR="00000000" w:rsidRPr="00000000">
        <w:rPr>
          <w:rtl w:val="0"/>
        </w:rPr>
        <w:t xml:space="preserve">, v. 207, p. 44-48, nov. 2017. Disponível em: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https://www.sciencedirect.com/science/article/abs/pii/S0167577X17310789</w:t>
        </w:r>
      </w:hyperlink>
      <w:r w:rsidDel="00000000" w:rsidR="00000000" w:rsidRPr="00000000">
        <w:rPr>
          <w:rtl w:val="0"/>
        </w:rPr>
        <w:t xml:space="preserve">. Acesso em: 14 jul. 2023.</w:t>
      </w:r>
    </w:p>
    <w:p w:rsidR="00000000" w:rsidDel="00000000" w:rsidP="00000000" w:rsidRDefault="00000000" w:rsidRPr="00000000" w14:paraId="00000030">
      <w:pPr>
        <w:widowControl w:val="1"/>
        <w:spacing w:after="240"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GÜNDOĞMUŞ, Pelin; PARK, Jongee; ÖZTÜRK, Abdullah. Preparation and photocatalytic activity of g-C3N4 /TiO2 heterojunctions under solar light illumination. </w:t>
      </w:r>
      <w:r w:rsidDel="00000000" w:rsidR="00000000" w:rsidRPr="00000000">
        <w:rPr>
          <w:b w:val="1"/>
          <w:rtl w:val="0"/>
        </w:rPr>
        <w:t xml:space="preserve">Ceramics International</w:t>
      </w:r>
      <w:r w:rsidDel="00000000" w:rsidR="00000000" w:rsidRPr="00000000">
        <w:rPr>
          <w:rtl w:val="0"/>
        </w:rPr>
        <w:t xml:space="preserve">, v. 46, n. 13, p. 21431-21438, set. 2020. Disponível em: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https://www.sciencedirect.com/science/article/abs/pii/S0272884220315534</w:t>
        </w:r>
      </w:hyperlink>
      <w:r w:rsidDel="00000000" w:rsidR="00000000" w:rsidRPr="00000000">
        <w:rPr>
          <w:rtl w:val="0"/>
        </w:rPr>
        <w:t xml:space="preserve">. Acesso em: 14 jul. 2023.</w:t>
      </w:r>
    </w:p>
    <w:p w:rsidR="00000000" w:rsidDel="00000000" w:rsidP="00000000" w:rsidRDefault="00000000" w:rsidRPr="00000000" w14:paraId="00000031">
      <w:pPr>
        <w:widowControl w:val="1"/>
        <w:spacing w:after="240" w:line="360" w:lineRule="auto"/>
        <w:ind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MEDEIROS, Eliton S. et al. Solution blow spinning: A new method to produce micro-and nanofibers from polymer solutions. </w:t>
      </w:r>
      <w:r w:rsidDel="00000000" w:rsidR="00000000" w:rsidRPr="00000000">
        <w:rPr>
          <w:b w:val="1"/>
          <w:rtl w:val="0"/>
        </w:rPr>
        <w:t xml:space="preserve">Journal of applied polymer science</w:t>
      </w:r>
      <w:r w:rsidDel="00000000" w:rsidR="00000000" w:rsidRPr="00000000">
        <w:rPr>
          <w:rtl w:val="0"/>
        </w:rPr>
        <w:t xml:space="preserve">, v. 113, n. 4, p. 2322-2330, abr. 2009. Disponível em: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https://onlinelibrary.wiley.com/doi/full/10.1002/app.30275?casa_token=QIi73n1zlz4AAAAA%3Aeql6Gy2pS2Ob_62IMT9xhDO6hmIK-H7Wauxu2T4ATWRbTpdVV9ldZCnMJkdPgzKFoHpdyCX6jE-VyLg</w:t>
        </w:r>
      </w:hyperlink>
      <w:r w:rsidDel="00000000" w:rsidR="00000000" w:rsidRPr="00000000">
        <w:rPr>
          <w:rtl w:val="0"/>
        </w:rPr>
        <w:t xml:space="preserve">. Acesso em: 14 jul. 2023.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700.7874015748032" w:left="1700.7874015748032" w:right="1133.8582677165355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ind w:firstLine="0"/>
      <w:jc w:val="center"/>
      <w:rPr/>
    </w:pPr>
    <w:r w:rsidDel="00000000" w:rsidR="00000000" w:rsidRPr="00000000">
      <w:rPr>
        <w:color w:val="001836"/>
        <w:rtl w:val="0"/>
      </w:rPr>
      <w:t xml:space="preserve">© IV CONPESQ, 3, 4 e 5 de outubro de 2023, Juazeiro do Norte, CE, Brasil.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43" cy="19469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85829" y="3689005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cap="flat" cmpd="sng" w="12700">
                        <a:solidFill>
                          <a:srgbClr val="31538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43" cy="194691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3043" cy="1946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ind w:firstLine="0"/>
      <w:jc w:val="center"/>
      <w:rPr/>
    </w:pPr>
    <w:r w:rsidDel="00000000" w:rsidR="00000000" w:rsidRPr="00000000">
      <w:rPr>
        <w:color w:val="001836"/>
        <w:rtl w:val="0"/>
      </w:rPr>
      <w:t xml:space="preserve">© IV CONPESQ, 3, 4 e 5 de outubro de 2023, Juazeiro do Norte, CE, Brasil.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30" cy="1943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85835" y="3689195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  <a:ln cap="flat" cmpd="sng" w="12700">
                        <a:solidFill>
                          <a:srgbClr val="31538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-1244599</wp:posOffset>
              </wp:positionH>
              <wp:positionV relativeFrom="paragraph">
                <wp:posOffset>342900</wp:posOffset>
              </wp:positionV>
              <wp:extent cx="7733030" cy="19431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303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3856648" cy="978113"/>
          <wp:effectExtent b="0" l="0" r="0" t="0"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4567" l="21795" r="22046" t="18604"/>
                  <a:stretch>
                    <a:fillRect/>
                  </a:stretch>
                </pic:blipFill>
                <pic:spPr>
                  <a:xfrm>
                    <a:off x="0" y="0"/>
                    <a:ext cx="3856648" cy="978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-1092199</wp:posOffset>
              </wp:positionH>
              <wp:positionV relativeFrom="paragraph">
                <wp:posOffset>-266699</wp:posOffset>
              </wp:positionV>
              <wp:extent cx="7581788" cy="1458342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5400000">
                        <a:off x="4622764" y="-6132"/>
                        <a:ext cx="1446472" cy="7572263"/>
                      </a:xfrm>
                      <a:prstGeom prst="flowChartDelay">
                        <a:avLst/>
                      </a:prstGeom>
                      <a:blipFill rotWithShape="0">
                        <a:blip r:embed="rId2">
                          <a:alphaModFix/>
                        </a:blip>
                        <a:stretch>
                          <a:fillRect b="-80" l="80" r="80" t="-8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-1092199</wp:posOffset>
              </wp:positionH>
              <wp:positionV relativeFrom="paragraph">
                <wp:posOffset>-266699</wp:posOffset>
              </wp:positionV>
              <wp:extent cx="7581788" cy="1458342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788" cy="145834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82177" cy="553438"/>
          <wp:effectExtent b="0" l="0" r="0" t="0"/>
          <wp:docPr descr="Texto&#10;&#10;Descrição gerada automaticamente com confiança média" id="9" name="image7.pn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7.png"/>
                  <pic:cNvPicPr preferRelativeResize="0"/>
                </pic:nvPicPr>
                <pic:blipFill>
                  <a:blip r:embed="rId1"/>
                  <a:srcRect b="24567" l="21795" r="22046" t="18604"/>
                  <a:stretch>
                    <a:fillRect/>
                  </a:stretch>
                </pic:blipFill>
                <pic:spPr>
                  <a:xfrm>
                    <a:off x="0" y="0"/>
                    <a:ext cx="2182177" cy="5534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2790441</wp:posOffset>
          </wp:positionH>
          <wp:positionV relativeFrom="paragraph">
            <wp:posOffset>132833</wp:posOffset>
          </wp:positionV>
          <wp:extent cx="991240" cy="21049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00000a"/>
        <w:sz w:val="24"/>
        <w:szCs w:val="24"/>
        <w:lang w:val="pt-BR"/>
      </w:rPr>
    </w:rPrDefault>
    <w:pPrDefault>
      <w:pPr>
        <w:widowControl w:val="0"/>
        <w:spacing w:after="12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1"/>
      <w:spacing w:before="480" w:line="360" w:lineRule="auto"/>
      <w:ind w:firstLine="0"/>
    </w:pPr>
    <w:rPr>
      <w:b w:val="1"/>
      <w:smallCaps w:val="1"/>
      <w:color w:val="000000"/>
    </w:rPr>
  </w:style>
  <w:style w:type="paragraph" w:styleId="Heading2">
    <w:name w:val="heading 2"/>
    <w:basedOn w:val="Normal"/>
    <w:next w:val="Normal"/>
    <w:pPr>
      <w:widowControl w:val="1"/>
      <w:spacing w:after="240" w:before="480" w:line="360" w:lineRule="auto"/>
      <w:ind w:firstLine="0"/>
    </w:pPr>
    <w:rPr>
      <w:b w:val="1"/>
      <w:color w:val="000000"/>
    </w:rPr>
  </w:style>
  <w:style w:type="paragraph" w:styleId="Heading3">
    <w:name w:val="heading 3"/>
    <w:basedOn w:val="Normal"/>
    <w:next w:val="Normal"/>
    <w:pPr>
      <w:widowControl w:val="1"/>
      <w:spacing w:after="240" w:before="480" w:line="360" w:lineRule="auto"/>
      <w:ind w:left="624" w:hanging="624"/>
    </w:pPr>
    <w:rPr>
      <w:color w:val="000000"/>
    </w:rPr>
  </w:style>
  <w:style w:type="paragraph" w:styleId="Heading4">
    <w:name w:val="heading 4"/>
    <w:basedOn w:val="Normal"/>
    <w:next w:val="Normal"/>
    <w:pPr>
      <w:widowControl w:val="1"/>
      <w:spacing w:after="240" w:before="480" w:line="360" w:lineRule="auto"/>
      <w:ind w:left="851" w:hanging="851"/>
      <w:jc w:val="left"/>
    </w:pPr>
    <w:rPr>
      <w:i w:val="1"/>
      <w:color w:val="000000"/>
    </w:rPr>
  </w:style>
  <w:style w:type="paragraph" w:styleId="Heading5">
    <w:name w:val="heading 5"/>
    <w:basedOn w:val="Normal"/>
    <w:next w:val="Normal"/>
    <w:pPr>
      <w:widowControl w:val="1"/>
      <w:spacing w:before="40" w:line="360" w:lineRule="auto"/>
      <w:ind w:left="0" w:firstLine="0"/>
      <w:jc w:val="left"/>
    </w:pPr>
    <w:rPr>
      <w:i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widowControl w:val="1"/>
      <w:spacing w:after="60" w:before="240" w:line="360" w:lineRule="auto"/>
      <w:ind w:left="1152" w:hanging="1152"/>
    </w:pPr>
    <w:rPr>
      <w:i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mallCap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iencedirect.com/science/article/abs/pii/S0272884220315534" TargetMode="External"/><Relationship Id="rId10" Type="http://schemas.openxmlformats.org/officeDocument/2006/relationships/hyperlink" Target="https://www.sciencedirect.com/science/article/abs/pii/S0167577X17310789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onlinelibrary.wiley.com/doi/full/10.1002/app.30275?casa_token=QIi73n1zlz4AAAAA%3Aeql6Gy2pS2Ob_62IMT9xhDO6hmIK-H7Wauxu2T4ATWRbTpdVV9ldZCnMJkdPgzKFoHpdyCX6jE-VyL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