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7BC8E" w14:textId="51E413D4" w:rsidR="00E11178" w:rsidRDefault="00C16885" w:rsidP="00E66146">
      <w:pPr>
        <w:spacing w:before="720" w:after="0"/>
        <w:ind w:firstLine="0"/>
        <w:jc w:val="center"/>
        <w:rPr>
          <w:sz w:val="32"/>
          <w:szCs w:val="32"/>
        </w:rPr>
      </w:pPr>
      <w:r>
        <w:rPr>
          <w:b/>
          <w:sz w:val="32"/>
          <w:szCs w:val="32"/>
        </w:rPr>
        <w:t>Aplicação da análise de componentes principais como ferramenta de apoio a gestão de qualidade das águas nas nascentes da Chapada do Araripe.</w:t>
      </w:r>
    </w:p>
    <w:p w14:paraId="685ADBC7" w14:textId="19529BFA" w:rsidR="00FB5D02" w:rsidRDefault="00514F5D" w:rsidP="00793086">
      <w:pPr>
        <w:spacing w:before="120"/>
        <w:ind w:firstLine="0"/>
        <w:jc w:val="right"/>
      </w:pPr>
      <w:r>
        <w:rPr>
          <w:b/>
          <w:bCs/>
        </w:rPr>
        <w:t>Vanessa Coelho Vieira</w:t>
      </w:r>
      <w:r w:rsidR="00FB5D02">
        <w:rPr>
          <w:rStyle w:val="ncoradanotaderodap"/>
          <w:b/>
          <w:bCs/>
        </w:rPr>
        <w:footnoteReference w:id="2"/>
      </w:r>
    </w:p>
    <w:p w14:paraId="16806F1F" w14:textId="7A6337F1" w:rsidR="00FB5D02" w:rsidRDefault="00514F5D" w:rsidP="00793086">
      <w:pPr>
        <w:spacing w:before="120"/>
        <w:ind w:firstLine="0"/>
        <w:jc w:val="right"/>
      </w:pPr>
      <w:proofErr w:type="spellStart"/>
      <w:r>
        <w:rPr>
          <w:b/>
          <w:bCs/>
        </w:rPr>
        <w:t>Celme</w:t>
      </w:r>
      <w:proofErr w:type="spellEnd"/>
      <w:r>
        <w:rPr>
          <w:b/>
          <w:bCs/>
        </w:rPr>
        <w:t xml:space="preserve"> Torres Ferreira da Costa</w:t>
      </w:r>
      <w:r w:rsidR="00FB5D02">
        <w:rPr>
          <w:rStyle w:val="ncoradanotaderodap"/>
          <w:b/>
          <w:bCs/>
        </w:rPr>
        <w:footnoteReference w:id="3"/>
      </w:r>
    </w:p>
    <w:p w14:paraId="23D3FD6B" w14:textId="46B8B908" w:rsidR="00FB5D02" w:rsidRDefault="00514F5D" w:rsidP="00793086">
      <w:pPr>
        <w:spacing w:before="120"/>
        <w:ind w:firstLine="0"/>
        <w:jc w:val="right"/>
        <w:rPr>
          <w:b/>
          <w:bCs/>
        </w:rPr>
      </w:pPr>
      <w:r>
        <w:rPr>
          <w:b/>
          <w:bCs/>
        </w:rPr>
        <w:t>Paulo Roberto Lacerda Tavares</w:t>
      </w:r>
      <w:r w:rsidR="00FB5D02">
        <w:rPr>
          <w:rStyle w:val="ncoradanotaderodap"/>
          <w:b/>
          <w:bCs/>
        </w:rPr>
        <w:footnoteReference w:id="4"/>
      </w:r>
    </w:p>
    <w:p w14:paraId="2BE8D06D" w14:textId="3A57A72F" w:rsidR="00B84316" w:rsidRDefault="00514F5D" w:rsidP="00514F5D">
      <w:pPr>
        <w:tabs>
          <w:tab w:val="left" w:pos="1815"/>
          <w:tab w:val="right" w:pos="8788"/>
        </w:tabs>
        <w:spacing w:before="120"/>
        <w:ind w:left="5664" w:firstLine="0"/>
        <w:rPr>
          <w:b/>
          <w:bCs/>
        </w:rPr>
      </w:pPr>
      <w:r>
        <w:rPr>
          <w:b/>
          <w:bCs/>
        </w:rPr>
        <w:t xml:space="preserve">        Rosilda Benício de Sou</w:t>
      </w:r>
      <w:r w:rsidR="00B118BD">
        <w:rPr>
          <w:b/>
          <w:bCs/>
        </w:rPr>
        <w:t>z</w:t>
      </w:r>
      <w:r>
        <w:rPr>
          <w:b/>
          <w:bCs/>
        </w:rPr>
        <w:t>a</w:t>
      </w:r>
      <w:r w:rsidR="002C4DEE">
        <w:rPr>
          <w:rStyle w:val="ncoradanotaderodap"/>
          <w:b/>
          <w:bCs/>
        </w:rPr>
        <w:footnoteReference w:id="5"/>
      </w:r>
    </w:p>
    <w:p w14:paraId="453C7D7C" w14:textId="77777777" w:rsidR="00514F5D" w:rsidRDefault="00514F5D" w:rsidP="00514F5D">
      <w:pPr>
        <w:tabs>
          <w:tab w:val="left" w:pos="1815"/>
          <w:tab w:val="right" w:pos="8788"/>
        </w:tabs>
        <w:spacing w:before="120"/>
        <w:ind w:left="5664" w:firstLine="0"/>
        <w:rPr>
          <w:b/>
          <w:bCs/>
          <w:sz w:val="20"/>
          <w:szCs w:val="20"/>
        </w:rPr>
      </w:pPr>
    </w:p>
    <w:p w14:paraId="354AAFF7" w14:textId="38D1D5B8" w:rsidR="002C4DEE" w:rsidRPr="00B84316" w:rsidRDefault="00B84316" w:rsidP="00B84316">
      <w:pPr>
        <w:spacing w:before="120"/>
        <w:ind w:firstLine="0"/>
      </w:pPr>
      <w:r w:rsidRPr="00B84316">
        <w:rPr>
          <w:b/>
          <w:bCs/>
        </w:rPr>
        <w:t>Palavras-chave:</w:t>
      </w:r>
      <w:r w:rsidRPr="00B84316">
        <w:t xml:space="preserve"> </w:t>
      </w:r>
      <w:bookmarkStart w:id="0" w:name="_Hlk141817927"/>
      <w:r w:rsidR="00CF6EA5">
        <w:t>hidrologia estatística, fontes, segurança hídrica, água subterrânea.</w:t>
      </w:r>
    </w:p>
    <w:bookmarkEnd w:id="0"/>
    <w:p w14:paraId="5DBFA6FA" w14:textId="77777777" w:rsidR="00D94D09" w:rsidRDefault="00D94D09" w:rsidP="00D94D09">
      <w:pPr>
        <w:spacing w:after="0"/>
        <w:ind w:firstLine="0"/>
        <w:jc w:val="right"/>
      </w:pPr>
    </w:p>
    <w:p w14:paraId="660B72B0" w14:textId="1C75A64E" w:rsidR="00E11178" w:rsidRDefault="00E11178" w:rsidP="00D94D09">
      <w:pPr>
        <w:pStyle w:val="SeoPrimria"/>
        <w:spacing w:before="0" w:after="0" w:line="240" w:lineRule="auto"/>
      </w:pPr>
      <w:r>
        <w:t xml:space="preserve">1 </w:t>
      </w:r>
      <w:r w:rsidR="00703F77">
        <w:t>Introdução</w:t>
      </w:r>
    </w:p>
    <w:p w14:paraId="319B87B6" w14:textId="77777777" w:rsidR="00645963" w:rsidRDefault="00645963" w:rsidP="00D94D09">
      <w:pPr>
        <w:pStyle w:val="SeoPrimria"/>
        <w:spacing w:before="0" w:after="0" w:line="240" w:lineRule="auto"/>
      </w:pPr>
    </w:p>
    <w:p w14:paraId="2C29CC82" w14:textId="6C476057" w:rsidR="00233B71" w:rsidRDefault="00233B71" w:rsidP="00E66146">
      <w:pPr>
        <w:spacing w:after="0" w:line="360" w:lineRule="auto"/>
      </w:pPr>
      <w:r>
        <w:t xml:space="preserve">Situada na Região do Cariri Cearense, a Bacia Sedimentar do Araripe traz um cenário de grandes reservas de água subterrâneas em um local de clima semiárido na qual a disponibilidade hídrica superficial comumente é pequena. Nessa região, as águas subterrâneas são base para o desenvolvimento socioeconômico, sendo explotadas pelas comunidades e indústrias do Cariri. O seu uso é viabilizado pela extração através de poços tubulares e de nascentes (ZOBY </w:t>
      </w:r>
      <w:r w:rsidRPr="000A2579">
        <w:rPr>
          <w:i/>
          <w:iCs/>
        </w:rPr>
        <w:t>et al</w:t>
      </w:r>
      <w:r>
        <w:rPr>
          <w:i/>
          <w:iCs/>
        </w:rPr>
        <w:t>.</w:t>
      </w:r>
      <w:r>
        <w:t xml:space="preserve">, 2004; SILVA </w:t>
      </w:r>
      <w:r w:rsidRPr="000A2579">
        <w:rPr>
          <w:i/>
          <w:iCs/>
        </w:rPr>
        <w:t>et al</w:t>
      </w:r>
      <w:r>
        <w:rPr>
          <w:i/>
          <w:iCs/>
        </w:rPr>
        <w:t>.</w:t>
      </w:r>
      <w:r>
        <w:t xml:space="preserve">, 2008; VERÍSSIMO </w:t>
      </w:r>
      <w:r w:rsidRPr="000A2579">
        <w:rPr>
          <w:i/>
          <w:iCs/>
        </w:rPr>
        <w:t>et al</w:t>
      </w:r>
      <w:r>
        <w:rPr>
          <w:i/>
          <w:iCs/>
        </w:rPr>
        <w:t>.</w:t>
      </w:r>
      <w:r>
        <w:t>, 2000).</w:t>
      </w:r>
    </w:p>
    <w:p w14:paraId="6D238694" w14:textId="1A69DDF5" w:rsidR="002C4DEE" w:rsidRDefault="00C87D38" w:rsidP="002C4DEE">
      <w:pPr>
        <w:spacing w:line="360" w:lineRule="auto"/>
        <w:contextualSpacing/>
        <w:rPr>
          <w:rFonts w:ascii="TimesNewRomanPSMT" w:hAnsi="TimesNewRomanPSMT" w:hint="eastAsia"/>
          <w:color w:val="000000"/>
        </w:rPr>
      </w:pPr>
      <w:r>
        <w:t>A</w:t>
      </w:r>
      <w:r w:rsidR="002C4DEE" w:rsidRPr="000A2579">
        <w:rPr>
          <w:rFonts w:ascii="TimesNewRomanPSMT" w:hAnsi="TimesNewRomanPSMT"/>
          <w:color w:val="000000"/>
        </w:rPr>
        <w:t>s fontes e nascentes, al</w:t>
      </w:r>
      <w:r w:rsidR="002C4DEE" w:rsidRPr="000A2579">
        <w:rPr>
          <w:rFonts w:ascii="TimesNewRomanPSMT" w:hAnsi="TimesNewRomanPSMT" w:hint="eastAsia"/>
          <w:color w:val="000000"/>
        </w:rPr>
        <w:t>é</w:t>
      </w:r>
      <w:r w:rsidR="002C4DEE" w:rsidRPr="000A2579">
        <w:rPr>
          <w:rFonts w:ascii="TimesNewRomanPSMT" w:hAnsi="TimesNewRomanPSMT"/>
          <w:color w:val="000000"/>
        </w:rPr>
        <w:t>m de terem uma import</w:t>
      </w:r>
      <w:r w:rsidR="002C4DEE" w:rsidRPr="000A2579">
        <w:rPr>
          <w:rFonts w:ascii="TimesNewRomanPSMT" w:hAnsi="TimesNewRomanPSMT" w:hint="eastAsia"/>
          <w:color w:val="000000"/>
        </w:rPr>
        <w:t>â</w:t>
      </w:r>
      <w:r w:rsidR="002C4DEE" w:rsidRPr="000A2579">
        <w:rPr>
          <w:rFonts w:ascii="TimesNewRomanPSMT" w:hAnsi="TimesNewRomanPSMT"/>
          <w:color w:val="000000"/>
        </w:rPr>
        <w:t>ncia crucial na manuten</w:t>
      </w:r>
      <w:r w:rsidR="002C4DEE" w:rsidRPr="000A2579">
        <w:rPr>
          <w:rFonts w:ascii="TimesNewRomanPSMT" w:hAnsi="TimesNewRomanPSMT" w:hint="eastAsia"/>
          <w:color w:val="000000"/>
        </w:rPr>
        <w:t>çã</w:t>
      </w:r>
      <w:r w:rsidR="002C4DEE" w:rsidRPr="000A2579">
        <w:rPr>
          <w:rFonts w:ascii="TimesNewRomanPSMT" w:hAnsi="TimesNewRomanPSMT"/>
          <w:color w:val="000000"/>
        </w:rPr>
        <w:t xml:space="preserve">o do </w:t>
      </w:r>
      <w:r w:rsidR="002C4DEE">
        <w:rPr>
          <w:rFonts w:ascii="TimesNewRomanPSMT" w:hAnsi="TimesNewRomanPSMT"/>
          <w:color w:val="000000"/>
        </w:rPr>
        <w:t xml:space="preserve">ciclo </w:t>
      </w:r>
      <w:r w:rsidR="002C4DEE" w:rsidRPr="000A2579">
        <w:rPr>
          <w:rFonts w:ascii="TimesNewRomanPSMT" w:hAnsi="TimesNewRomanPSMT"/>
          <w:color w:val="000000"/>
        </w:rPr>
        <w:t>hidrol</w:t>
      </w:r>
      <w:r w:rsidR="002C4DEE" w:rsidRPr="000A2579">
        <w:rPr>
          <w:rFonts w:ascii="TimesNewRomanPSMT" w:hAnsi="TimesNewRomanPSMT" w:hint="eastAsia"/>
          <w:color w:val="000000"/>
        </w:rPr>
        <w:t>ó</w:t>
      </w:r>
      <w:r w:rsidR="002C4DEE" w:rsidRPr="000A2579">
        <w:rPr>
          <w:rFonts w:ascii="TimesNewRomanPSMT" w:hAnsi="TimesNewRomanPSMT"/>
          <w:color w:val="000000"/>
        </w:rPr>
        <w:t>gico, aparecem como op</w:t>
      </w:r>
      <w:r w:rsidR="002C4DEE" w:rsidRPr="000A2579">
        <w:rPr>
          <w:rFonts w:ascii="TimesNewRomanPSMT" w:hAnsi="TimesNewRomanPSMT" w:hint="eastAsia"/>
          <w:color w:val="000000"/>
        </w:rPr>
        <w:t>çã</w:t>
      </w:r>
      <w:r w:rsidR="002C4DEE" w:rsidRPr="000A2579">
        <w:rPr>
          <w:rFonts w:ascii="TimesNewRomanPSMT" w:hAnsi="TimesNewRomanPSMT"/>
          <w:color w:val="000000"/>
        </w:rPr>
        <w:t>o para o abastecimento humano devido a boa qualidade que geralmente apresentam, que depender</w:t>
      </w:r>
      <w:r w:rsidR="002C4DEE" w:rsidRPr="000A2579">
        <w:rPr>
          <w:rFonts w:ascii="TimesNewRomanPSMT" w:hAnsi="TimesNewRomanPSMT" w:hint="eastAsia"/>
          <w:color w:val="000000"/>
        </w:rPr>
        <w:t>á</w:t>
      </w:r>
      <w:r w:rsidR="002C4DEE" w:rsidRPr="000A2579">
        <w:rPr>
          <w:rFonts w:ascii="TimesNewRomanPSMT" w:hAnsi="TimesNewRomanPSMT"/>
          <w:color w:val="000000"/>
        </w:rPr>
        <w:t xml:space="preserve"> em condi</w:t>
      </w:r>
      <w:r w:rsidR="002C4DEE" w:rsidRPr="000A2579">
        <w:rPr>
          <w:rFonts w:ascii="TimesNewRomanPSMT" w:hAnsi="TimesNewRomanPSMT" w:hint="eastAsia"/>
          <w:color w:val="000000"/>
        </w:rPr>
        <w:t>çõ</w:t>
      </w:r>
      <w:r w:rsidR="002C4DEE" w:rsidRPr="000A2579">
        <w:rPr>
          <w:rFonts w:ascii="TimesNewRomanPSMT" w:hAnsi="TimesNewRomanPSMT"/>
          <w:color w:val="000000"/>
        </w:rPr>
        <w:t>es ideais, das caracter</w:t>
      </w:r>
      <w:r w:rsidR="002C4DEE" w:rsidRPr="000A2579">
        <w:rPr>
          <w:rFonts w:ascii="TimesNewRomanPSMT" w:hAnsi="TimesNewRomanPSMT" w:hint="eastAsia"/>
          <w:color w:val="000000"/>
        </w:rPr>
        <w:t>í</w:t>
      </w:r>
      <w:r w:rsidR="002C4DEE" w:rsidRPr="000A2579">
        <w:rPr>
          <w:rFonts w:ascii="TimesNewRomanPSMT" w:hAnsi="TimesNewRomanPSMT"/>
          <w:color w:val="000000"/>
        </w:rPr>
        <w:t>sticas geol</w:t>
      </w:r>
      <w:r w:rsidR="002C4DEE" w:rsidRPr="000A2579">
        <w:rPr>
          <w:rFonts w:ascii="TimesNewRomanPSMT" w:hAnsi="TimesNewRomanPSMT" w:hint="eastAsia"/>
          <w:color w:val="000000"/>
        </w:rPr>
        <w:t>ó</w:t>
      </w:r>
      <w:r w:rsidR="002C4DEE" w:rsidRPr="000A2579">
        <w:rPr>
          <w:rFonts w:ascii="TimesNewRomanPSMT" w:hAnsi="TimesNewRomanPSMT"/>
          <w:color w:val="000000"/>
        </w:rPr>
        <w:t>gicas, hidrogeol</w:t>
      </w:r>
      <w:r w:rsidR="002C4DEE" w:rsidRPr="000A2579">
        <w:rPr>
          <w:rFonts w:ascii="TimesNewRomanPSMT" w:hAnsi="TimesNewRomanPSMT" w:hint="eastAsia"/>
          <w:color w:val="000000"/>
        </w:rPr>
        <w:t>ó</w:t>
      </w:r>
      <w:r w:rsidR="002C4DEE" w:rsidRPr="000A2579">
        <w:rPr>
          <w:rFonts w:ascii="TimesNewRomanPSMT" w:hAnsi="TimesNewRomanPSMT"/>
          <w:color w:val="000000"/>
        </w:rPr>
        <w:t>gicas e geomorfol</w:t>
      </w:r>
      <w:r w:rsidR="002C4DEE" w:rsidRPr="000A2579">
        <w:rPr>
          <w:rFonts w:ascii="TimesNewRomanPSMT" w:hAnsi="TimesNewRomanPSMT" w:hint="eastAsia"/>
          <w:color w:val="000000"/>
        </w:rPr>
        <w:t>ó</w:t>
      </w:r>
      <w:r w:rsidR="002C4DEE" w:rsidRPr="000A2579">
        <w:rPr>
          <w:rFonts w:ascii="TimesNewRomanPSMT" w:hAnsi="TimesNewRomanPSMT"/>
          <w:color w:val="000000"/>
        </w:rPr>
        <w:t>gicas do meio f</w:t>
      </w:r>
      <w:r w:rsidR="002C4DEE" w:rsidRPr="000A2579">
        <w:rPr>
          <w:rFonts w:ascii="TimesNewRomanPSMT" w:hAnsi="TimesNewRomanPSMT" w:hint="eastAsia"/>
          <w:color w:val="000000"/>
        </w:rPr>
        <w:t>í</w:t>
      </w:r>
      <w:r w:rsidR="002C4DEE" w:rsidRPr="000A2579">
        <w:rPr>
          <w:rFonts w:ascii="TimesNewRomanPSMT" w:hAnsi="TimesNewRomanPSMT"/>
          <w:color w:val="000000"/>
        </w:rPr>
        <w:t>sico. Desse modo, consideram-se uma alternativa para atender a popula</w:t>
      </w:r>
      <w:r w:rsidR="002C4DEE" w:rsidRPr="000A2579">
        <w:rPr>
          <w:rFonts w:ascii="TimesNewRomanPSMT" w:hAnsi="TimesNewRomanPSMT" w:hint="eastAsia"/>
          <w:color w:val="000000"/>
        </w:rPr>
        <w:t>çã</w:t>
      </w:r>
      <w:r w:rsidR="002C4DEE" w:rsidRPr="000A2579">
        <w:rPr>
          <w:rFonts w:ascii="TimesNewRomanPSMT" w:hAnsi="TimesNewRomanPSMT"/>
          <w:color w:val="000000"/>
        </w:rPr>
        <w:t xml:space="preserve">o, principalmente em lugares nos quais a disponibilidade de </w:t>
      </w:r>
      <w:r w:rsidR="002C4DEE" w:rsidRPr="000A2579">
        <w:rPr>
          <w:rFonts w:ascii="TimesNewRomanPSMT" w:hAnsi="TimesNewRomanPSMT" w:hint="eastAsia"/>
          <w:color w:val="000000"/>
        </w:rPr>
        <w:t>á</w:t>
      </w:r>
      <w:r w:rsidR="002C4DEE" w:rsidRPr="000A2579">
        <w:rPr>
          <w:rFonts w:ascii="TimesNewRomanPSMT" w:hAnsi="TimesNewRomanPSMT"/>
          <w:color w:val="000000"/>
        </w:rPr>
        <w:t xml:space="preserve">gua superficial </w:t>
      </w:r>
      <w:r w:rsidR="002C4DEE" w:rsidRPr="000A2579">
        <w:rPr>
          <w:rFonts w:ascii="TimesNewRomanPSMT" w:hAnsi="TimesNewRomanPSMT" w:hint="eastAsia"/>
          <w:color w:val="000000"/>
        </w:rPr>
        <w:t>é</w:t>
      </w:r>
      <w:r w:rsidR="002C4DEE" w:rsidRPr="000A2579">
        <w:rPr>
          <w:rFonts w:ascii="TimesNewRomanPSMT" w:hAnsi="TimesNewRomanPSMT"/>
          <w:color w:val="000000"/>
        </w:rPr>
        <w:t xml:space="preserve"> baixa, tanto pela quantidade f</w:t>
      </w:r>
      <w:r w:rsidR="002C4DEE" w:rsidRPr="000A2579">
        <w:rPr>
          <w:rFonts w:ascii="TimesNewRomanPSMT" w:hAnsi="TimesNewRomanPSMT" w:hint="eastAsia"/>
          <w:color w:val="000000"/>
        </w:rPr>
        <w:t>í</w:t>
      </w:r>
      <w:r w:rsidR="002C4DEE" w:rsidRPr="000A2579">
        <w:rPr>
          <w:rFonts w:ascii="TimesNewRomanPSMT" w:hAnsi="TimesNewRomanPSMT"/>
          <w:color w:val="000000"/>
        </w:rPr>
        <w:t>sica do recurso quanto pela qualidade</w:t>
      </w:r>
      <w:r w:rsidR="00645963">
        <w:rPr>
          <w:rFonts w:ascii="TimesNewRomanPSMT" w:hAnsi="TimesNewRomanPSMT"/>
          <w:color w:val="000000"/>
        </w:rPr>
        <w:t xml:space="preserve"> </w:t>
      </w:r>
      <w:r w:rsidR="00645963" w:rsidRPr="000A2579">
        <w:rPr>
          <w:rFonts w:ascii="TimesNewRomanPSMT" w:hAnsi="TimesNewRomanPSMT"/>
          <w:color w:val="000000"/>
        </w:rPr>
        <w:t xml:space="preserve">(HARINI </w:t>
      </w:r>
      <w:r w:rsidR="00645963" w:rsidRPr="000A2579">
        <w:rPr>
          <w:rFonts w:ascii="TimesNewRomanPSMT" w:hAnsi="TimesNewRomanPSMT"/>
          <w:i/>
          <w:iCs/>
          <w:color w:val="000000"/>
        </w:rPr>
        <w:t>et al</w:t>
      </w:r>
      <w:r w:rsidR="00645963" w:rsidRPr="000A2579">
        <w:rPr>
          <w:rFonts w:ascii="TimesNewRomanPSMT" w:hAnsi="TimesNewRomanPSMT"/>
          <w:color w:val="000000"/>
        </w:rPr>
        <w:t xml:space="preserve">., 2018; HOOGESTEGER </w:t>
      </w:r>
      <w:r w:rsidR="00645963" w:rsidRPr="000A2579">
        <w:rPr>
          <w:rFonts w:ascii="TimesNewRomanPSMT" w:hAnsi="TimesNewRomanPSMT"/>
          <w:i/>
          <w:iCs/>
          <w:color w:val="000000"/>
        </w:rPr>
        <w:t>et al</w:t>
      </w:r>
      <w:r w:rsidR="00645963">
        <w:rPr>
          <w:rFonts w:ascii="TimesNewRomanPSMT" w:hAnsi="TimesNewRomanPSMT"/>
          <w:i/>
          <w:iCs/>
          <w:color w:val="000000"/>
        </w:rPr>
        <w:t>.</w:t>
      </w:r>
      <w:r w:rsidR="00645963" w:rsidRPr="000A2579">
        <w:rPr>
          <w:rFonts w:ascii="TimesNewRomanPSMT" w:hAnsi="TimesNewRomanPSMT"/>
          <w:i/>
          <w:iCs/>
          <w:color w:val="000000"/>
        </w:rPr>
        <w:t>,</w:t>
      </w:r>
      <w:r w:rsidR="00645963" w:rsidRPr="000A2579">
        <w:rPr>
          <w:rFonts w:ascii="TimesNewRomanPSMT" w:hAnsi="TimesNewRomanPSMT"/>
          <w:color w:val="000000"/>
        </w:rPr>
        <w:t xml:space="preserve"> 2015</w:t>
      </w:r>
      <w:r w:rsidR="00645963">
        <w:rPr>
          <w:rFonts w:ascii="TimesNewRomanPSMT" w:hAnsi="TimesNewRomanPSMT"/>
          <w:color w:val="000000"/>
        </w:rPr>
        <w:t>)</w:t>
      </w:r>
      <w:r w:rsidR="002C4DEE" w:rsidRPr="000A2579">
        <w:rPr>
          <w:rFonts w:ascii="TimesNewRomanPSMT" w:hAnsi="TimesNewRomanPSMT"/>
          <w:color w:val="000000"/>
        </w:rPr>
        <w:t xml:space="preserve">. </w:t>
      </w:r>
    </w:p>
    <w:p w14:paraId="7EA59F9B" w14:textId="04B2A66D" w:rsidR="00672E12" w:rsidRDefault="00672E12" w:rsidP="00672E12">
      <w:pPr>
        <w:pStyle w:val="Ttulo2"/>
        <w:spacing w:before="0" w:after="0" w:line="240" w:lineRule="auto"/>
      </w:pPr>
      <w:r>
        <w:t>1</w:t>
      </w:r>
      <w:r w:rsidRPr="009C0CF9">
        <w:t xml:space="preserve">.1 </w:t>
      </w:r>
      <w:r>
        <w:t>Justificativa</w:t>
      </w:r>
    </w:p>
    <w:p w14:paraId="32E8FCFD" w14:textId="77777777" w:rsidR="00672E12" w:rsidRPr="00D94D09" w:rsidRDefault="00672E12" w:rsidP="00672E12">
      <w:pPr>
        <w:spacing w:after="0"/>
        <w:rPr>
          <w:lang w:eastAsia="ar-SA"/>
        </w:rPr>
      </w:pPr>
    </w:p>
    <w:p w14:paraId="4A4DD3DC" w14:textId="389DF845" w:rsidR="00B10A69" w:rsidRDefault="00B10A69" w:rsidP="00B10A69">
      <w:pPr>
        <w:spacing w:line="360" w:lineRule="auto"/>
        <w:contextualSpacing/>
      </w:pPr>
      <w:r>
        <w:rPr>
          <w:rFonts w:ascii="TimesNewRomanPSMT" w:hAnsi="TimesNewRomanPSMT"/>
          <w:color w:val="000000"/>
        </w:rPr>
        <w:t>Mesmo dispondo de</w:t>
      </w:r>
      <w:r w:rsidRPr="001179CE">
        <w:rPr>
          <w:rFonts w:ascii="TimesNewRomanPSMT" w:hAnsi="TimesNewRomanPSMT"/>
          <w:color w:val="000000"/>
        </w:rPr>
        <w:t xml:space="preserve"> excelentes aq</w:t>
      </w:r>
      <w:r>
        <w:rPr>
          <w:rFonts w:ascii="TimesNewRomanPSMT" w:hAnsi="TimesNewRomanPSMT"/>
          <w:color w:val="000000"/>
        </w:rPr>
        <w:t>uí</w:t>
      </w:r>
      <w:r w:rsidRPr="001179CE">
        <w:rPr>
          <w:rFonts w:ascii="TimesNewRomanPSMT" w:hAnsi="TimesNewRomanPSMT"/>
          <w:color w:val="000000"/>
        </w:rPr>
        <w:t xml:space="preserve">feros, </w:t>
      </w:r>
      <w:r>
        <w:rPr>
          <w:rFonts w:ascii="TimesNewRomanPSMT" w:hAnsi="TimesNewRomanPSMT"/>
          <w:color w:val="000000"/>
        </w:rPr>
        <w:t xml:space="preserve">fatores como o desmatamento crescente </w:t>
      </w:r>
      <w:r>
        <w:rPr>
          <w:rFonts w:ascii="TimesNewRomanPSMT" w:hAnsi="TimesNewRomanPSMT"/>
          <w:color w:val="000000"/>
        </w:rPr>
        <w:lastRenderedPageBreak/>
        <w:t xml:space="preserve">na Chapada do Araripe, a deficiência no saneamento básico, a poluição decorrente de atividades agrícolas e de atividades industriais vêm contribuindo para alteração do estado de qualidade da água das fontes da região (GOMES </w:t>
      </w:r>
      <w:r w:rsidRPr="000A2579">
        <w:rPr>
          <w:rFonts w:ascii="TimesNewRomanPSMT" w:hAnsi="TimesNewRomanPSMT"/>
          <w:i/>
          <w:iCs/>
          <w:color w:val="000000"/>
        </w:rPr>
        <w:t>et al</w:t>
      </w:r>
      <w:r>
        <w:rPr>
          <w:rFonts w:ascii="TimesNewRomanPSMT" w:hAnsi="TimesNewRomanPSMT"/>
          <w:color w:val="000000"/>
        </w:rPr>
        <w:t>., 2007).</w:t>
      </w:r>
    </w:p>
    <w:p w14:paraId="67CB55C0" w14:textId="6EB65593" w:rsidR="00672E12" w:rsidRDefault="00B10A69" w:rsidP="00645963">
      <w:pPr>
        <w:spacing w:line="360" w:lineRule="auto"/>
        <w:contextualSpacing/>
        <w:rPr>
          <w:color w:val="000000"/>
        </w:rPr>
      </w:pPr>
      <w:r>
        <w:rPr>
          <w:color w:val="000000"/>
        </w:rPr>
        <w:t xml:space="preserve">A realização de um monitoramento espaço temporal da água de forma consistente envolve a determinação de muitas características da água em vários locais e períodos, o que gera um grande número de informações correlacionadas e torna </w:t>
      </w:r>
      <w:r w:rsidR="0002053D">
        <w:rPr>
          <w:color w:val="000000"/>
        </w:rPr>
        <w:t>o processo</w:t>
      </w:r>
      <w:r>
        <w:rPr>
          <w:color w:val="000000"/>
        </w:rPr>
        <w:t xml:space="preserve"> mais complex</w:t>
      </w:r>
      <w:r w:rsidR="0002053D">
        <w:rPr>
          <w:color w:val="000000"/>
        </w:rPr>
        <w:t>o</w:t>
      </w:r>
      <w:r>
        <w:rPr>
          <w:color w:val="000000"/>
        </w:rPr>
        <w:t xml:space="preserve">. Nesse contexto a </w:t>
      </w:r>
      <w:r w:rsidR="00645963">
        <w:rPr>
          <w:color w:val="000000"/>
        </w:rPr>
        <w:t>análise de componentes principais c</w:t>
      </w:r>
      <w:r>
        <w:rPr>
          <w:color w:val="000000"/>
        </w:rPr>
        <w:t>onsegue contornar as dificuldades geradas, ao possibilitar filtrar as variáveis mais relevantes para a análise, com uma menor perda de informação</w:t>
      </w:r>
      <w:r w:rsidRPr="00DB05FC">
        <w:rPr>
          <w:color w:val="000000"/>
        </w:rPr>
        <w:t xml:space="preserve"> </w:t>
      </w:r>
      <w:r>
        <w:rPr>
          <w:color w:val="000000"/>
        </w:rPr>
        <w:t xml:space="preserve">(BERTOSSI </w:t>
      </w:r>
      <w:r w:rsidRPr="000A2579">
        <w:rPr>
          <w:i/>
          <w:iCs/>
          <w:color w:val="000000"/>
        </w:rPr>
        <w:t>et al</w:t>
      </w:r>
      <w:r>
        <w:rPr>
          <w:i/>
          <w:iCs/>
          <w:color w:val="000000"/>
        </w:rPr>
        <w:t>.</w:t>
      </w:r>
      <w:r>
        <w:rPr>
          <w:color w:val="000000"/>
        </w:rPr>
        <w:t xml:space="preserve">, 2013; BOGNOLA </w:t>
      </w:r>
      <w:r w:rsidRPr="000A2579">
        <w:rPr>
          <w:i/>
          <w:iCs/>
          <w:color w:val="000000"/>
        </w:rPr>
        <w:t>et al</w:t>
      </w:r>
      <w:r>
        <w:rPr>
          <w:color w:val="000000"/>
        </w:rPr>
        <w:t xml:space="preserve">., 2011; HAIR </w:t>
      </w:r>
      <w:r w:rsidRPr="000A2579">
        <w:rPr>
          <w:i/>
          <w:iCs/>
          <w:color w:val="000000"/>
        </w:rPr>
        <w:t>et al</w:t>
      </w:r>
      <w:r>
        <w:rPr>
          <w:color w:val="000000"/>
        </w:rPr>
        <w:t>., 200</w:t>
      </w:r>
      <w:r w:rsidR="008E4685">
        <w:rPr>
          <w:color w:val="000000"/>
        </w:rPr>
        <w:t>9</w:t>
      </w:r>
      <w:r>
        <w:rPr>
          <w:color w:val="000000"/>
        </w:rPr>
        <w:t>).</w:t>
      </w:r>
    </w:p>
    <w:p w14:paraId="001F68D4" w14:textId="77777777" w:rsidR="00B10A69" w:rsidRDefault="00B10A69" w:rsidP="00E66146">
      <w:pPr>
        <w:spacing w:after="0" w:line="360" w:lineRule="auto"/>
        <w:contextualSpacing/>
      </w:pPr>
    </w:p>
    <w:p w14:paraId="314743A0" w14:textId="6DD7E6AD" w:rsidR="00AD535E" w:rsidRDefault="00AD535E" w:rsidP="00E66146">
      <w:pPr>
        <w:pStyle w:val="Ttulo2"/>
        <w:spacing w:before="0" w:after="0" w:line="240" w:lineRule="auto"/>
      </w:pPr>
      <w:r>
        <w:t>1</w:t>
      </w:r>
      <w:r w:rsidRPr="009C0CF9">
        <w:t>.</w:t>
      </w:r>
      <w:r w:rsidR="00672E12">
        <w:t>2</w:t>
      </w:r>
      <w:r w:rsidRPr="009C0CF9">
        <w:t xml:space="preserve"> </w:t>
      </w:r>
      <w:r>
        <w:t>Objetivo</w:t>
      </w:r>
      <w:r w:rsidR="0002053D">
        <w:t>s</w:t>
      </w:r>
    </w:p>
    <w:p w14:paraId="15FA1144" w14:textId="77777777" w:rsidR="00AD535E" w:rsidRPr="00D94D09" w:rsidRDefault="00AD535E" w:rsidP="00AD535E">
      <w:pPr>
        <w:spacing w:after="0"/>
        <w:rPr>
          <w:lang w:eastAsia="ar-SA"/>
        </w:rPr>
      </w:pPr>
    </w:p>
    <w:p w14:paraId="54B50BB7" w14:textId="12353E1D" w:rsidR="00AD535E" w:rsidRDefault="00081512" w:rsidP="00847841">
      <w:pPr>
        <w:pStyle w:val="PargrafodaLista"/>
        <w:spacing w:after="0" w:line="360" w:lineRule="auto"/>
        <w:ind w:left="0"/>
        <w:contextualSpacing w:val="0"/>
      </w:pPr>
      <w:r>
        <w:t>Como objetivo geral pretende-se a</w:t>
      </w:r>
      <w:r w:rsidR="00672E12">
        <w:t>plicar a</w:t>
      </w:r>
      <w:r w:rsidR="00D96948">
        <w:t xml:space="preserve"> análise de componentes principais aos dados d</w:t>
      </w:r>
      <w:r w:rsidR="00AD535E">
        <w:t>e</w:t>
      </w:r>
      <w:r w:rsidR="00D96948">
        <w:t xml:space="preserve"> qualidade da água das 80 </w:t>
      </w:r>
      <w:r w:rsidR="001C31F0">
        <w:t>nascente</w:t>
      </w:r>
      <w:r w:rsidR="00D96948">
        <w:t xml:space="preserve">s situadas da região do Cariri, </w:t>
      </w:r>
      <w:r w:rsidR="00AD535E">
        <w:t>como ferramenta de suporte a</w:t>
      </w:r>
      <w:r w:rsidR="00D96948">
        <w:t xml:space="preserve"> gestão dos recursos hídricos da região</w:t>
      </w:r>
      <w:r>
        <w:t>, tendo como objetivos específicos</w:t>
      </w:r>
      <w:r w:rsidR="00414D45">
        <w:t xml:space="preserve"> i</w:t>
      </w:r>
      <w:r w:rsidR="00AD535E" w:rsidRPr="003F6406">
        <w:t xml:space="preserve">dentificar quais </w:t>
      </w:r>
      <w:r w:rsidR="00AD535E">
        <w:t>variáveis impõem maior</w:t>
      </w:r>
      <w:r w:rsidR="00AD535E" w:rsidRPr="003F6406">
        <w:t xml:space="preserve"> influência nas alterações da qualidade da</w:t>
      </w:r>
      <w:r w:rsidR="00AD535E">
        <w:t xml:space="preserve"> </w:t>
      </w:r>
      <w:r w:rsidR="00AD535E" w:rsidRPr="003F6406">
        <w:t>água</w:t>
      </w:r>
      <w:r w:rsidR="00414D45">
        <w:t xml:space="preserve"> e i</w:t>
      </w:r>
      <w:r w:rsidR="00AD535E">
        <w:t xml:space="preserve">ndicar quais parâmetros necessitam de maior monitoramento como suporte a gestão qualitativa da água das </w:t>
      </w:r>
      <w:r w:rsidR="001C31F0">
        <w:t>nascentes</w:t>
      </w:r>
      <w:r w:rsidR="00AD535E">
        <w:t xml:space="preserve"> da Chapada do Araripe</w:t>
      </w:r>
      <w:r w:rsidR="00906D6F">
        <w:t>.</w:t>
      </w:r>
    </w:p>
    <w:p w14:paraId="0341BA2B" w14:textId="77777777" w:rsidR="00704829" w:rsidRDefault="00704829" w:rsidP="00704829">
      <w:pPr>
        <w:spacing w:after="0"/>
      </w:pPr>
    </w:p>
    <w:p w14:paraId="715DFC34" w14:textId="47664007" w:rsidR="00AF272A" w:rsidRDefault="00AF272A" w:rsidP="00AF272A">
      <w:pPr>
        <w:pStyle w:val="Ttulo2"/>
        <w:spacing w:before="0" w:after="0" w:line="240" w:lineRule="auto"/>
      </w:pPr>
      <w:r>
        <w:t>1</w:t>
      </w:r>
      <w:r w:rsidRPr="009C0CF9">
        <w:t>.</w:t>
      </w:r>
      <w:r>
        <w:t>4 Problemática</w:t>
      </w:r>
    </w:p>
    <w:p w14:paraId="4B785369" w14:textId="77777777" w:rsidR="00AF272A" w:rsidRDefault="00AF272A" w:rsidP="00AF272A">
      <w:pPr>
        <w:rPr>
          <w:lang w:eastAsia="ar-SA"/>
        </w:rPr>
      </w:pPr>
    </w:p>
    <w:p w14:paraId="2A9AFECE" w14:textId="1DB15887" w:rsidR="00037CED" w:rsidRDefault="00AF272A" w:rsidP="00847841">
      <w:pPr>
        <w:spacing w:after="0" w:line="360" w:lineRule="auto"/>
        <w:rPr>
          <w:rFonts w:eastAsiaTheme="majorEastAsia" w:cstheme="majorBidi"/>
          <w:szCs w:val="28"/>
        </w:rPr>
      </w:pPr>
      <w:r>
        <w:rPr>
          <w:rFonts w:eastAsiaTheme="majorEastAsia" w:cstheme="majorBidi"/>
          <w:szCs w:val="28"/>
        </w:rPr>
        <w:t xml:space="preserve">Com base no contexto do estudo, </w:t>
      </w:r>
      <w:r w:rsidR="008015CF">
        <w:rPr>
          <w:rFonts w:eastAsiaTheme="majorEastAsia" w:cstheme="majorBidi"/>
          <w:szCs w:val="28"/>
        </w:rPr>
        <w:t>foi</w:t>
      </w:r>
      <w:r w:rsidR="00CC0AA5">
        <w:rPr>
          <w:rFonts w:eastAsiaTheme="majorEastAsia" w:cstheme="majorBidi"/>
          <w:szCs w:val="28"/>
        </w:rPr>
        <w:t xml:space="preserve"> investigado quais processos que contribuem para as alterações das águas das </w:t>
      </w:r>
      <w:r w:rsidR="001C31F0">
        <w:rPr>
          <w:rFonts w:eastAsiaTheme="majorEastAsia" w:cstheme="majorBidi"/>
          <w:szCs w:val="28"/>
        </w:rPr>
        <w:t>nascent</w:t>
      </w:r>
      <w:r w:rsidR="00CC0AA5">
        <w:rPr>
          <w:rFonts w:eastAsiaTheme="majorEastAsia" w:cstheme="majorBidi"/>
          <w:szCs w:val="28"/>
        </w:rPr>
        <w:t>es</w:t>
      </w:r>
      <w:r w:rsidR="00037CED">
        <w:rPr>
          <w:rFonts w:eastAsiaTheme="majorEastAsia" w:cstheme="majorBidi"/>
          <w:szCs w:val="28"/>
        </w:rPr>
        <w:t xml:space="preserve"> e quais parâmetros têm mais influência nas alterações da qualidade da água.</w:t>
      </w:r>
    </w:p>
    <w:p w14:paraId="38E58507" w14:textId="16F04FBF" w:rsidR="00AF272A" w:rsidRPr="00414D45" w:rsidRDefault="00414D45" w:rsidP="00414D45">
      <w:pPr>
        <w:pStyle w:val="SeoPrimria"/>
      </w:pPr>
      <w:r w:rsidRPr="00414D45">
        <w:t>2 PROCEDIMENTOS METODOLÓGICOS</w:t>
      </w:r>
    </w:p>
    <w:p w14:paraId="1D4066C8" w14:textId="0A40E02B" w:rsidR="004D23A3" w:rsidRDefault="004D23A3" w:rsidP="00847841">
      <w:pPr>
        <w:spacing w:after="0" w:line="360" w:lineRule="auto"/>
        <w:rPr>
          <w:color w:val="000000"/>
        </w:rPr>
      </w:pPr>
      <w:r w:rsidRPr="00667F53">
        <w:t xml:space="preserve">Os dados coletados são de natureza secundária, estes foram extraídos do Relatório Final de Tratamento e Consistência de Dados Qualitativos (2020) das fontes naturais da Chapada do Araripe, estudo que foi realizado pela gerência da COGERH da Bacia do Salgado. </w:t>
      </w:r>
      <w:r w:rsidR="008015CF">
        <w:t>C</w:t>
      </w:r>
      <w:r w:rsidRPr="00667F53">
        <w:t>onsiderou-se os diferentes períodos</w:t>
      </w:r>
      <w:r w:rsidR="0002053D">
        <w:t>, onde cada um correspondeu a 2 campanhas, totalizando</w:t>
      </w:r>
      <w:r w:rsidRPr="00667F53">
        <w:t xml:space="preserve"> as </w:t>
      </w:r>
      <w:r>
        <w:t xml:space="preserve">6 </w:t>
      </w:r>
      <w:r w:rsidRPr="00667F53">
        <w:t xml:space="preserve">campanhas </w:t>
      </w:r>
      <w:r>
        <w:t>que mediram, de</w:t>
      </w:r>
      <w:r w:rsidRPr="00667F53">
        <w:t xml:space="preserve"> cada uma das 80 fontes naturais,</w:t>
      </w:r>
      <w:r>
        <w:t xml:space="preserve"> os </w:t>
      </w:r>
      <w:r w:rsidRPr="00667F53">
        <w:t xml:space="preserve">parâmetros: </w:t>
      </w:r>
      <w:r w:rsidRPr="00667F53">
        <w:rPr>
          <w:color w:val="000000"/>
        </w:rPr>
        <w:t>Nitrogênio Amoniacal, Nitrito, Nitrato, Coliformes Totais,</w:t>
      </w:r>
      <w:r w:rsidRPr="00667F53">
        <w:t xml:space="preserve"> </w:t>
      </w:r>
      <w:r w:rsidRPr="00667F53">
        <w:rPr>
          <w:color w:val="000000"/>
        </w:rPr>
        <w:t>Condutividade</w:t>
      </w:r>
      <w:r>
        <w:rPr>
          <w:color w:val="000000"/>
        </w:rPr>
        <w:t xml:space="preserve"> </w:t>
      </w:r>
      <w:r w:rsidRPr="00667F53">
        <w:rPr>
          <w:color w:val="000000"/>
        </w:rPr>
        <w:t xml:space="preserve">Elétrica (CE), </w:t>
      </w:r>
      <w:r>
        <w:rPr>
          <w:color w:val="000000"/>
        </w:rPr>
        <w:t>Sólidos Totais Dissolvidos (STD), Potencial Hidrogeniônico (pH) e Temperatura (ºC). O estudo foi conduzido com os valores médios das observações de cada período.</w:t>
      </w:r>
    </w:p>
    <w:p w14:paraId="15A952BA" w14:textId="3C095480" w:rsidR="00CC0AA5" w:rsidRDefault="004D23A3" w:rsidP="00BD49E5">
      <w:pPr>
        <w:spacing w:line="360" w:lineRule="auto"/>
      </w:pPr>
      <w:r>
        <w:lastRenderedPageBreak/>
        <w:t>A princípio foi construída uma matriz de Correlação de Pearson, na qual foi aplicada o</w:t>
      </w:r>
      <w:r w:rsidRPr="000A2579">
        <w:t>s Testes de</w:t>
      </w:r>
      <w:r w:rsidR="006779DD">
        <w:t xml:space="preserve"> Esfericidade</w:t>
      </w:r>
      <w:r w:rsidRPr="000A2579">
        <w:t xml:space="preserve"> de Bartlet</w:t>
      </w:r>
      <w:r w:rsidR="000337C0">
        <w:t>t</w:t>
      </w:r>
      <w:r w:rsidRPr="000A2579">
        <w:t xml:space="preserve"> e </w:t>
      </w:r>
      <w:r>
        <w:t>o teste</w:t>
      </w:r>
      <w:r w:rsidR="006779DD">
        <w:t xml:space="preserve"> de</w:t>
      </w:r>
      <w:r>
        <w:t xml:space="preserve"> </w:t>
      </w:r>
      <w:r w:rsidRPr="000A2579">
        <w:t>K</w:t>
      </w:r>
      <w:r>
        <w:t>aiser-</w:t>
      </w:r>
      <w:r w:rsidRPr="000A2579">
        <w:t>M</w:t>
      </w:r>
      <w:r>
        <w:t>eyer-</w:t>
      </w:r>
      <w:proofErr w:type="spellStart"/>
      <w:r w:rsidRPr="000A2579">
        <w:t>O</w:t>
      </w:r>
      <w:r>
        <w:t>lkin</w:t>
      </w:r>
      <w:proofErr w:type="spellEnd"/>
      <w:r>
        <w:t xml:space="preserve">, para verificar </w:t>
      </w:r>
      <w:r w:rsidR="006779DD">
        <w:t>a adequação da amostra.</w:t>
      </w:r>
      <w:r w:rsidRPr="000A2579">
        <w:t xml:space="preserve"> </w:t>
      </w:r>
      <w:r>
        <w:t xml:space="preserve">A </w:t>
      </w:r>
      <w:r w:rsidR="00BD49E5">
        <w:t xml:space="preserve">matriz de correlação </w:t>
      </w:r>
      <w:r>
        <w:t xml:space="preserve">foi </w:t>
      </w:r>
      <w:r w:rsidR="00BD49E5">
        <w:t>inserida</w:t>
      </w:r>
      <w:r>
        <w:t xml:space="preserve"> no </w:t>
      </w:r>
      <w:proofErr w:type="spellStart"/>
      <w:r w:rsidRPr="000A2579">
        <w:rPr>
          <w:i/>
          <w:iCs/>
        </w:rPr>
        <w:t>RStudio</w:t>
      </w:r>
      <w:proofErr w:type="spellEnd"/>
      <w:r>
        <w:t xml:space="preserve">, </w:t>
      </w:r>
      <w:r w:rsidR="00BD49E5">
        <w:t xml:space="preserve">no qual foi feita a análise de componentes principais </w:t>
      </w:r>
      <w:r>
        <w:t xml:space="preserve">utilizando o método de rotação </w:t>
      </w:r>
      <w:proofErr w:type="spellStart"/>
      <w:r>
        <w:t>Varimax</w:t>
      </w:r>
      <w:proofErr w:type="spellEnd"/>
      <w:r>
        <w:t xml:space="preserve"> para facilitar a interpretação dos fatores obtidos</w:t>
      </w:r>
      <w:r w:rsidR="00BD49E5">
        <w:t>.</w:t>
      </w:r>
      <w:r>
        <w:t xml:space="preserve"> Os componentes com autovalores maiores que 1, que explicaram a maior parte da variância dos dados, foram identificados como os componentes principais do estudo.</w:t>
      </w:r>
      <w:r w:rsidR="00BD49E5">
        <w:t xml:space="preserve"> Com base nas associações formadas entre parâmetros com cargas fatoriais elevadas em cada componente principal foi feita uma análise dos possíveis processos influentes nas alterações de qualidade da água das </w:t>
      </w:r>
      <w:r w:rsidR="001C31F0">
        <w:t>fonte</w:t>
      </w:r>
      <w:r w:rsidR="00BD49E5">
        <w:t xml:space="preserve">s, bem como </w:t>
      </w:r>
      <w:r w:rsidR="003D40BF">
        <w:t>d</w:t>
      </w:r>
      <w:r w:rsidR="00BD49E5">
        <w:t>os parâmetros mais influentes em cada período.</w:t>
      </w:r>
    </w:p>
    <w:p w14:paraId="742F2DF9" w14:textId="77777777" w:rsidR="00BD49E5" w:rsidRDefault="00BD49E5" w:rsidP="00BD49E5">
      <w:pPr>
        <w:spacing w:line="360" w:lineRule="auto"/>
        <w:rPr>
          <w:lang w:eastAsia="ar-SA"/>
        </w:rPr>
      </w:pPr>
    </w:p>
    <w:p w14:paraId="1779E769" w14:textId="60A95569" w:rsidR="00672E12" w:rsidRDefault="00672E12" w:rsidP="00672E12">
      <w:pPr>
        <w:pStyle w:val="SeoPrimria"/>
        <w:spacing w:before="0" w:after="0" w:line="240" w:lineRule="auto"/>
      </w:pPr>
      <w:r>
        <w:t>3</w:t>
      </w:r>
      <w:r w:rsidRPr="009C0CF9">
        <w:t xml:space="preserve"> </w:t>
      </w:r>
      <w:r>
        <w:t>RESULTADOS E DISCUSSÕES</w:t>
      </w:r>
    </w:p>
    <w:p w14:paraId="3C22A0A6" w14:textId="77777777" w:rsidR="00672E12" w:rsidRDefault="00672E12" w:rsidP="00AF272A">
      <w:pPr>
        <w:rPr>
          <w:lang w:eastAsia="ar-SA"/>
        </w:rPr>
      </w:pPr>
    </w:p>
    <w:p w14:paraId="55CFBDB6" w14:textId="77777777" w:rsidR="008015CF" w:rsidRPr="00CA2439" w:rsidRDefault="008015CF" w:rsidP="00847841">
      <w:pPr>
        <w:spacing w:after="0" w:line="360" w:lineRule="auto"/>
        <w:ind w:firstLine="1134"/>
      </w:pPr>
      <w:r>
        <w:t>Em síntese, 25 fontes estão localizadas no Crato, 23 fontes estão localizadas em Barbalha, 9 fontes estão localizadas em Missão Velha, 1 fonte está localizada em Nova Olinda, 7 fontes estão localizadas em Santana do Cariri, 6 fontes estão localizadas em Jardim, 7 fontes estão localizadas em Porteiras e 2 fontes localizam-se em Brejo Santo.</w:t>
      </w:r>
    </w:p>
    <w:p w14:paraId="36A9DDE7" w14:textId="1B222987" w:rsidR="00B12473" w:rsidRDefault="00C86E02" w:rsidP="00847841">
      <w:pPr>
        <w:spacing w:after="0" w:line="360" w:lineRule="auto"/>
        <w:rPr>
          <w:szCs w:val="22"/>
        </w:rPr>
      </w:pPr>
      <w:r>
        <w:t>Os resultados do t</w:t>
      </w:r>
      <w:r w:rsidR="00906D6F">
        <w:t>este de esfericidade de Bartlet</w:t>
      </w:r>
      <w:r w:rsidR="0090078F">
        <w:t>t</w:t>
      </w:r>
      <w:r w:rsidR="00906D6F">
        <w:t xml:space="preserve"> </w:t>
      </w:r>
      <w:r>
        <w:t xml:space="preserve">apresentaram </w:t>
      </w:r>
      <w:r w:rsidR="00906D6F">
        <w:t>valores significativos a (</w:t>
      </w:r>
      <w:r w:rsidR="00906D6F">
        <w:rPr>
          <w:color w:val="222222"/>
        </w:rPr>
        <w:t xml:space="preserve">p &lt; 0,05) </w:t>
      </w:r>
      <w:r w:rsidR="00906D6F">
        <w:t xml:space="preserve">para os três períodos, indicando que a matriz de correlação não é igual a matriz identidade, sendo então </w:t>
      </w:r>
      <w:proofErr w:type="spellStart"/>
      <w:r w:rsidR="00906D6F">
        <w:t>fatorável</w:t>
      </w:r>
      <w:proofErr w:type="spellEnd"/>
      <w:r w:rsidR="00906D6F">
        <w:t>. O teste KMO também apresentou valores recomendados (índices superiores a 0,5), indicando que era possível seguir com a análise</w:t>
      </w:r>
      <w:r w:rsidR="00CD1889">
        <w:t>.</w:t>
      </w:r>
      <w:r w:rsidR="00906D6F">
        <w:t xml:space="preserve"> </w:t>
      </w:r>
    </w:p>
    <w:p w14:paraId="650AB64B" w14:textId="1149E21F" w:rsidR="003D40BF" w:rsidRDefault="00B12473" w:rsidP="00BD49E5">
      <w:pPr>
        <w:spacing w:line="360" w:lineRule="auto"/>
        <w:rPr>
          <w:szCs w:val="22"/>
        </w:rPr>
      </w:pPr>
      <w:r>
        <w:rPr>
          <w:szCs w:val="22"/>
        </w:rPr>
        <w:t xml:space="preserve">O resultado da análise de componentes principais (ACP) revelou, com autovalores maiores que 1, modelos com 3 componentes para o período chuvoso, 2 componentes para o período intermediário e 3 componentes para o período seco. </w:t>
      </w:r>
      <w:r w:rsidR="003D40BF">
        <w:rPr>
          <w:szCs w:val="22"/>
        </w:rPr>
        <w:t>A Tabela 1 apresenta a variância total dos dados originais explicada por cada componente nos diferentes períodos.</w:t>
      </w:r>
    </w:p>
    <w:p w14:paraId="402BFC4A" w14:textId="36A43223" w:rsidR="003D40BF" w:rsidRDefault="003D40BF" w:rsidP="003D40BF">
      <w:pPr>
        <w:ind w:firstLine="0"/>
        <w:jc w:val="center"/>
        <w:rPr>
          <w:szCs w:val="22"/>
        </w:rPr>
      </w:pPr>
      <w:r>
        <w:rPr>
          <w:b/>
        </w:rPr>
        <w:t>Tabela 1</w:t>
      </w:r>
      <w:r>
        <w:t xml:space="preserve"> – Variância explicada pelas componentes principais (%)</w:t>
      </w:r>
    </w:p>
    <w:tbl>
      <w:tblPr>
        <w:tblW w:w="4780" w:type="dxa"/>
        <w:jc w:val="center"/>
        <w:tblCellMar>
          <w:left w:w="70" w:type="dxa"/>
          <w:right w:w="70" w:type="dxa"/>
        </w:tblCellMar>
        <w:tblLook w:val="04A0" w:firstRow="1" w:lastRow="0" w:firstColumn="1" w:lastColumn="0" w:noHBand="0" w:noVBand="1"/>
      </w:tblPr>
      <w:tblGrid>
        <w:gridCol w:w="1900"/>
        <w:gridCol w:w="960"/>
        <w:gridCol w:w="960"/>
        <w:gridCol w:w="960"/>
      </w:tblGrid>
      <w:tr w:rsidR="003D40BF" w:rsidRPr="003D40BF" w14:paraId="2CB59C35" w14:textId="77777777" w:rsidTr="003D40BF">
        <w:trPr>
          <w:trHeight w:val="300"/>
          <w:jc w:val="center"/>
        </w:trPr>
        <w:tc>
          <w:tcPr>
            <w:tcW w:w="1900" w:type="dxa"/>
            <w:tcBorders>
              <w:top w:val="single" w:sz="4" w:space="0" w:color="auto"/>
              <w:left w:val="nil"/>
              <w:bottom w:val="single" w:sz="4" w:space="0" w:color="auto"/>
              <w:right w:val="nil"/>
            </w:tcBorders>
            <w:shd w:val="clear" w:color="auto" w:fill="auto"/>
            <w:noWrap/>
            <w:vAlign w:val="center"/>
            <w:hideMark/>
          </w:tcPr>
          <w:p w14:paraId="18D55C45"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Período</w:t>
            </w:r>
          </w:p>
        </w:tc>
        <w:tc>
          <w:tcPr>
            <w:tcW w:w="960" w:type="dxa"/>
            <w:tcBorders>
              <w:top w:val="single" w:sz="4" w:space="0" w:color="auto"/>
              <w:left w:val="nil"/>
              <w:bottom w:val="single" w:sz="4" w:space="0" w:color="auto"/>
              <w:right w:val="nil"/>
            </w:tcBorders>
            <w:shd w:val="clear" w:color="auto" w:fill="auto"/>
            <w:noWrap/>
            <w:vAlign w:val="center"/>
            <w:hideMark/>
          </w:tcPr>
          <w:p w14:paraId="4C41738B"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CP1</w:t>
            </w:r>
          </w:p>
        </w:tc>
        <w:tc>
          <w:tcPr>
            <w:tcW w:w="960" w:type="dxa"/>
            <w:tcBorders>
              <w:top w:val="single" w:sz="4" w:space="0" w:color="auto"/>
              <w:left w:val="nil"/>
              <w:bottom w:val="single" w:sz="4" w:space="0" w:color="auto"/>
              <w:right w:val="nil"/>
            </w:tcBorders>
            <w:shd w:val="clear" w:color="auto" w:fill="auto"/>
            <w:noWrap/>
            <w:vAlign w:val="center"/>
            <w:hideMark/>
          </w:tcPr>
          <w:p w14:paraId="05FA8958"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CP2</w:t>
            </w:r>
          </w:p>
        </w:tc>
        <w:tc>
          <w:tcPr>
            <w:tcW w:w="960" w:type="dxa"/>
            <w:tcBorders>
              <w:top w:val="single" w:sz="4" w:space="0" w:color="auto"/>
              <w:left w:val="nil"/>
              <w:bottom w:val="single" w:sz="4" w:space="0" w:color="auto"/>
              <w:right w:val="nil"/>
            </w:tcBorders>
            <w:shd w:val="clear" w:color="auto" w:fill="auto"/>
            <w:noWrap/>
            <w:vAlign w:val="center"/>
            <w:hideMark/>
          </w:tcPr>
          <w:p w14:paraId="7773B362"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CP3</w:t>
            </w:r>
          </w:p>
        </w:tc>
      </w:tr>
      <w:tr w:rsidR="003D40BF" w:rsidRPr="003D40BF" w14:paraId="5C0AB1ED" w14:textId="77777777" w:rsidTr="003D40BF">
        <w:trPr>
          <w:trHeight w:val="300"/>
          <w:jc w:val="center"/>
        </w:trPr>
        <w:tc>
          <w:tcPr>
            <w:tcW w:w="1900" w:type="dxa"/>
            <w:tcBorders>
              <w:top w:val="nil"/>
              <w:left w:val="nil"/>
              <w:bottom w:val="nil"/>
              <w:right w:val="nil"/>
            </w:tcBorders>
            <w:shd w:val="clear" w:color="auto" w:fill="auto"/>
            <w:noWrap/>
            <w:vAlign w:val="center"/>
            <w:hideMark/>
          </w:tcPr>
          <w:p w14:paraId="4E365C6B"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Chuvoso</w:t>
            </w:r>
          </w:p>
        </w:tc>
        <w:tc>
          <w:tcPr>
            <w:tcW w:w="960" w:type="dxa"/>
            <w:tcBorders>
              <w:top w:val="nil"/>
              <w:left w:val="nil"/>
              <w:bottom w:val="nil"/>
              <w:right w:val="nil"/>
            </w:tcBorders>
            <w:shd w:val="clear" w:color="auto" w:fill="auto"/>
            <w:noWrap/>
            <w:vAlign w:val="center"/>
            <w:hideMark/>
          </w:tcPr>
          <w:p w14:paraId="1684536F"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29,05</w:t>
            </w:r>
          </w:p>
        </w:tc>
        <w:tc>
          <w:tcPr>
            <w:tcW w:w="960" w:type="dxa"/>
            <w:tcBorders>
              <w:top w:val="nil"/>
              <w:left w:val="nil"/>
              <w:bottom w:val="nil"/>
              <w:right w:val="nil"/>
            </w:tcBorders>
            <w:shd w:val="clear" w:color="auto" w:fill="auto"/>
            <w:noWrap/>
            <w:vAlign w:val="center"/>
            <w:hideMark/>
          </w:tcPr>
          <w:p w14:paraId="6D8185A4"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26,11</w:t>
            </w:r>
          </w:p>
        </w:tc>
        <w:tc>
          <w:tcPr>
            <w:tcW w:w="960" w:type="dxa"/>
            <w:tcBorders>
              <w:top w:val="nil"/>
              <w:left w:val="nil"/>
              <w:bottom w:val="nil"/>
              <w:right w:val="nil"/>
            </w:tcBorders>
            <w:shd w:val="clear" w:color="auto" w:fill="auto"/>
            <w:noWrap/>
            <w:vAlign w:val="center"/>
            <w:hideMark/>
          </w:tcPr>
          <w:p w14:paraId="1CF0C6E3"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23,17</w:t>
            </w:r>
          </w:p>
        </w:tc>
      </w:tr>
      <w:tr w:rsidR="003D40BF" w:rsidRPr="003D40BF" w14:paraId="1FCC6227" w14:textId="77777777" w:rsidTr="003D40BF">
        <w:trPr>
          <w:trHeight w:val="300"/>
          <w:jc w:val="center"/>
        </w:trPr>
        <w:tc>
          <w:tcPr>
            <w:tcW w:w="1900" w:type="dxa"/>
            <w:tcBorders>
              <w:top w:val="nil"/>
              <w:left w:val="nil"/>
              <w:bottom w:val="nil"/>
              <w:right w:val="nil"/>
            </w:tcBorders>
            <w:shd w:val="clear" w:color="auto" w:fill="auto"/>
            <w:noWrap/>
            <w:vAlign w:val="center"/>
            <w:hideMark/>
          </w:tcPr>
          <w:p w14:paraId="2158CB88"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Intermediário</w:t>
            </w:r>
          </w:p>
        </w:tc>
        <w:tc>
          <w:tcPr>
            <w:tcW w:w="960" w:type="dxa"/>
            <w:tcBorders>
              <w:top w:val="nil"/>
              <w:left w:val="nil"/>
              <w:bottom w:val="nil"/>
              <w:right w:val="nil"/>
            </w:tcBorders>
            <w:shd w:val="clear" w:color="auto" w:fill="auto"/>
            <w:vAlign w:val="center"/>
            <w:hideMark/>
          </w:tcPr>
          <w:p w14:paraId="6684F29A"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41,71</w:t>
            </w:r>
          </w:p>
        </w:tc>
        <w:tc>
          <w:tcPr>
            <w:tcW w:w="960" w:type="dxa"/>
            <w:tcBorders>
              <w:top w:val="nil"/>
              <w:left w:val="nil"/>
              <w:bottom w:val="nil"/>
              <w:right w:val="nil"/>
            </w:tcBorders>
            <w:shd w:val="clear" w:color="auto" w:fill="auto"/>
            <w:vAlign w:val="center"/>
            <w:hideMark/>
          </w:tcPr>
          <w:p w14:paraId="155BE1C1"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22,99</w:t>
            </w:r>
          </w:p>
        </w:tc>
        <w:tc>
          <w:tcPr>
            <w:tcW w:w="960" w:type="dxa"/>
            <w:tcBorders>
              <w:top w:val="nil"/>
              <w:left w:val="nil"/>
              <w:bottom w:val="nil"/>
              <w:right w:val="nil"/>
            </w:tcBorders>
            <w:shd w:val="clear" w:color="auto" w:fill="auto"/>
            <w:noWrap/>
            <w:vAlign w:val="center"/>
            <w:hideMark/>
          </w:tcPr>
          <w:p w14:paraId="00F05A7F"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w:t>
            </w:r>
          </w:p>
        </w:tc>
      </w:tr>
      <w:tr w:rsidR="003D40BF" w:rsidRPr="003D40BF" w14:paraId="781A0ABC" w14:textId="77777777" w:rsidTr="003D40BF">
        <w:trPr>
          <w:trHeight w:val="300"/>
          <w:jc w:val="center"/>
        </w:trPr>
        <w:tc>
          <w:tcPr>
            <w:tcW w:w="1900" w:type="dxa"/>
            <w:tcBorders>
              <w:top w:val="nil"/>
              <w:left w:val="nil"/>
              <w:bottom w:val="single" w:sz="4" w:space="0" w:color="auto"/>
              <w:right w:val="nil"/>
            </w:tcBorders>
            <w:shd w:val="clear" w:color="auto" w:fill="auto"/>
            <w:noWrap/>
            <w:vAlign w:val="center"/>
            <w:hideMark/>
          </w:tcPr>
          <w:p w14:paraId="7EDE257E"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Seco</w:t>
            </w:r>
          </w:p>
        </w:tc>
        <w:tc>
          <w:tcPr>
            <w:tcW w:w="960" w:type="dxa"/>
            <w:tcBorders>
              <w:top w:val="nil"/>
              <w:left w:val="nil"/>
              <w:bottom w:val="single" w:sz="4" w:space="0" w:color="auto"/>
              <w:right w:val="nil"/>
            </w:tcBorders>
            <w:shd w:val="clear" w:color="auto" w:fill="auto"/>
            <w:noWrap/>
            <w:vAlign w:val="center"/>
            <w:hideMark/>
          </w:tcPr>
          <w:p w14:paraId="2B514860"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40,57</w:t>
            </w:r>
          </w:p>
        </w:tc>
        <w:tc>
          <w:tcPr>
            <w:tcW w:w="960" w:type="dxa"/>
            <w:tcBorders>
              <w:top w:val="nil"/>
              <w:left w:val="nil"/>
              <w:bottom w:val="single" w:sz="4" w:space="0" w:color="auto"/>
              <w:right w:val="nil"/>
            </w:tcBorders>
            <w:shd w:val="clear" w:color="auto" w:fill="auto"/>
            <w:noWrap/>
            <w:vAlign w:val="center"/>
            <w:hideMark/>
          </w:tcPr>
          <w:p w14:paraId="685254D4"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22,62</w:t>
            </w:r>
          </w:p>
        </w:tc>
        <w:tc>
          <w:tcPr>
            <w:tcW w:w="960" w:type="dxa"/>
            <w:tcBorders>
              <w:top w:val="nil"/>
              <w:left w:val="nil"/>
              <w:bottom w:val="single" w:sz="4" w:space="0" w:color="auto"/>
              <w:right w:val="nil"/>
            </w:tcBorders>
            <w:shd w:val="clear" w:color="auto" w:fill="auto"/>
            <w:noWrap/>
            <w:vAlign w:val="center"/>
            <w:hideMark/>
          </w:tcPr>
          <w:p w14:paraId="398D2D92" w14:textId="77777777" w:rsidR="003D40BF" w:rsidRPr="003D40BF" w:rsidRDefault="003D40BF" w:rsidP="003D40BF">
            <w:pPr>
              <w:widowControl/>
              <w:suppressAutoHyphens w:val="0"/>
              <w:spacing w:after="0"/>
              <w:ind w:firstLine="0"/>
              <w:jc w:val="center"/>
              <w:rPr>
                <w:rFonts w:eastAsia="Times New Roman"/>
                <w:color w:val="000000"/>
              </w:rPr>
            </w:pPr>
            <w:r w:rsidRPr="003D40BF">
              <w:rPr>
                <w:rFonts w:eastAsia="Times New Roman"/>
                <w:color w:val="000000"/>
              </w:rPr>
              <w:t>14,36</w:t>
            </w:r>
          </w:p>
        </w:tc>
      </w:tr>
    </w:tbl>
    <w:p w14:paraId="0B7C5165" w14:textId="77777777" w:rsidR="003D40BF" w:rsidRDefault="003D40BF" w:rsidP="003D40BF">
      <w:pPr>
        <w:spacing w:after="0"/>
        <w:ind w:firstLine="0"/>
        <w:jc w:val="center"/>
        <w:rPr>
          <w:sz w:val="20"/>
          <w:szCs w:val="20"/>
        </w:rPr>
      </w:pPr>
      <w:r w:rsidRPr="00704829">
        <w:rPr>
          <w:bCs/>
          <w:sz w:val="20"/>
          <w:szCs w:val="20"/>
        </w:rPr>
        <w:t>Fonte:</w:t>
      </w:r>
      <w:r w:rsidRPr="00704829">
        <w:rPr>
          <w:sz w:val="20"/>
          <w:szCs w:val="20"/>
        </w:rPr>
        <w:t xml:space="preserve"> Autoria</w:t>
      </w:r>
      <w:r>
        <w:rPr>
          <w:sz w:val="20"/>
          <w:szCs w:val="20"/>
        </w:rPr>
        <w:t xml:space="preserve"> própria (2023).</w:t>
      </w:r>
    </w:p>
    <w:p w14:paraId="4F0624A0" w14:textId="77777777" w:rsidR="003D40BF" w:rsidRDefault="003D40BF" w:rsidP="00BD49E5">
      <w:pPr>
        <w:spacing w:line="360" w:lineRule="auto"/>
        <w:rPr>
          <w:szCs w:val="22"/>
        </w:rPr>
      </w:pPr>
    </w:p>
    <w:p w14:paraId="51767921" w14:textId="1B4CF620" w:rsidR="003D40BF" w:rsidRPr="00081512" w:rsidRDefault="00081512" w:rsidP="00081512">
      <w:pPr>
        <w:spacing w:line="360" w:lineRule="auto"/>
        <w:rPr>
          <w:bCs/>
        </w:rPr>
      </w:pPr>
      <w:r w:rsidRPr="00081512">
        <w:rPr>
          <w:bCs/>
        </w:rPr>
        <w:t>A Tabela</w:t>
      </w:r>
      <w:r>
        <w:rPr>
          <w:bCs/>
        </w:rPr>
        <w:t xml:space="preserve"> 2 apresenta</w:t>
      </w:r>
      <w:r w:rsidR="006779DD">
        <w:rPr>
          <w:bCs/>
        </w:rPr>
        <w:t>, com base na ACP,</w:t>
      </w:r>
      <w:r>
        <w:rPr>
          <w:bCs/>
        </w:rPr>
        <w:t xml:space="preserve"> os parâmetros responsáveis pelas cargas fatoriais elevadas, bem como as variáveis que podem estar relacionadas a associação destes.</w:t>
      </w:r>
    </w:p>
    <w:p w14:paraId="336C420B" w14:textId="1E855C93" w:rsidR="00BD49E5" w:rsidRDefault="00BD49E5" w:rsidP="00BD49E5">
      <w:pPr>
        <w:ind w:firstLine="0"/>
        <w:jc w:val="center"/>
      </w:pPr>
      <w:r>
        <w:rPr>
          <w:b/>
        </w:rPr>
        <w:lastRenderedPageBreak/>
        <w:t xml:space="preserve">Tabela </w:t>
      </w:r>
      <w:r w:rsidR="00081512">
        <w:rPr>
          <w:b/>
        </w:rPr>
        <w:t>2</w:t>
      </w:r>
      <w:r>
        <w:t xml:space="preserve"> – </w:t>
      </w:r>
      <w:r w:rsidR="003D40BF">
        <w:t>Variáveis associadas as componentes principais</w:t>
      </w:r>
    </w:p>
    <w:tbl>
      <w:tblPr>
        <w:tblW w:w="8931" w:type="dxa"/>
        <w:jc w:val="center"/>
        <w:tblCellMar>
          <w:left w:w="70" w:type="dxa"/>
          <w:right w:w="70" w:type="dxa"/>
        </w:tblCellMar>
        <w:tblLook w:val="04A0" w:firstRow="1" w:lastRow="0" w:firstColumn="1" w:lastColumn="0" w:noHBand="0" w:noVBand="1"/>
      </w:tblPr>
      <w:tblGrid>
        <w:gridCol w:w="1367"/>
        <w:gridCol w:w="1447"/>
        <w:gridCol w:w="2998"/>
        <w:gridCol w:w="3119"/>
      </w:tblGrid>
      <w:tr w:rsidR="00D60F34" w:rsidRPr="00BD49E5" w14:paraId="4572B7CC" w14:textId="77777777" w:rsidTr="00D60F34">
        <w:trPr>
          <w:trHeight w:val="630"/>
          <w:jc w:val="center"/>
        </w:trPr>
        <w:tc>
          <w:tcPr>
            <w:tcW w:w="1367" w:type="dxa"/>
            <w:tcBorders>
              <w:top w:val="single" w:sz="4" w:space="0" w:color="auto"/>
              <w:left w:val="nil"/>
              <w:bottom w:val="single" w:sz="4" w:space="0" w:color="auto"/>
              <w:right w:val="nil"/>
            </w:tcBorders>
            <w:shd w:val="clear" w:color="auto" w:fill="auto"/>
            <w:noWrap/>
            <w:vAlign w:val="center"/>
            <w:hideMark/>
          </w:tcPr>
          <w:p w14:paraId="2738D34B"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Componente</w:t>
            </w:r>
          </w:p>
        </w:tc>
        <w:tc>
          <w:tcPr>
            <w:tcW w:w="1447" w:type="dxa"/>
            <w:tcBorders>
              <w:top w:val="single" w:sz="4" w:space="0" w:color="auto"/>
              <w:left w:val="nil"/>
              <w:bottom w:val="single" w:sz="4" w:space="0" w:color="auto"/>
              <w:right w:val="nil"/>
            </w:tcBorders>
            <w:shd w:val="clear" w:color="auto" w:fill="auto"/>
            <w:noWrap/>
            <w:vAlign w:val="center"/>
            <w:hideMark/>
          </w:tcPr>
          <w:p w14:paraId="4A0E9CBE"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Período</w:t>
            </w:r>
          </w:p>
        </w:tc>
        <w:tc>
          <w:tcPr>
            <w:tcW w:w="2998" w:type="dxa"/>
            <w:tcBorders>
              <w:top w:val="single" w:sz="4" w:space="0" w:color="auto"/>
              <w:left w:val="nil"/>
              <w:bottom w:val="single" w:sz="4" w:space="0" w:color="auto"/>
              <w:right w:val="nil"/>
            </w:tcBorders>
            <w:shd w:val="clear" w:color="auto" w:fill="auto"/>
            <w:vAlign w:val="center"/>
            <w:hideMark/>
          </w:tcPr>
          <w:p w14:paraId="2D9FFD37"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Parâmetros (carga fatorial alta)</w:t>
            </w:r>
          </w:p>
        </w:tc>
        <w:tc>
          <w:tcPr>
            <w:tcW w:w="3119" w:type="dxa"/>
            <w:tcBorders>
              <w:top w:val="single" w:sz="4" w:space="0" w:color="auto"/>
              <w:left w:val="nil"/>
              <w:bottom w:val="single" w:sz="4" w:space="0" w:color="auto"/>
              <w:right w:val="nil"/>
            </w:tcBorders>
            <w:shd w:val="clear" w:color="auto" w:fill="auto"/>
            <w:vAlign w:val="center"/>
            <w:hideMark/>
          </w:tcPr>
          <w:p w14:paraId="6DC1F8CD"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Variável associada</w:t>
            </w:r>
          </w:p>
        </w:tc>
      </w:tr>
      <w:tr w:rsidR="00D60F34" w:rsidRPr="00BD49E5" w14:paraId="5E7E4398" w14:textId="77777777" w:rsidTr="00D60F34">
        <w:trPr>
          <w:trHeight w:val="648"/>
          <w:jc w:val="center"/>
        </w:trPr>
        <w:tc>
          <w:tcPr>
            <w:tcW w:w="1367" w:type="dxa"/>
            <w:vMerge w:val="restart"/>
            <w:tcBorders>
              <w:top w:val="nil"/>
              <w:left w:val="nil"/>
              <w:bottom w:val="single" w:sz="4" w:space="0" w:color="000000"/>
              <w:right w:val="nil"/>
            </w:tcBorders>
            <w:shd w:val="clear" w:color="auto" w:fill="auto"/>
            <w:noWrap/>
            <w:vAlign w:val="center"/>
            <w:hideMark/>
          </w:tcPr>
          <w:p w14:paraId="5D01F987"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CP1</w:t>
            </w:r>
          </w:p>
        </w:tc>
        <w:tc>
          <w:tcPr>
            <w:tcW w:w="1447" w:type="dxa"/>
            <w:tcBorders>
              <w:top w:val="nil"/>
              <w:left w:val="nil"/>
              <w:bottom w:val="nil"/>
              <w:right w:val="nil"/>
            </w:tcBorders>
            <w:shd w:val="clear" w:color="auto" w:fill="auto"/>
            <w:noWrap/>
            <w:vAlign w:val="center"/>
            <w:hideMark/>
          </w:tcPr>
          <w:p w14:paraId="2FCEA9E1"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Chuvoso</w:t>
            </w:r>
          </w:p>
        </w:tc>
        <w:tc>
          <w:tcPr>
            <w:tcW w:w="2998" w:type="dxa"/>
            <w:tcBorders>
              <w:top w:val="nil"/>
              <w:left w:val="nil"/>
              <w:bottom w:val="nil"/>
              <w:right w:val="nil"/>
            </w:tcBorders>
            <w:shd w:val="clear" w:color="auto" w:fill="auto"/>
            <w:vAlign w:val="center"/>
            <w:hideMark/>
          </w:tcPr>
          <w:p w14:paraId="2657DD8E"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STD, CE e nitrato</w:t>
            </w:r>
          </w:p>
        </w:tc>
        <w:tc>
          <w:tcPr>
            <w:tcW w:w="3119" w:type="dxa"/>
            <w:tcBorders>
              <w:top w:val="nil"/>
              <w:left w:val="nil"/>
              <w:bottom w:val="nil"/>
              <w:right w:val="nil"/>
            </w:tcBorders>
            <w:shd w:val="clear" w:color="auto" w:fill="auto"/>
            <w:vAlign w:val="center"/>
            <w:hideMark/>
          </w:tcPr>
          <w:p w14:paraId="13DB48A3"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contaminantes inorgânicos ou poluição química</w:t>
            </w:r>
          </w:p>
        </w:tc>
      </w:tr>
      <w:tr w:rsidR="00D60F34" w:rsidRPr="00BD49E5" w14:paraId="33CB773B" w14:textId="77777777" w:rsidTr="00D60F34">
        <w:trPr>
          <w:trHeight w:val="699"/>
          <w:jc w:val="center"/>
        </w:trPr>
        <w:tc>
          <w:tcPr>
            <w:tcW w:w="1367" w:type="dxa"/>
            <w:vMerge/>
            <w:tcBorders>
              <w:top w:val="nil"/>
              <w:left w:val="nil"/>
              <w:bottom w:val="single" w:sz="4" w:space="0" w:color="000000"/>
              <w:right w:val="nil"/>
            </w:tcBorders>
            <w:vAlign w:val="center"/>
            <w:hideMark/>
          </w:tcPr>
          <w:p w14:paraId="2CF408C5" w14:textId="77777777" w:rsidR="00BD49E5" w:rsidRPr="00BD49E5" w:rsidRDefault="00BD49E5" w:rsidP="00BD49E5">
            <w:pPr>
              <w:widowControl/>
              <w:suppressAutoHyphens w:val="0"/>
              <w:spacing w:after="0"/>
              <w:ind w:firstLine="0"/>
              <w:jc w:val="left"/>
              <w:rPr>
                <w:rFonts w:eastAsia="Times New Roman"/>
                <w:color w:val="000000"/>
              </w:rPr>
            </w:pPr>
          </w:p>
        </w:tc>
        <w:tc>
          <w:tcPr>
            <w:tcW w:w="1447" w:type="dxa"/>
            <w:tcBorders>
              <w:top w:val="nil"/>
              <w:left w:val="nil"/>
              <w:bottom w:val="nil"/>
              <w:right w:val="nil"/>
            </w:tcBorders>
            <w:shd w:val="clear" w:color="auto" w:fill="auto"/>
            <w:noWrap/>
            <w:vAlign w:val="center"/>
            <w:hideMark/>
          </w:tcPr>
          <w:p w14:paraId="29012C48"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Intermediário</w:t>
            </w:r>
          </w:p>
        </w:tc>
        <w:tc>
          <w:tcPr>
            <w:tcW w:w="2998" w:type="dxa"/>
            <w:tcBorders>
              <w:top w:val="nil"/>
              <w:left w:val="nil"/>
              <w:bottom w:val="nil"/>
              <w:right w:val="nil"/>
            </w:tcBorders>
            <w:shd w:val="clear" w:color="auto" w:fill="auto"/>
            <w:vAlign w:val="center"/>
            <w:hideMark/>
          </w:tcPr>
          <w:p w14:paraId="2D0CA145"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STD, CE, nitrogênio amoniacal e coliformes totais</w:t>
            </w:r>
          </w:p>
        </w:tc>
        <w:tc>
          <w:tcPr>
            <w:tcW w:w="3119" w:type="dxa"/>
            <w:tcBorders>
              <w:top w:val="nil"/>
              <w:left w:val="nil"/>
              <w:bottom w:val="nil"/>
              <w:right w:val="nil"/>
            </w:tcBorders>
            <w:shd w:val="clear" w:color="auto" w:fill="auto"/>
            <w:vAlign w:val="center"/>
            <w:hideMark/>
          </w:tcPr>
          <w:p w14:paraId="5893A91C"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contaminação de modo geral</w:t>
            </w:r>
          </w:p>
        </w:tc>
      </w:tr>
      <w:tr w:rsidR="00D60F34" w:rsidRPr="00BD49E5" w14:paraId="43E37A04" w14:textId="77777777" w:rsidTr="00D60F34">
        <w:trPr>
          <w:trHeight w:val="837"/>
          <w:jc w:val="center"/>
        </w:trPr>
        <w:tc>
          <w:tcPr>
            <w:tcW w:w="1367" w:type="dxa"/>
            <w:vMerge/>
            <w:tcBorders>
              <w:top w:val="nil"/>
              <w:left w:val="nil"/>
              <w:bottom w:val="single" w:sz="4" w:space="0" w:color="000000"/>
              <w:right w:val="nil"/>
            </w:tcBorders>
            <w:vAlign w:val="center"/>
            <w:hideMark/>
          </w:tcPr>
          <w:p w14:paraId="1FA9E708" w14:textId="77777777" w:rsidR="00BD49E5" w:rsidRPr="00BD49E5" w:rsidRDefault="00BD49E5" w:rsidP="00BD49E5">
            <w:pPr>
              <w:widowControl/>
              <w:suppressAutoHyphens w:val="0"/>
              <w:spacing w:after="0"/>
              <w:ind w:firstLine="0"/>
              <w:jc w:val="left"/>
              <w:rPr>
                <w:rFonts w:eastAsia="Times New Roman"/>
                <w:color w:val="000000"/>
              </w:rPr>
            </w:pPr>
          </w:p>
        </w:tc>
        <w:tc>
          <w:tcPr>
            <w:tcW w:w="1447" w:type="dxa"/>
            <w:tcBorders>
              <w:top w:val="nil"/>
              <w:left w:val="nil"/>
              <w:bottom w:val="single" w:sz="4" w:space="0" w:color="auto"/>
              <w:right w:val="nil"/>
            </w:tcBorders>
            <w:shd w:val="clear" w:color="auto" w:fill="auto"/>
            <w:noWrap/>
            <w:vAlign w:val="center"/>
            <w:hideMark/>
          </w:tcPr>
          <w:p w14:paraId="5410D427"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Seco</w:t>
            </w:r>
          </w:p>
        </w:tc>
        <w:tc>
          <w:tcPr>
            <w:tcW w:w="2998" w:type="dxa"/>
            <w:tcBorders>
              <w:top w:val="nil"/>
              <w:left w:val="nil"/>
              <w:bottom w:val="single" w:sz="4" w:space="0" w:color="auto"/>
              <w:right w:val="nil"/>
            </w:tcBorders>
            <w:shd w:val="clear" w:color="auto" w:fill="auto"/>
            <w:vAlign w:val="center"/>
            <w:hideMark/>
          </w:tcPr>
          <w:p w14:paraId="24A7C97E"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STD, CE, nitrogênio amoniacal e nitrito</w:t>
            </w:r>
          </w:p>
        </w:tc>
        <w:tc>
          <w:tcPr>
            <w:tcW w:w="3119" w:type="dxa"/>
            <w:tcBorders>
              <w:top w:val="nil"/>
              <w:left w:val="nil"/>
              <w:bottom w:val="single" w:sz="4" w:space="0" w:color="auto"/>
              <w:right w:val="nil"/>
            </w:tcBorders>
            <w:shd w:val="clear" w:color="auto" w:fill="auto"/>
            <w:vAlign w:val="center"/>
            <w:hideMark/>
          </w:tcPr>
          <w:p w14:paraId="53E99AC6"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poluição e contaminação química</w:t>
            </w:r>
          </w:p>
        </w:tc>
      </w:tr>
      <w:tr w:rsidR="00D60F34" w:rsidRPr="00BD49E5" w14:paraId="2BC85994" w14:textId="77777777" w:rsidTr="00D60F34">
        <w:trPr>
          <w:trHeight w:val="1017"/>
          <w:jc w:val="center"/>
        </w:trPr>
        <w:tc>
          <w:tcPr>
            <w:tcW w:w="1367" w:type="dxa"/>
            <w:vMerge w:val="restart"/>
            <w:tcBorders>
              <w:top w:val="nil"/>
              <w:left w:val="nil"/>
              <w:bottom w:val="single" w:sz="4" w:space="0" w:color="000000"/>
              <w:right w:val="nil"/>
            </w:tcBorders>
            <w:shd w:val="clear" w:color="auto" w:fill="auto"/>
            <w:noWrap/>
            <w:vAlign w:val="center"/>
            <w:hideMark/>
          </w:tcPr>
          <w:p w14:paraId="08CCCE5D"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CP2</w:t>
            </w:r>
          </w:p>
        </w:tc>
        <w:tc>
          <w:tcPr>
            <w:tcW w:w="1447" w:type="dxa"/>
            <w:tcBorders>
              <w:top w:val="nil"/>
              <w:left w:val="nil"/>
              <w:bottom w:val="nil"/>
              <w:right w:val="nil"/>
            </w:tcBorders>
            <w:shd w:val="clear" w:color="auto" w:fill="auto"/>
            <w:vAlign w:val="center"/>
            <w:hideMark/>
          </w:tcPr>
          <w:p w14:paraId="34157045"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Chuvoso</w:t>
            </w:r>
          </w:p>
        </w:tc>
        <w:tc>
          <w:tcPr>
            <w:tcW w:w="2998" w:type="dxa"/>
            <w:tcBorders>
              <w:top w:val="nil"/>
              <w:left w:val="nil"/>
              <w:bottom w:val="nil"/>
              <w:right w:val="nil"/>
            </w:tcBorders>
            <w:shd w:val="clear" w:color="auto" w:fill="auto"/>
            <w:vAlign w:val="center"/>
            <w:hideMark/>
          </w:tcPr>
          <w:p w14:paraId="3580E088"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nitrito e coliformes totais</w:t>
            </w:r>
          </w:p>
        </w:tc>
        <w:tc>
          <w:tcPr>
            <w:tcW w:w="3119" w:type="dxa"/>
            <w:tcBorders>
              <w:top w:val="nil"/>
              <w:left w:val="nil"/>
              <w:bottom w:val="nil"/>
              <w:right w:val="nil"/>
            </w:tcBorders>
            <w:shd w:val="clear" w:color="auto" w:fill="auto"/>
            <w:vAlign w:val="center"/>
            <w:hideMark/>
          </w:tcPr>
          <w:p w14:paraId="2C32969A"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 xml:space="preserve">contaminação microbiológica, indicador de poluição fecal, ou risco sanitário. </w:t>
            </w:r>
          </w:p>
        </w:tc>
      </w:tr>
      <w:tr w:rsidR="00D60F34" w:rsidRPr="00BD49E5" w14:paraId="279BD7D3" w14:textId="77777777" w:rsidTr="00D60F34">
        <w:trPr>
          <w:trHeight w:val="630"/>
          <w:jc w:val="center"/>
        </w:trPr>
        <w:tc>
          <w:tcPr>
            <w:tcW w:w="1367" w:type="dxa"/>
            <w:vMerge/>
            <w:tcBorders>
              <w:top w:val="nil"/>
              <w:left w:val="nil"/>
              <w:bottom w:val="single" w:sz="4" w:space="0" w:color="000000"/>
              <w:right w:val="nil"/>
            </w:tcBorders>
            <w:vAlign w:val="center"/>
            <w:hideMark/>
          </w:tcPr>
          <w:p w14:paraId="40214F1E" w14:textId="77777777" w:rsidR="00BD49E5" w:rsidRPr="00BD49E5" w:rsidRDefault="00BD49E5" w:rsidP="00BD49E5">
            <w:pPr>
              <w:widowControl/>
              <w:suppressAutoHyphens w:val="0"/>
              <w:spacing w:after="0"/>
              <w:ind w:firstLine="0"/>
              <w:jc w:val="left"/>
              <w:rPr>
                <w:rFonts w:eastAsia="Times New Roman"/>
                <w:color w:val="000000"/>
              </w:rPr>
            </w:pPr>
          </w:p>
        </w:tc>
        <w:tc>
          <w:tcPr>
            <w:tcW w:w="1447" w:type="dxa"/>
            <w:tcBorders>
              <w:top w:val="nil"/>
              <w:left w:val="nil"/>
              <w:bottom w:val="nil"/>
              <w:right w:val="nil"/>
            </w:tcBorders>
            <w:shd w:val="clear" w:color="auto" w:fill="auto"/>
            <w:noWrap/>
            <w:vAlign w:val="center"/>
            <w:hideMark/>
          </w:tcPr>
          <w:p w14:paraId="58E50F42"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Intermediário</w:t>
            </w:r>
          </w:p>
        </w:tc>
        <w:tc>
          <w:tcPr>
            <w:tcW w:w="2998" w:type="dxa"/>
            <w:tcBorders>
              <w:top w:val="nil"/>
              <w:left w:val="nil"/>
              <w:bottom w:val="nil"/>
              <w:right w:val="nil"/>
            </w:tcBorders>
            <w:shd w:val="clear" w:color="auto" w:fill="auto"/>
            <w:vAlign w:val="center"/>
            <w:hideMark/>
          </w:tcPr>
          <w:p w14:paraId="66873D40"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pH, temperatura e nitrato</w:t>
            </w:r>
          </w:p>
        </w:tc>
        <w:tc>
          <w:tcPr>
            <w:tcW w:w="3119" w:type="dxa"/>
            <w:tcBorders>
              <w:top w:val="nil"/>
              <w:left w:val="nil"/>
              <w:bottom w:val="nil"/>
              <w:right w:val="nil"/>
            </w:tcBorders>
            <w:shd w:val="clear" w:color="auto" w:fill="auto"/>
            <w:vAlign w:val="center"/>
            <w:hideMark/>
          </w:tcPr>
          <w:p w14:paraId="6D45BE21"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fatores ambientais</w:t>
            </w:r>
          </w:p>
        </w:tc>
      </w:tr>
      <w:tr w:rsidR="00D60F34" w:rsidRPr="00BD49E5" w14:paraId="0F62A628" w14:textId="77777777" w:rsidTr="00D60F34">
        <w:trPr>
          <w:trHeight w:val="630"/>
          <w:jc w:val="center"/>
        </w:trPr>
        <w:tc>
          <w:tcPr>
            <w:tcW w:w="1367" w:type="dxa"/>
            <w:vMerge/>
            <w:tcBorders>
              <w:top w:val="nil"/>
              <w:left w:val="nil"/>
              <w:bottom w:val="single" w:sz="4" w:space="0" w:color="000000"/>
              <w:right w:val="nil"/>
            </w:tcBorders>
            <w:vAlign w:val="center"/>
            <w:hideMark/>
          </w:tcPr>
          <w:p w14:paraId="20B3796B" w14:textId="77777777" w:rsidR="00BD49E5" w:rsidRPr="00BD49E5" w:rsidRDefault="00BD49E5" w:rsidP="00BD49E5">
            <w:pPr>
              <w:widowControl/>
              <w:suppressAutoHyphens w:val="0"/>
              <w:spacing w:after="0"/>
              <w:ind w:firstLine="0"/>
              <w:jc w:val="left"/>
              <w:rPr>
                <w:rFonts w:eastAsia="Times New Roman"/>
                <w:color w:val="000000"/>
              </w:rPr>
            </w:pPr>
          </w:p>
        </w:tc>
        <w:tc>
          <w:tcPr>
            <w:tcW w:w="1447" w:type="dxa"/>
            <w:tcBorders>
              <w:top w:val="nil"/>
              <w:left w:val="nil"/>
              <w:bottom w:val="single" w:sz="4" w:space="0" w:color="auto"/>
              <w:right w:val="nil"/>
            </w:tcBorders>
            <w:shd w:val="clear" w:color="auto" w:fill="auto"/>
            <w:noWrap/>
            <w:vAlign w:val="center"/>
            <w:hideMark/>
          </w:tcPr>
          <w:p w14:paraId="2045C774"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Seco</w:t>
            </w:r>
          </w:p>
        </w:tc>
        <w:tc>
          <w:tcPr>
            <w:tcW w:w="2998" w:type="dxa"/>
            <w:tcBorders>
              <w:top w:val="nil"/>
              <w:left w:val="nil"/>
              <w:bottom w:val="single" w:sz="4" w:space="0" w:color="auto"/>
              <w:right w:val="nil"/>
            </w:tcBorders>
            <w:shd w:val="clear" w:color="auto" w:fill="auto"/>
            <w:vAlign w:val="center"/>
            <w:hideMark/>
          </w:tcPr>
          <w:p w14:paraId="30016EDB"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 xml:space="preserve">pH e temperatura </w:t>
            </w:r>
          </w:p>
        </w:tc>
        <w:tc>
          <w:tcPr>
            <w:tcW w:w="3119" w:type="dxa"/>
            <w:tcBorders>
              <w:top w:val="nil"/>
              <w:left w:val="nil"/>
              <w:bottom w:val="single" w:sz="4" w:space="0" w:color="auto"/>
              <w:right w:val="nil"/>
            </w:tcBorders>
            <w:shd w:val="clear" w:color="auto" w:fill="auto"/>
            <w:vAlign w:val="center"/>
            <w:hideMark/>
          </w:tcPr>
          <w:p w14:paraId="42068680"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associação físico-química</w:t>
            </w:r>
          </w:p>
        </w:tc>
      </w:tr>
      <w:tr w:rsidR="00D60F34" w:rsidRPr="00BD49E5" w14:paraId="098033C3" w14:textId="77777777" w:rsidTr="00D60F34">
        <w:trPr>
          <w:trHeight w:val="945"/>
          <w:jc w:val="center"/>
        </w:trPr>
        <w:tc>
          <w:tcPr>
            <w:tcW w:w="1367" w:type="dxa"/>
            <w:vMerge w:val="restart"/>
            <w:tcBorders>
              <w:top w:val="nil"/>
              <w:left w:val="nil"/>
              <w:bottom w:val="single" w:sz="4" w:space="0" w:color="000000"/>
              <w:right w:val="nil"/>
            </w:tcBorders>
            <w:shd w:val="clear" w:color="auto" w:fill="auto"/>
            <w:noWrap/>
            <w:vAlign w:val="center"/>
            <w:hideMark/>
          </w:tcPr>
          <w:p w14:paraId="568D1536"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CP3</w:t>
            </w:r>
          </w:p>
        </w:tc>
        <w:tc>
          <w:tcPr>
            <w:tcW w:w="1447" w:type="dxa"/>
            <w:tcBorders>
              <w:top w:val="nil"/>
              <w:left w:val="nil"/>
              <w:bottom w:val="nil"/>
              <w:right w:val="nil"/>
            </w:tcBorders>
            <w:shd w:val="clear" w:color="auto" w:fill="auto"/>
            <w:noWrap/>
            <w:vAlign w:val="center"/>
            <w:hideMark/>
          </w:tcPr>
          <w:p w14:paraId="7D7399CC"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Chuvoso</w:t>
            </w:r>
          </w:p>
        </w:tc>
        <w:tc>
          <w:tcPr>
            <w:tcW w:w="2998" w:type="dxa"/>
            <w:tcBorders>
              <w:top w:val="nil"/>
              <w:left w:val="nil"/>
              <w:bottom w:val="nil"/>
              <w:right w:val="nil"/>
            </w:tcBorders>
            <w:shd w:val="clear" w:color="auto" w:fill="auto"/>
            <w:vAlign w:val="center"/>
            <w:hideMark/>
          </w:tcPr>
          <w:p w14:paraId="56E01780"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pH, temperatura e nitrogênio amoniacal</w:t>
            </w:r>
          </w:p>
        </w:tc>
        <w:tc>
          <w:tcPr>
            <w:tcW w:w="3119" w:type="dxa"/>
            <w:tcBorders>
              <w:top w:val="nil"/>
              <w:left w:val="nil"/>
              <w:bottom w:val="nil"/>
              <w:right w:val="nil"/>
            </w:tcBorders>
            <w:shd w:val="clear" w:color="auto" w:fill="auto"/>
            <w:vAlign w:val="center"/>
            <w:hideMark/>
          </w:tcPr>
          <w:p w14:paraId="6DF27505"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condições ambientais ou a fatores físico-químicos</w:t>
            </w:r>
          </w:p>
        </w:tc>
      </w:tr>
      <w:tr w:rsidR="00D60F34" w:rsidRPr="00BD49E5" w14:paraId="4DCB3EEE" w14:textId="77777777" w:rsidTr="00D60F34">
        <w:trPr>
          <w:trHeight w:val="272"/>
          <w:jc w:val="center"/>
        </w:trPr>
        <w:tc>
          <w:tcPr>
            <w:tcW w:w="1367" w:type="dxa"/>
            <w:vMerge/>
            <w:tcBorders>
              <w:top w:val="nil"/>
              <w:left w:val="nil"/>
              <w:bottom w:val="single" w:sz="4" w:space="0" w:color="000000"/>
              <w:right w:val="nil"/>
            </w:tcBorders>
            <w:vAlign w:val="center"/>
            <w:hideMark/>
          </w:tcPr>
          <w:p w14:paraId="164E6588" w14:textId="77777777" w:rsidR="00BD49E5" w:rsidRPr="00BD49E5" w:rsidRDefault="00BD49E5" w:rsidP="00BD49E5">
            <w:pPr>
              <w:widowControl/>
              <w:suppressAutoHyphens w:val="0"/>
              <w:spacing w:after="0"/>
              <w:ind w:firstLine="0"/>
              <w:jc w:val="left"/>
              <w:rPr>
                <w:rFonts w:eastAsia="Times New Roman"/>
                <w:color w:val="000000"/>
              </w:rPr>
            </w:pPr>
          </w:p>
        </w:tc>
        <w:tc>
          <w:tcPr>
            <w:tcW w:w="1447" w:type="dxa"/>
            <w:tcBorders>
              <w:top w:val="nil"/>
              <w:left w:val="nil"/>
              <w:bottom w:val="single" w:sz="4" w:space="0" w:color="auto"/>
              <w:right w:val="nil"/>
            </w:tcBorders>
            <w:shd w:val="clear" w:color="auto" w:fill="auto"/>
            <w:noWrap/>
            <w:vAlign w:val="center"/>
            <w:hideMark/>
          </w:tcPr>
          <w:p w14:paraId="5899D3E4"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Seco</w:t>
            </w:r>
          </w:p>
        </w:tc>
        <w:tc>
          <w:tcPr>
            <w:tcW w:w="2998" w:type="dxa"/>
            <w:tcBorders>
              <w:top w:val="nil"/>
              <w:left w:val="nil"/>
              <w:bottom w:val="single" w:sz="4" w:space="0" w:color="auto"/>
              <w:right w:val="nil"/>
            </w:tcBorders>
            <w:shd w:val="clear" w:color="auto" w:fill="auto"/>
            <w:vAlign w:val="center"/>
            <w:hideMark/>
          </w:tcPr>
          <w:p w14:paraId="2062C897"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nitrito</w:t>
            </w:r>
          </w:p>
        </w:tc>
        <w:tc>
          <w:tcPr>
            <w:tcW w:w="3119" w:type="dxa"/>
            <w:tcBorders>
              <w:top w:val="nil"/>
              <w:left w:val="nil"/>
              <w:bottom w:val="single" w:sz="4" w:space="0" w:color="auto"/>
              <w:right w:val="nil"/>
            </w:tcBorders>
            <w:shd w:val="clear" w:color="auto" w:fill="auto"/>
            <w:vAlign w:val="center"/>
            <w:hideMark/>
          </w:tcPr>
          <w:p w14:paraId="08B61EE0" w14:textId="77777777" w:rsidR="00BD49E5" w:rsidRPr="00BD49E5" w:rsidRDefault="00BD49E5" w:rsidP="00BD49E5">
            <w:pPr>
              <w:widowControl/>
              <w:suppressAutoHyphens w:val="0"/>
              <w:spacing w:after="0"/>
              <w:ind w:firstLine="0"/>
              <w:jc w:val="center"/>
              <w:rPr>
                <w:rFonts w:eastAsia="Times New Roman"/>
                <w:color w:val="000000"/>
              </w:rPr>
            </w:pPr>
            <w:r w:rsidRPr="00BD49E5">
              <w:rPr>
                <w:rFonts w:eastAsia="Times New Roman"/>
                <w:color w:val="000000"/>
              </w:rPr>
              <w:t>contaminação por nitrito</w:t>
            </w:r>
          </w:p>
        </w:tc>
      </w:tr>
    </w:tbl>
    <w:p w14:paraId="1B5E0AC8" w14:textId="77777777" w:rsidR="00BD49E5" w:rsidRDefault="00BD49E5" w:rsidP="00BD49E5">
      <w:pPr>
        <w:spacing w:after="0"/>
        <w:ind w:firstLine="0"/>
        <w:jc w:val="center"/>
        <w:rPr>
          <w:sz w:val="20"/>
          <w:szCs w:val="20"/>
        </w:rPr>
      </w:pPr>
      <w:r w:rsidRPr="00704829">
        <w:rPr>
          <w:bCs/>
          <w:sz w:val="20"/>
          <w:szCs w:val="20"/>
        </w:rPr>
        <w:t>Fonte:</w:t>
      </w:r>
      <w:r w:rsidRPr="00704829">
        <w:rPr>
          <w:sz w:val="20"/>
          <w:szCs w:val="20"/>
        </w:rPr>
        <w:t xml:space="preserve"> Autoria</w:t>
      </w:r>
      <w:r>
        <w:rPr>
          <w:sz w:val="20"/>
          <w:szCs w:val="20"/>
        </w:rPr>
        <w:t xml:space="preserve"> própria (2023).</w:t>
      </w:r>
    </w:p>
    <w:p w14:paraId="1D33C50E" w14:textId="77777777" w:rsidR="00C51028" w:rsidRDefault="00C51028" w:rsidP="00B12473">
      <w:pPr>
        <w:spacing w:line="360" w:lineRule="auto"/>
      </w:pPr>
    </w:p>
    <w:p w14:paraId="04EC2BB2" w14:textId="7D218CAA" w:rsidR="006779DD" w:rsidRDefault="006779DD" w:rsidP="006779DD">
      <w:pPr>
        <w:pStyle w:val="SeoPrimria"/>
        <w:spacing w:before="0" w:after="0" w:line="240" w:lineRule="auto"/>
      </w:pPr>
      <w:r>
        <w:t>4</w:t>
      </w:r>
      <w:r w:rsidRPr="009C0CF9">
        <w:t xml:space="preserve"> </w:t>
      </w:r>
      <w:r>
        <w:t>CONCLUSÕES</w:t>
      </w:r>
    </w:p>
    <w:p w14:paraId="1C688B16" w14:textId="77777777" w:rsidR="006779DD" w:rsidRDefault="006779DD" w:rsidP="00847841">
      <w:pPr>
        <w:spacing w:after="0" w:line="360" w:lineRule="auto"/>
      </w:pPr>
    </w:p>
    <w:p w14:paraId="1BBCD9C0" w14:textId="7C2F1790" w:rsidR="00AC323E" w:rsidRDefault="00AC323E" w:rsidP="00847841">
      <w:pPr>
        <w:spacing w:after="0" w:line="360" w:lineRule="auto"/>
      </w:pPr>
      <w:r>
        <w:t>Nesse estudo, a técnica aplicada auxiliou em uma melhor compreensão sobre os processos que interferem na qualidade das fontes naturais da Chapada do Araripe, gerando novas perspectivas acerca dos resultados das campanhas de monitoramento realizadas pela COGERH nos anos de 2018 e 2019.</w:t>
      </w:r>
    </w:p>
    <w:p w14:paraId="7383CEB4" w14:textId="5CA80BCB" w:rsidR="00BD49E5" w:rsidRDefault="00BD49E5" w:rsidP="00B12473">
      <w:pPr>
        <w:spacing w:line="360" w:lineRule="auto"/>
      </w:pPr>
      <w:r>
        <w:t xml:space="preserve">A análise de componentes principais aplicada a oito parâmetros medidos nas águas das 80 fontes, revelou que processos relacionados a poluição química e fecal, contaminação química e inorgânica, contaminação por nitrito, além das condições ambientais estão </w:t>
      </w:r>
      <w:proofErr w:type="gramStart"/>
      <w:r>
        <w:t>associados</w:t>
      </w:r>
      <w:proofErr w:type="gramEnd"/>
      <w:r>
        <w:t xml:space="preserve"> as componentes principais obtidas para os diferentes períodos analisados, tendo assim maior contribuição para as alterações na qualidade das águas.</w:t>
      </w:r>
    </w:p>
    <w:p w14:paraId="786F98FB" w14:textId="2B196C95" w:rsidR="00F14D1B" w:rsidRDefault="006779DD" w:rsidP="00847841">
      <w:pPr>
        <w:spacing w:after="0" w:line="360" w:lineRule="auto"/>
        <w:rPr>
          <w:szCs w:val="22"/>
        </w:rPr>
      </w:pPr>
      <w:r>
        <w:t>Em relação aos parâmetros de qualidade, s</w:t>
      </w:r>
      <w:r w:rsidR="00414D45">
        <w:t xml:space="preserve">e mostraram influentes em todos os 3 períodos os parâmetros STD e CE. </w:t>
      </w:r>
      <w:r w:rsidR="00414D45">
        <w:rPr>
          <w:szCs w:val="22"/>
        </w:rPr>
        <w:t xml:space="preserve">A presença do nitrogênio amoniacal foi influente nos períodos intermediários e seco. O nitrato teve uma maior influência no período chuvoso, os coliformes totais tiveram maior influência no período intermediário e o nitrito teve maior </w:t>
      </w:r>
      <w:r w:rsidR="00414D45">
        <w:rPr>
          <w:szCs w:val="22"/>
        </w:rPr>
        <w:lastRenderedPageBreak/>
        <w:t>influência no período seco.</w:t>
      </w:r>
    </w:p>
    <w:p w14:paraId="3E5C908D" w14:textId="17653725" w:rsidR="00245C79" w:rsidRDefault="00245C79" w:rsidP="00847841">
      <w:pPr>
        <w:pStyle w:val="Ttulo1"/>
        <w:spacing w:before="0" w:after="0" w:line="240" w:lineRule="auto"/>
        <w:jc w:val="center"/>
      </w:pPr>
      <w:r w:rsidRPr="009C0CF9">
        <w:t>REFERÊNCIAS</w:t>
      </w:r>
    </w:p>
    <w:p w14:paraId="0AD49454" w14:textId="77777777" w:rsidR="00C10C16" w:rsidRDefault="00C10C16" w:rsidP="00847841">
      <w:pPr>
        <w:rPr>
          <w:lang w:eastAsia="ar-SA"/>
        </w:rPr>
      </w:pPr>
    </w:p>
    <w:p w14:paraId="5675EA29" w14:textId="3FAAAEAC" w:rsidR="00AD69EB" w:rsidRPr="00565EBF" w:rsidRDefault="00CF6EA5" w:rsidP="00AD69EB">
      <w:pPr>
        <w:spacing w:after="240"/>
        <w:ind w:firstLine="0"/>
      </w:pPr>
      <w:r w:rsidRPr="00FA4120">
        <w:rPr>
          <w:color w:val="000000"/>
        </w:rPr>
        <w:t xml:space="preserve">BERTOSSI, A. P. A. </w:t>
      </w:r>
      <w:r w:rsidRPr="00FA4120">
        <w:rPr>
          <w:i/>
          <w:iCs/>
          <w:color w:val="000000"/>
        </w:rPr>
        <w:t>et al</w:t>
      </w:r>
      <w:r w:rsidRPr="00FA4120">
        <w:rPr>
          <w:color w:val="000000"/>
        </w:rPr>
        <w:t xml:space="preserve">. Seleção e agrupamento de indicadores da qualidade de águas utilizando Estatística Multivariada. </w:t>
      </w:r>
      <w:r w:rsidRPr="00FA4120">
        <w:rPr>
          <w:b/>
          <w:bCs/>
          <w:color w:val="000000"/>
        </w:rPr>
        <w:t>Revista Ciências Agrárias</w:t>
      </w:r>
      <w:r w:rsidRPr="00FA4120">
        <w:rPr>
          <w:color w:val="000000"/>
        </w:rPr>
        <w:t>, v. 34, n. 5, p. 2025-2036, 2013.</w:t>
      </w:r>
      <w:r w:rsidR="00AD69EB" w:rsidRPr="00AD69EB">
        <w:t xml:space="preserve"> </w:t>
      </w:r>
      <w:r w:rsidR="00AD69EB">
        <w:t xml:space="preserve">Disponível em: </w:t>
      </w:r>
      <w:hyperlink r:id="rId8" w:history="1">
        <w:r w:rsidR="00AD69EB" w:rsidRPr="00CF420E">
          <w:rPr>
            <w:rStyle w:val="Hyperlink"/>
          </w:rPr>
          <w:t>https://www.redalyc.org/pdf/4457/445744135003.pdf</w:t>
        </w:r>
      </w:hyperlink>
      <w:r w:rsidR="00AD69EB">
        <w:t xml:space="preserve">. Acesso em: 30 set. 2022. </w:t>
      </w:r>
    </w:p>
    <w:p w14:paraId="46B608FD" w14:textId="385BF9F9" w:rsidR="00CF6EA5" w:rsidRDefault="00CF6EA5" w:rsidP="00CF6EA5">
      <w:pPr>
        <w:pStyle w:val="NormalWeb"/>
        <w:spacing w:before="0" w:beforeAutospacing="0" w:after="240" w:afterAutospacing="0"/>
        <w:jc w:val="both"/>
        <w:rPr>
          <w:color w:val="222222"/>
          <w:shd w:val="clear" w:color="auto" w:fill="FFFFFF"/>
        </w:rPr>
      </w:pPr>
      <w:r w:rsidRPr="00FA4120">
        <w:rPr>
          <w:color w:val="222222"/>
          <w:shd w:val="clear" w:color="auto" w:fill="FFFFFF"/>
        </w:rPr>
        <w:t xml:space="preserve">BOGNOLA, Itamar </w:t>
      </w:r>
      <w:proofErr w:type="spellStart"/>
      <w:r w:rsidRPr="00FA4120">
        <w:rPr>
          <w:color w:val="222222"/>
          <w:shd w:val="clear" w:color="auto" w:fill="FFFFFF"/>
        </w:rPr>
        <w:t>Antonio</w:t>
      </w:r>
      <w:proofErr w:type="spellEnd"/>
      <w:r w:rsidRPr="00FA4120">
        <w:rPr>
          <w:color w:val="222222"/>
          <w:shd w:val="clear" w:color="auto" w:fill="FFFFFF"/>
        </w:rPr>
        <w:t xml:space="preserve"> </w:t>
      </w:r>
      <w:r w:rsidRPr="00FA4120">
        <w:rPr>
          <w:i/>
          <w:iCs/>
          <w:color w:val="222222"/>
          <w:shd w:val="clear" w:color="auto" w:fill="FFFFFF"/>
        </w:rPr>
        <w:t>et al</w:t>
      </w:r>
      <w:r w:rsidRPr="00FA4120">
        <w:rPr>
          <w:color w:val="222222"/>
          <w:shd w:val="clear" w:color="auto" w:fill="FFFFFF"/>
        </w:rPr>
        <w:t>.</w:t>
      </w:r>
      <w:r w:rsidRPr="00FA4120">
        <w:rPr>
          <w:b/>
          <w:bCs/>
          <w:color w:val="222222"/>
          <w:shd w:val="clear" w:color="auto" w:fill="FFFFFF"/>
        </w:rPr>
        <w:t xml:space="preserve"> </w:t>
      </w:r>
      <w:proofErr w:type="spellStart"/>
      <w:r w:rsidRPr="00FA4120">
        <w:rPr>
          <w:b/>
          <w:bCs/>
          <w:color w:val="222222"/>
          <w:shd w:val="clear" w:color="auto" w:fill="FFFFFF"/>
        </w:rPr>
        <w:t>Geoestatística</w:t>
      </w:r>
      <w:proofErr w:type="spellEnd"/>
      <w:r w:rsidRPr="00FA4120">
        <w:rPr>
          <w:b/>
          <w:bCs/>
          <w:color w:val="222222"/>
          <w:shd w:val="clear" w:color="auto" w:fill="FFFFFF"/>
        </w:rPr>
        <w:t xml:space="preserve"> integrada com estatística multivariada e geoprocessamento na definição de unidades de manejo para o Pinus </w:t>
      </w:r>
      <w:proofErr w:type="spellStart"/>
      <w:r w:rsidRPr="00FA4120">
        <w:rPr>
          <w:b/>
          <w:bCs/>
          <w:color w:val="222222"/>
          <w:shd w:val="clear" w:color="auto" w:fill="FFFFFF"/>
        </w:rPr>
        <w:t>taeda</w:t>
      </w:r>
      <w:proofErr w:type="spellEnd"/>
      <w:r w:rsidRPr="00FA4120">
        <w:rPr>
          <w:b/>
          <w:bCs/>
          <w:color w:val="222222"/>
          <w:shd w:val="clear" w:color="auto" w:fill="FFFFFF"/>
        </w:rPr>
        <w:t>.</w:t>
      </w:r>
      <w:r w:rsidRPr="00FA4120">
        <w:rPr>
          <w:color w:val="222222"/>
          <w:shd w:val="clear" w:color="auto" w:fill="FFFFFF"/>
        </w:rPr>
        <w:t xml:space="preserve"> 2011.</w:t>
      </w:r>
      <w:r w:rsidR="00AD69EB">
        <w:rPr>
          <w:color w:val="222222"/>
          <w:shd w:val="clear" w:color="auto" w:fill="FFFFFF"/>
        </w:rPr>
        <w:t xml:space="preserve"> Disponível em: </w:t>
      </w:r>
      <w:hyperlink r:id="rId9" w:history="1">
        <w:r w:rsidR="00AD69EB" w:rsidRPr="00CF420E">
          <w:rPr>
            <w:rStyle w:val="Hyperlink"/>
            <w:shd w:val="clear" w:color="auto" w:fill="FFFFFF"/>
          </w:rPr>
          <w:t>https://core.ac.uk/download/pdf/45500852.pdf</w:t>
        </w:r>
      </w:hyperlink>
      <w:r w:rsidR="00AD69EB">
        <w:rPr>
          <w:color w:val="222222"/>
          <w:shd w:val="clear" w:color="auto" w:fill="FFFFFF"/>
        </w:rPr>
        <w:t>. Acesso em: 21 mar. 2023.</w:t>
      </w:r>
    </w:p>
    <w:p w14:paraId="4D91C14C" w14:textId="52F3C9B8" w:rsidR="009979E3" w:rsidRPr="00FA4120" w:rsidRDefault="009979E3" w:rsidP="009979E3">
      <w:pPr>
        <w:pStyle w:val="NormalWeb"/>
        <w:spacing w:before="240" w:beforeAutospacing="0" w:after="240" w:afterAutospacing="0"/>
        <w:jc w:val="both"/>
      </w:pPr>
      <w:bookmarkStart w:id="1" w:name="_Hlk147048714"/>
      <w:r w:rsidRPr="00FA4120">
        <w:t xml:space="preserve">COGERH – Companhia de Gestão dos Recursos Hídricos. </w:t>
      </w:r>
      <w:r w:rsidRPr="00FA4120">
        <w:rPr>
          <w:b/>
          <w:bCs/>
        </w:rPr>
        <w:t xml:space="preserve">Produto 16 – Relatório Final de Consistência e Tratamento de Dados Qualitativos, </w:t>
      </w:r>
      <w:r w:rsidRPr="00FA4120">
        <w:t xml:space="preserve">Ceará, Fortaleza – CE, </w:t>
      </w:r>
      <w:proofErr w:type="gramStart"/>
      <w:r w:rsidRPr="00FA4120">
        <w:t>Março</w:t>
      </w:r>
      <w:proofErr w:type="gramEnd"/>
      <w:r w:rsidRPr="00FA4120">
        <w:t>, 2020.</w:t>
      </w:r>
      <w:r>
        <w:t xml:space="preserve"> Disponível em: </w:t>
      </w:r>
      <w:hyperlink r:id="rId10" w:history="1">
        <w:r w:rsidRPr="00A02A57">
          <w:rPr>
            <w:rStyle w:val="Hyperlink"/>
          </w:rPr>
          <w:t>https://portal.cogerh.com.br/uploads-direct/Relatório%20Final%20de%20Tratamento%20e%20Consistência%20de%20Dados%20Qualitativas.pdf</w:t>
        </w:r>
      </w:hyperlink>
      <w:r>
        <w:t xml:space="preserve">. Acesso em: 08 ago. 2022. </w:t>
      </w:r>
    </w:p>
    <w:bookmarkEnd w:id="1"/>
    <w:p w14:paraId="5083AEBF" w14:textId="510143F5" w:rsidR="00CF6EA5" w:rsidRPr="00565EBF" w:rsidRDefault="00CF6EA5" w:rsidP="00CF6EA5">
      <w:pPr>
        <w:spacing w:after="240"/>
        <w:ind w:firstLine="0"/>
      </w:pPr>
      <w:r w:rsidRPr="00565EBF">
        <w:t xml:space="preserve">GOMES, Maria da Conceição Rabelo et al. </w:t>
      </w:r>
      <w:r w:rsidRPr="00565EBF">
        <w:rPr>
          <w:b/>
          <w:bCs/>
        </w:rPr>
        <w:t>Similaridade de atributos físico-químicos com uso de análise multivariada aplicada à gestão qualitativa de águas subterrâneas.</w:t>
      </w:r>
      <w:r w:rsidRPr="00565EBF">
        <w:t> </w:t>
      </w:r>
      <w:proofErr w:type="spellStart"/>
      <w:r w:rsidRPr="00565EBF">
        <w:t>Geosciences</w:t>
      </w:r>
      <w:proofErr w:type="spellEnd"/>
      <w:r w:rsidRPr="00565EBF">
        <w:t>= Geociências, v. 36, n. 2, p. 325-337, 2017.</w:t>
      </w:r>
      <w:r>
        <w:t xml:space="preserve"> Disponível em: </w:t>
      </w:r>
      <w:hyperlink r:id="rId11" w:history="1">
        <w:r w:rsidR="00AD69EB" w:rsidRPr="00CF420E">
          <w:rPr>
            <w:rStyle w:val="Hyperlink"/>
          </w:rPr>
          <w:t>https://www.periodicos.rc.biblioteca.unesp.br/index.php/geociencias/article/view/12591</w:t>
        </w:r>
      </w:hyperlink>
      <w:r w:rsidR="00AD69EB">
        <w:t xml:space="preserve">. </w:t>
      </w:r>
      <w:r>
        <w:t>Acesso em</w:t>
      </w:r>
      <w:r w:rsidR="00AD69EB">
        <w:t xml:space="preserve">: 24 out. 2022. </w:t>
      </w:r>
    </w:p>
    <w:p w14:paraId="66D3B13F" w14:textId="7C3A1B5A" w:rsidR="00CF6EA5" w:rsidRPr="000337C0" w:rsidRDefault="00CF6EA5" w:rsidP="00CF6EA5">
      <w:pPr>
        <w:pStyle w:val="NormalWeb"/>
        <w:spacing w:before="0" w:beforeAutospacing="0" w:after="240" w:afterAutospacing="0"/>
        <w:rPr>
          <w:color w:val="222222"/>
          <w:lang w:val="en-US"/>
        </w:rPr>
      </w:pPr>
      <w:r w:rsidRPr="00F55715">
        <w:rPr>
          <w:color w:val="222222"/>
          <w:shd w:val="clear" w:color="auto" w:fill="FFFFFF"/>
        </w:rPr>
        <w:t xml:space="preserve">HAIR, J. F. </w:t>
      </w:r>
      <w:r w:rsidRPr="00F55715">
        <w:rPr>
          <w:i/>
          <w:iCs/>
          <w:color w:val="222222"/>
          <w:shd w:val="clear" w:color="auto" w:fill="FFFFFF"/>
        </w:rPr>
        <w:t>et al</w:t>
      </w:r>
      <w:r w:rsidRPr="00F55715">
        <w:rPr>
          <w:color w:val="222222"/>
          <w:shd w:val="clear" w:color="auto" w:fill="FFFFFF"/>
        </w:rPr>
        <w:t xml:space="preserve">. </w:t>
      </w:r>
      <w:r w:rsidR="00847841">
        <w:rPr>
          <w:b/>
          <w:bCs/>
          <w:color w:val="222222"/>
          <w:shd w:val="clear" w:color="auto" w:fill="FFFFFF"/>
        </w:rPr>
        <w:t>Análise multivariada de dados</w:t>
      </w:r>
      <w:r w:rsidRPr="00FA4120">
        <w:rPr>
          <w:b/>
          <w:bCs/>
          <w:color w:val="222222"/>
          <w:shd w:val="clear" w:color="auto" w:fill="FFFFFF"/>
        </w:rPr>
        <w:t>.</w:t>
      </w:r>
      <w:r w:rsidRPr="00FA4120">
        <w:rPr>
          <w:color w:val="222222"/>
          <w:shd w:val="clear" w:color="auto" w:fill="FFFFFF"/>
        </w:rPr>
        <w:t xml:space="preserve"> </w:t>
      </w:r>
      <w:r w:rsidRPr="000337C0">
        <w:rPr>
          <w:color w:val="222222"/>
          <w:shd w:val="clear" w:color="auto" w:fill="FFFFFF"/>
          <w:lang w:val="en-US"/>
        </w:rPr>
        <w:t>200</w:t>
      </w:r>
      <w:r w:rsidR="00847841">
        <w:rPr>
          <w:color w:val="222222"/>
          <w:shd w:val="clear" w:color="auto" w:fill="FFFFFF"/>
          <w:lang w:val="en-US"/>
        </w:rPr>
        <w:t>9</w:t>
      </w:r>
      <w:r w:rsidRPr="000337C0">
        <w:rPr>
          <w:color w:val="222222"/>
          <w:shd w:val="clear" w:color="auto" w:fill="FFFFFF"/>
          <w:lang w:val="en-US"/>
        </w:rPr>
        <w:t>.</w:t>
      </w:r>
    </w:p>
    <w:p w14:paraId="6243B240" w14:textId="6A228F19" w:rsidR="00CF6EA5" w:rsidRPr="00AD69EB" w:rsidRDefault="00CF6EA5" w:rsidP="00CF6EA5">
      <w:pPr>
        <w:pStyle w:val="NormalWeb"/>
        <w:spacing w:before="0" w:beforeAutospacing="0" w:after="240" w:afterAutospacing="0"/>
        <w:jc w:val="both"/>
        <w:rPr>
          <w:lang w:val="en-US"/>
        </w:rPr>
      </w:pPr>
      <w:r w:rsidRPr="000337C0">
        <w:rPr>
          <w:color w:val="222222"/>
          <w:lang w:val="en-US"/>
        </w:rPr>
        <w:t xml:space="preserve">HARINI, P. </w:t>
      </w:r>
      <w:r w:rsidRPr="000337C0">
        <w:rPr>
          <w:i/>
          <w:iCs/>
          <w:color w:val="222222"/>
          <w:lang w:val="en-US"/>
        </w:rPr>
        <w:t>et al</w:t>
      </w:r>
      <w:r w:rsidRPr="000337C0">
        <w:rPr>
          <w:color w:val="222222"/>
          <w:lang w:val="en-US"/>
        </w:rPr>
        <w:t xml:space="preserve">. </w:t>
      </w:r>
      <w:proofErr w:type="gramStart"/>
      <w:r w:rsidRPr="00FA4120">
        <w:rPr>
          <w:color w:val="222222"/>
          <w:lang w:val="en-US"/>
        </w:rPr>
        <w:t>Regional</w:t>
      </w:r>
      <w:proofErr w:type="gramEnd"/>
      <w:r w:rsidRPr="00FA4120">
        <w:rPr>
          <w:color w:val="222222"/>
          <w:lang w:val="en-US"/>
        </w:rPr>
        <w:t xml:space="preserve"> groundwater assessment of Krishna River basin using integrated GIS approach. </w:t>
      </w:r>
      <w:r w:rsidRPr="00FA4120">
        <w:rPr>
          <w:b/>
          <w:bCs/>
          <w:color w:val="222222"/>
          <w:lang w:val="en-US"/>
        </w:rPr>
        <w:t>Journal of the Indian Society of Remote Sensing</w:t>
      </w:r>
      <w:r w:rsidRPr="00FA4120">
        <w:rPr>
          <w:color w:val="222222"/>
          <w:lang w:val="en-US"/>
        </w:rPr>
        <w:t>, v. 46, n. 9, p. 1365-1377, 2018.</w:t>
      </w:r>
      <w:r w:rsidR="00AD69EB">
        <w:rPr>
          <w:color w:val="222222"/>
          <w:lang w:val="en-US"/>
        </w:rPr>
        <w:t xml:space="preserve"> </w:t>
      </w:r>
      <w:proofErr w:type="spellStart"/>
      <w:r w:rsidR="00AD69EB">
        <w:rPr>
          <w:color w:val="222222"/>
          <w:lang w:val="en-US"/>
        </w:rPr>
        <w:t>Disponível</w:t>
      </w:r>
      <w:proofErr w:type="spellEnd"/>
      <w:r w:rsidR="00AD69EB">
        <w:rPr>
          <w:color w:val="222222"/>
          <w:lang w:val="en-US"/>
        </w:rPr>
        <w:t xml:space="preserve"> </w:t>
      </w:r>
      <w:proofErr w:type="spellStart"/>
      <w:r w:rsidR="00AD69EB">
        <w:rPr>
          <w:color w:val="222222"/>
          <w:lang w:val="en-US"/>
        </w:rPr>
        <w:t>em</w:t>
      </w:r>
      <w:proofErr w:type="spellEnd"/>
      <w:r w:rsidR="00AD69EB">
        <w:rPr>
          <w:color w:val="222222"/>
          <w:lang w:val="en-US"/>
        </w:rPr>
        <w:t xml:space="preserve">: </w:t>
      </w:r>
      <w:hyperlink r:id="rId12" w:history="1">
        <w:r w:rsidR="00AD69EB" w:rsidRPr="00AD69EB">
          <w:rPr>
            <w:rStyle w:val="Hyperlink"/>
            <w:rFonts w:eastAsia="Arial Unicode MS"/>
            <w:lang w:val="en-US"/>
          </w:rPr>
          <w:t>Regional Groundwater Assessment of Krishna River Basin Using Integrated GIS Approach | SpringerLink</w:t>
        </w:r>
      </w:hyperlink>
      <w:r w:rsidR="00AD69EB" w:rsidRPr="00AD69EB">
        <w:rPr>
          <w:lang w:val="en-US"/>
        </w:rPr>
        <w:t>.</w:t>
      </w:r>
      <w:r w:rsidR="00AD69EB">
        <w:rPr>
          <w:lang w:val="en-US"/>
        </w:rPr>
        <w:t xml:space="preserve"> </w:t>
      </w:r>
      <w:proofErr w:type="spellStart"/>
      <w:r w:rsidR="00AD69EB">
        <w:rPr>
          <w:lang w:val="en-US"/>
        </w:rPr>
        <w:t>Acesso</w:t>
      </w:r>
      <w:proofErr w:type="spellEnd"/>
      <w:r w:rsidR="00AD69EB">
        <w:rPr>
          <w:lang w:val="en-US"/>
        </w:rPr>
        <w:t xml:space="preserve"> </w:t>
      </w:r>
      <w:proofErr w:type="spellStart"/>
      <w:r w:rsidR="00AD69EB">
        <w:rPr>
          <w:lang w:val="en-US"/>
        </w:rPr>
        <w:t>em</w:t>
      </w:r>
      <w:proofErr w:type="spellEnd"/>
      <w:r w:rsidR="00AD69EB">
        <w:rPr>
          <w:lang w:val="en-US"/>
        </w:rPr>
        <w:t>: 15 ago. 2022.</w:t>
      </w:r>
    </w:p>
    <w:p w14:paraId="5A1A1E76" w14:textId="081F2B26" w:rsidR="00CF6EA5" w:rsidRPr="00AD69EB" w:rsidRDefault="00CF6EA5" w:rsidP="00D60F34">
      <w:pPr>
        <w:pStyle w:val="NormalWeb"/>
        <w:spacing w:before="0" w:beforeAutospacing="0" w:after="240" w:afterAutospacing="0"/>
        <w:jc w:val="both"/>
        <w:rPr>
          <w:color w:val="222222"/>
        </w:rPr>
      </w:pPr>
      <w:r w:rsidRPr="00FA4120">
        <w:rPr>
          <w:color w:val="222222"/>
          <w:lang w:val="en-US"/>
        </w:rPr>
        <w:t xml:space="preserve">HOOGESTEGER, J.; WESTER, P. Intensive groundwater use and (in) equity: Processes and governance challenges. </w:t>
      </w:r>
      <w:r w:rsidRPr="000337C0">
        <w:rPr>
          <w:b/>
          <w:bCs/>
          <w:color w:val="222222"/>
        </w:rPr>
        <w:t xml:space="preserve">Environmental </w:t>
      </w:r>
      <w:proofErr w:type="spellStart"/>
      <w:r w:rsidRPr="000337C0">
        <w:rPr>
          <w:b/>
          <w:bCs/>
          <w:color w:val="222222"/>
        </w:rPr>
        <w:t>science</w:t>
      </w:r>
      <w:proofErr w:type="spellEnd"/>
      <w:r w:rsidRPr="000337C0">
        <w:rPr>
          <w:b/>
          <w:bCs/>
          <w:color w:val="222222"/>
        </w:rPr>
        <w:t xml:space="preserve"> &amp; </w:t>
      </w:r>
      <w:proofErr w:type="spellStart"/>
      <w:r w:rsidRPr="000337C0">
        <w:rPr>
          <w:b/>
          <w:bCs/>
          <w:color w:val="222222"/>
        </w:rPr>
        <w:t>policy</w:t>
      </w:r>
      <w:proofErr w:type="spellEnd"/>
      <w:r w:rsidRPr="000337C0">
        <w:rPr>
          <w:color w:val="222222"/>
        </w:rPr>
        <w:t>, v. 51, p. 117-124, 2015.</w:t>
      </w:r>
      <w:r w:rsidR="00AD69EB" w:rsidRPr="000337C0">
        <w:rPr>
          <w:color w:val="222222"/>
        </w:rPr>
        <w:t xml:space="preserve"> </w:t>
      </w:r>
      <w:r w:rsidR="00AD69EB" w:rsidRPr="00AD69EB">
        <w:rPr>
          <w:color w:val="222222"/>
        </w:rPr>
        <w:t xml:space="preserve">Disponível em: </w:t>
      </w:r>
      <w:hyperlink r:id="rId13" w:history="1">
        <w:r w:rsidR="00AD69EB" w:rsidRPr="00CF420E">
          <w:rPr>
            <w:rStyle w:val="Hyperlink"/>
          </w:rPr>
          <w:t>https://pdf.sciencedirectassets.com/271991/1-s2.0-S1462901115X00049/1-s2.0-S1462901115000714/main.pdf</w:t>
        </w:r>
      </w:hyperlink>
      <w:r w:rsidR="00AD69EB">
        <w:rPr>
          <w:color w:val="222222"/>
        </w:rPr>
        <w:t>. Acesso em: 10 out. 2022.</w:t>
      </w:r>
    </w:p>
    <w:p w14:paraId="370F6D35" w14:textId="0A91B25D" w:rsidR="00CF6EA5" w:rsidRPr="00FA4120" w:rsidRDefault="00CF6EA5" w:rsidP="00CF6EA5">
      <w:pPr>
        <w:pStyle w:val="NormalWeb"/>
        <w:spacing w:before="0" w:beforeAutospacing="0" w:after="240" w:afterAutospacing="0"/>
        <w:jc w:val="both"/>
        <w:rPr>
          <w:color w:val="000000"/>
        </w:rPr>
      </w:pPr>
      <w:r w:rsidRPr="00FA4120">
        <w:rPr>
          <w:color w:val="000000"/>
        </w:rPr>
        <w:t xml:space="preserve">VERÍSSIMO, L. S.; CAVALCANTE, I. N. As Águas Subterrâneas do </w:t>
      </w:r>
      <w:proofErr w:type="spellStart"/>
      <w:r w:rsidRPr="00FA4120">
        <w:rPr>
          <w:color w:val="000000"/>
        </w:rPr>
        <w:t>Crajubar</w:t>
      </w:r>
      <w:proofErr w:type="spellEnd"/>
      <w:r w:rsidRPr="00FA4120">
        <w:rPr>
          <w:color w:val="000000"/>
        </w:rPr>
        <w:t>, Região do Cariri-Estado</w:t>
      </w:r>
      <w:r w:rsidR="0008334F">
        <w:rPr>
          <w:color w:val="000000"/>
        </w:rPr>
        <w:t xml:space="preserve"> </w:t>
      </w:r>
      <w:r w:rsidRPr="00FA4120">
        <w:rPr>
          <w:color w:val="000000"/>
        </w:rPr>
        <w:t xml:space="preserve">do Ceará-Brasil. </w:t>
      </w:r>
      <w:r w:rsidRPr="00FA4120">
        <w:rPr>
          <w:b/>
          <w:bCs/>
          <w:color w:val="000000"/>
        </w:rPr>
        <w:t>Revista</w:t>
      </w:r>
      <w:r w:rsidRPr="00FA4120">
        <w:rPr>
          <w:color w:val="000000"/>
        </w:rPr>
        <w:t xml:space="preserve"> </w:t>
      </w:r>
      <w:r w:rsidRPr="00FA4120">
        <w:rPr>
          <w:b/>
          <w:bCs/>
          <w:color w:val="000000"/>
        </w:rPr>
        <w:t>Águas Subterrâneas</w:t>
      </w:r>
      <w:r w:rsidRPr="00FA4120">
        <w:rPr>
          <w:color w:val="000000"/>
        </w:rPr>
        <w:t>, 2000.</w:t>
      </w:r>
      <w:r w:rsidR="00AD69EB">
        <w:rPr>
          <w:color w:val="000000"/>
        </w:rPr>
        <w:t xml:space="preserve"> Disponível em: </w:t>
      </w:r>
      <w:hyperlink r:id="rId14" w:history="1">
        <w:r w:rsidR="00AD69EB" w:rsidRPr="00CF420E">
          <w:rPr>
            <w:rStyle w:val="Hyperlink"/>
          </w:rPr>
          <w:t>https://aguassubterraneas.abas.org/asubterraneas/article/view/23450</w:t>
        </w:r>
      </w:hyperlink>
      <w:r w:rsidR="00AD69EB">
        <w:rPr>
          <w:color w:val="000000"/>
        </w:rPr>
        <w:t>. Acesso em:</w:t>
      </w:r>
      <w:r w:rsidR="0008334F">
        <w:rPr>
          <w:color w:val="000000"/>
        </w:rPr>
        <w:t xml:space="preserve"> 06 ago. 2022.</w:t>
      </w:r>
    </w:p>
    <w:p w14:paraId="5A61994E" w14:textId="0FEC8006" w:rsidR="00CF6EA5" w:rsidRPr="00C10C16" w:rsidRDefault="00CF6EA5" w:rsidP="00AC323E">
      <w:pPr>
        <w:pStyle w:val="NormalWeb"/>
        <w:spacing w:before="0" w:beforeAutospacing="0" w:after="240" w:afterAutospacing="0"/>
        <w:jc w:val="both"/>
        <w:rPr>
          <w:lang w:eastAsia="ar-SA"/>
        </w:rPr>
      </w:pPr>
      <w:r w:rsidRPr="00CF6EA5">
        <w:rPr>
          <w:color w:val="222222"/>
          <w:shd w:val="clear" w:color="auto" w:fill="FFFFFF"/>
        </w:rPr>
        <w:t xml:space="preserve">ZOBY, J. L. G. </w:t>
      </w:r>
      <w:r w:rsidRPr="00CF6EA5">
        <w:rPr>
          <w:i/>
          <w:iCs/>
          <w:color w:val="222222"/>
          <w:shd w:val="clear" w:color="auto" w:fill="FFFFFF"/>
        </w:rPr>
        <w:t>et al.</w:t>
      </w:r>
      <w:r w:rsidRPr="00CF6EA5">
        <w:rPr>
          <w:color w:val="222222"/>
          <w:shd w:val="clear" w:color="auto" w:fill="FFFFFF"/>
        </w:rPr>
        <w:t xml:space="preserve"> </w:t>
      </w:r>
      <w:r w:rsidRPr="00FA4120">
        <w:rPr>
          <w:color w:val="222222"/>
          <w:shd w:val="clear" w:color="auto" w:fill="FFFFFF"/>
        </w:rPr>
        <w:t xml:space="preserve">Disponibilidade de águas subterrâneas na bacia do rio São Francisco. </w:t>
      </w:r>
      <w:r w:rsidRPr="00FA4120">
        <w:rPr>
          <w:b/>
          <w:bCs/>
          <w:color w:val="222222"/>
          <w:shd w:val="clear" w:color="auto" w:fill="FFFFFF"/>
        </w:rPr>
        <w:t>XII Congresso Brasileiro de</w:t>
      </w:r>
      <w:r w:rsidRPr="00FA4120">
        <w:rPr>
          <w:color w:val="222222"/>
          <w:shd w:val="clear" w:color="auto" w:fill="FFFFFF"/>
        </w:rPr>
        <w:t xml:space="preserve"> </w:t>
      </w:r>
      <w:r w:rsidRPr="00FA4120">
        <w:rPr>
          <w:b/>
          <w:bCs/>
          <w:color w:val="222222"/>
          <w:shd w:val="clear" w:color="auto" w:fill="FFFFFF"/>
        </w:rPr>
        <w:t>Águas Subterrâneas</w:t>
      </w:r>
      <w:r w:rsidRPr="00FA4120">
        <w:rPr>
          <w:color w:val="222222"/>
          <w:shd w:val="clear" w:color="auto" w:fill="FFFFFF"/>
        </w:rPr>
        <w:t>, p. 21, 2004.</w:t>
      </w:r>
      <w:r w:rsidR="0008334F">
        <w:rPr>
          <w:color w:val="222222"/>
          <w:shd w:val="clear" w:color="auto" w:fill="FFFFFF"/>
        </w:rPr>
        <w:t xml:space="preserve"> Disponível em: </w:t>
      </w:r>
      <w:hyperlink r:id="rId15" w:history="1">
        <w:r w:rsidR="0008334F" w:rsidRPr="00CF420E">
          <w:rPr>
            <w:rStyle w:val="Hyperlink"/>
            <w:shd w:val="clear" w:color="auto" w:fill="FFFFFF"/>
          </w:rPr>
          <w:t>https://aguassubterraneas.abas.org/asubterraneas/article/view/23452</w:t>
        </w:r>
      </w:hyperlink>
      <w:r w:rsidR="0008334F">
        <w:rPr>
          <w:color w:val="222222"/>
          <w:shd w:val="clear" w:color="auto" w:fill="FFFFFF"/>
        </w:rPr>
        <w:t>. Acesso em: 06 ago. 2022.</w:t>
      </w:r>
    </w:p>
    <w:sectPr w:rsidR="00CF6EA5" w:rsidRPr="00C10C16" w:rsidSect="004923C9">
      <w:headerReference w:type="default" r:id="rId16"/>
      <w:footerReference w:type="default" r:id="rId17"/>
      <w:headerReference w:type="first" r:id="rId18"/>
      <w:footerReference w:type="first" r:id="rId19"/>
      <w:pgSz w:w="11906" w:h="16838"/>
      <w:pgMar w:top="1417" w:right="1417" w:bottom="1417" w:left="1701"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43A29" w14:textId="77777777" w:rsidR="006E34AD" w:rsidRDefault="006E34AD">
      <w:r>
        <w:separator/>
      </w:r>
    </w:p>
  </w:endnote>
  <w:endnote w:type="continuationSeparator" w:id="0">
    <w:p w14:paraId="1A0B126D" w14:textId="77777777" w:rsidR="006E34AD" w:rsidRDefault="006E34AD">
      <w:r>
        <w:continuationSeparator/>
      </w:r>
    </w:p>
  </w:endnote>
  <w:endnote w:type="continuationNotice" w:id="1">
    <w:p w14:paraId="518B2A76" w14:textId="77777777" w:rsidR="006E34AD" w:rsidRDefault="006E34A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2003" w14:textId="02A962B1" w:rsidR="00D54E75" w:rsidRDefault="00183B38" w:rsidP="00183B38">
    <w:pPr>
      <w:ind w:firstLine="0"/>
      <w:jc w:val="center"/>
    </w:pP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r>
      <w:rPr>
        <w:noProof/>
        <w:color w:val="001836"/>
      </w:rPr>
      <mc:AlternateContent>
        <mc:Choice Requires="wps">
          <w:drawing>
            <wp:anchor distT="0" distB="0" distL="114300" distR="114300" simplePos="0" relativeHeight="251658243" behindDoc="0" locked="0" layoutInCell="1" allowOverlap="1" wp14:anchorId="6373C0C3" wp14:editId="2475E33F">
              <wp:simplePos x="0" y="0"/>
              <wp:positionH relativeFrom="column">
                <wp:posOffset>-1240790</wp:posOffset>
              </wp:positionH>
              <wp:positionV relativeFrom="paragraph">
                <wp:posOffset>358470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CD299" id="Retângulo 68" o:spid="_x0000_s1026" style="position:absolute;margin-left:-97.7pt;margin-top:28.25pt;width:607.9pt;height:1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fillcolor="#001836" strokecolor="#1f3763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C06B" w14:textId="068451B5" w:rsidR="003852BA" w:rsidRPr="004E2049" w:rsidRDefault="004923C9" w:rsidP="004E2049">
    <w:pPr>
      <w:ind w:firstLine="0"/>
      <w:jc w:val="center"/>
    </w:pPr>
    <w:r>
      <w:rPr>
        <w:noProof/>
        <w:color w:val="001836"/>
      </w:rPr>
      <mc:AlternateContent>
        <mc:Choice Requires="wps">
          <w:drawing>
            <wp:anchor distT="0" distB="0" distL="114300" distR="114300" simplePos="0" relativeHeight="251658242" behindDoc="0" locked="0" layoutInCell="1" allowOverlap="1" wp14:anchorId="79BC94E8" wp14:editId="20F54B05">
              <wp:simplePos x="0" y="0"/>
              <wp:positionH relativeFrom="column">
                <wp:posOffset>-1240790</wp:posOffset>
              </wp:positionH>
              <wp:positionV relativeFrom="paragraph">
                <wp:posOffset>354660</wp:posOffset>
              </wp:positionV>
              <wp:extent cx="7720343" cy="181991"/>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EE9C9" id="Retângulo 67" o:spid="_x0000_s1026" style="position:absolute;margin-left:-97.7pt;margin-top:27.95pt;width:60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fillcolor="#001836" strokecolor="#1f3763 [1604]" strokeweight="1pt"/>
          </w:pict>
        </mc:Fallback>
      </mc:AlternateContent>
    </w:r>
    <w:r w:rsidR="00CE4FA9" w:rsidRPr="004E2049">
      <w:rPr>
        <w:color w:val="001836"/>
      </w:rPr>
      <w:t>© I</w:t>
    </w:r>
    <w:r>
      <w:rPr>
        <w:color w:val="001836"/>
      </w:rPr>
      <w:t>V</w:t>
    </w:r>
    <w:r w:rsidR="00CE4FA9" w:rsidRPr="004E2049">
      <w:rPr>
        <w:color w:val="001836"/>
      </w:rPr>
      <w:t xml:space="preserve"> CONPESQ, </w:t>
    </w:r>
    <w:r>
      <w:rPr>
        <w:color w:val="001836"/>
      </w:rPr>
      <w:t>3, 4 e 5 de outubro de 2</w:t>
    </w:r>
    <w:r w:rsidR="00CE4FA9" w:rsidRPr="004E2049">
      <w:rPr>
        <w:color w:val="001836"/>
      </w:rPr>
      <w:t>02</w:t>
    </w:r>
    <w:r w:rsidR="003A1072">
      <w:rPr>
        <w:color w:val="001836"/>
      </w:rPr>
      <w:t>3</w:t>
    </w:r>
    <w:r w:rsidR="00CE4FA9" w:rsidRPr="004E2049">
      <w:rPr>
        <w:color w:val="001836"/>
      </w:rPr>
      <w:t>,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EBC39" w14:textId="77777777" w:rsidR="006E34AD" w:rsidRDefault="006E34AD">
      <w:r>
        <w:separator/>
      </w:r>
    </w:p>
  </w:footnote>
  <w:footnote w:type="continuationSeparator" w:id="0">
    <w:p w14:paraId="4D17FBB3" w14:textId="77777777" w:rsidR="006E34AD" w:rsidRDefault="006E34AD">
      <w:r>
        <w:continuationSeparator/>
      </w:r>
    </w:p>
  </w:footnote>
  <w:footnote w:type="continuationNotice" w:id="1">
    <w:p w14:paraId="5C8D8D77" w14:textId="77777777" w:rsidR="006E34AD" w:rsidRDefault="006E34AD">
      <w:pPr>
        <w:spacing w:after="0"/>
      </w:pPr>
    </w:p>
  </w:footnote>
  <w:footnote w:id="2">
    <w:p w14:paraId="3877D1E6" w14:textId="61AEFEFA" w:rsidR="00FB5D02" w:rsidRPr="00847841" w:rsidRDefault="00FB5D02" w:rsidP="000638E3">
      <w:pPr>
        <w:pStyle w:val="Textodenotaderodap"/>
        <w:spacing w:after="0"/>
        <w:jc w:val="both"/>
        <w:rPr>
          <w:szCs w:val="20"/>
        </w:rPr>
      </w:pPr>
      <w:r w:rsidRPr="00847841">
        <w:rPr>
          <w:rStyle w:val="Caracteresdenotaderodap"/>
          <w:szCs w:val="20"/>
          <w:vertAlign w:val="superscript"/>
        </w:rPr>
        <w:footnoteRef/>
      </w:r>
      <w:r w:rsidR="00704829" w:rsidRPr="00847841">
        <w:rPr>
          <w:szCs w:val="20"/>
        </w:rPr>
        <w:t xml:space="preserve"> </w:t>
      </w:r>
      <w:r w:rsidR="000638E3" w:rsidRPr="00847841">
        <w:rPr>
          <w:szCs w:val="20"/>
        </w:rPr>
        <w:t>Universidade Federal do Cariri.</w:t>
      </w:r>
      <w:r w:rsidR="00704829" w:rsidRPr="00847841">
        <w:rPr>
          <w:szCs w:val="20"/>
        </w:rPr>
        <w:t xml:space="preserve"> </w:t>
      </w:r>
      <w:r w:rsidR="000638E3" w:rsidRPr="00847841">
        <w:rPr>
          <w:szCs w:val="20"/>
        </w:rPr>
        <w:t>E-mail: vanessa.coelho@aluno.ufca.edu.br.</w:t>
      </w:r>
    </w:p>
  </w:footnote>
  <w:footnote w:id="3">
    <w:p w14:paraId="67BC2D9C" w14:textId="25571BFD" w:rsidR="00FB5D02" w:rsidRPr="00847841" w:rsidRDefault="000638E3" w:rsidP="00704829">
      <w:pPr>
        <w:pStyle w:val="Textodenotaderodap"/>
        <w:spacing w:after="0"/>
        <w:rPr>
          <w:szCs w:val="20"/>
        </w:rPr>
      </w:pPr>
      <w:r w:rsidRPr="00847841">
        <w:rPr>
          <w:rStyle w:val="Caracteresdenotaderodap"/>
          <w:szCs w:val="20"/>
          <w:vertAlign w:val="superscript"/>
        </w:rPr>
        <w:footnoteRef/>
      </w:r>
      <w:r w:rsidRPr="00847841">
        <w:rPr>
          <w:szCs w:val="20"/>
        </w:rPr>
        <w:t xml:space="preserve"> Universidade Federal do Cariri. E-mail:</w:t>
      </w:r>
      <w:r w:rsidR="00847841" w:rsidRPr="00847841">
        <w:rPr>
          <w:color w:val="222222"/>
          <w:szCs w:val="20"/>
          <w:shd w:val="clear" w:color="auto" w:fill="FFFFFF"/>
        </w:rPr>
        <w:t xml:space="preserve"> celme.torres@ufca.edu.br</w:t>
      </w:r>
      <w:r w:rsidRPr="00847841">
        <w:rPr>
          <w:szCs w:val="20"/>
        </w:rPr>
        <w:t>.</w:t>
      </w:r>
    </w:p>
  </w:footnote>
  <w:footnote w:id="4">
    <w:p w14:paraId="392E9755" w14:textId="6666C940" w:rsidR="00FB5D02" w:rsidRPr="00847841" w:rsidRDefault="00FB5D02" w:rsidP="00847841">
      <w:pPr>
        <w:pStyle w:val="Textodenotaderodap"/>
        <w:spacing w:after="0"/>
        <w:jc w:val="both"/>
        <w:rPr>
          <w:szCs w:val="20"/>
        </w:rPr>
      </w:pPr>
      <w:r w:rsidRPr="00847841">
        <w:rPr>
          <w:rStyle w:val="Caracteresdenotaderodap"/>
          <w:szCs w:val="20"/>
          <w:vertAlign w:val="superscript"/>
        </w:rPr>
        <w:footnoteRef/>
      </w:r>
      <w:r w:rsidR="00704829" w:rsidRPr="00847841">
        <w:rPr>
          <w:szCs w:val="20"/>
        </w:rPr>
        <w:t xml:space="preserve"> </w:t>
      </w:r>
      <w:r w:rsidR="00847841" w:rsidRPr="00847841">
        <w:rPr>
          <w:szCs w:val="20"/>
        </w:rPr>
        <w:t>Universidade Federal do Cariri. E-mail:</w:t>
      </w:r>
      <w:r w:rsidR="00847841" w:rsidRPr="00847841">
        <w:rPr>
          <w:color w:val="222222"/>
          <w:szCs w:val="20"/>
          <w:shd w:val="clear" w:color="auto" w:fill="FFFFFF"/>
        </w:rPr>
        <w:t xml:space="preserve"> paulo.tavares@ufca.edu.br</w:t>
      </w:r>
      <w:r w:rsidR="00847841" w:rsidRPr="00847841">
        <w:rPr>
          <w:szCs w:val="20"/>
        </w:rPr>
        <w:t>.</w:t>
      </w:r>
    </w:p>
  </w:footnote>
  <w:footnote w:id="5">
    <w:p w14:paraId="01BFD8FE" w14:textId="42AEB70A" w:rsidR="00847841" w:rsidRPr="00847841" w:rsidRDefault="002C4DEE" w:rsidP="00847841">
      <w:pPr>
        <w:pStyle w:val="Textodenotaderodap"/>
        <w:spacing w:after="0"/>
        <w:jc w:val="both"/>
        <w:rPr>
          <w:szCs w:val="20"/>
        </w:rPr>
      </w:pPr>
      <w:r w:rsidRPr="00847841">
        <w:rPr>
          <w:rStyle w:val="Caracteresdenotaderodap"/>
          <w:szCs w:val="20"/>
          <w:vertAlign w:val="superscript"/>
        </w:rPr>
        <w:footnoteRef/>
      </w:r>
      <w:r w:rsidRPr="00847841">
        <w:rPr>
          <w:szCs w:val="20"/>
        </w:rPr>
        <w:t xml:space="preserve"> </w:t>
      </w:r>
      <w:r w:rsidR="00847841" w:rsidRPr="00847841">
        <w:rPr>
          <w:szCs w:val="20"/>
        </w:rPr>
        <w:t>Universidade Federal do Cariri. E-mail:</w:t>
      </w:r>
      <w:r w:rsidR="00847841" w:rsidRPr="00847841">
        <w:rPr>
          <w:color w:val="222222"/>
          <w:szCs w:val="20"/>
          <w:shd w:val="clear" w:color="auto" w:fill="FFFFFF"/>
        </w:rPr>
        <w:t xml:space="preserve"> rosilda.benicio@ufca.edu.br</w:t>
      </w:r>
      <w:r w:rsidR="00847841" w:rsidRPr="00847841">
        <w:rPr>
          <w:szCs w:val="20"/>
        </w:rPr>
        <w:t>.</w:t>
      </w:r>
    </w:p>
    <w:p w14:paraId="3B1741AD" w14:textId="37F449C3" w:rsidR="002C4DEE" w:rsidRDefault="002C4DEE" w:rsidP="002C4DEE">
      <w:pPr>
        <w:pStyle w:val="Textodenotaderodap"/>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828E" w14:textId="2A8563CF" w:rsidR="00D54E75" w:rsidRDefault="00183B38" w:rsidP="00342518">
    <w:pPr>
      <w:pStyle w:val="Cabealho"/>
      <w:spacing w:after="240"/>
      <w:ind w:firstLine="0"/>
      <w:jc w:val="center"/>
    </w:pPr>
    <w:r>
      <w:rPr>
        <w:noProof/>
      </w:rPr>
      <w:drawing>
        <wp:inline distT="0" distB="0" distL="0" distR="0" wp14:anchorId="5A52D583" wp14:editId="463AD9D8">
          <wp:extent cx="2150669" cy="545447"/>
          <wp:effectExtent l="0" t="0" r="2540" b="7620"/>
          <wp:docPr id="69" name="Imagem 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r w:rsidR="00223529">
      <w:rPr>
        <w:noProof/>
      </w:rPr>
      <w:drawing>
        <wp:anchor distT="0" distB="0" distL="114300" distR="114300" simplePos="0" relativeHeight="251658240" behindDoc="1" locked="0" layoutInCell="1" allowOverlap="1" wp14:anchorId="3DBEFF44" wp14:editId="0B252191">
          <wp:simplePos x="0" y="0"/>
          <wp:positionH relativeFrom="margin">
            <wp:posOffset>2790441</wp:posOffset>
          </wp:positionH>
          <wp:positionV relativeFrom="paragraph">
            <wp:posOffset>132833</wp:posOffset>
          </wp:positionV>
          <wp:extent cx="991240" cy="21049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661C" w14:textId="4D6FD3E4" w:rsidR="00550AE2" w:rsidRPr="00C4575D" w:rsidRDefault="00293921" w:rsidP="00CE4FA9">
    <w:pPr>
      <w:pStyle w:val="Cabealho"/>
      <w:ind w:firstLine="0"/>
      <w:jc w:val="center"/>
    </w:pPr>
    <w:r>
      <w:rPr>
        <w:noProof/>
      </w:rPr>
      <mc:AlternateContent>
        <mc:Choice Requires="wps">
          <w:drawing>
            <wp:anchor distT="0" distB="0" distL="114300" distR="114300" simplePos="0" relativeHeight="251658241" behindDoc="1" locked="0" layoutInCell="1" allowOverlap="1" wp14:anchorId="7E6D8836" wp14:editId="395E1BE0">
              <wp:simplePos x="0" y="0"/>
              <wp:positionH relativeFrom="column">
                <wp:posOffset>1969452</wp:posOffset>
              </wp:positionH>
              <wp:positionV relativeFrom="paragraph">
                <wp:posOffset>-3335032</wp:posOffset>
              </wp:positionV>
              <wp:extent cx="1448818" cy="7572263"/>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BB40F" id="_x0000_t135" coordsize="21600,21600" o:spt="135" path="m10800,qx21600,10800,10800,21600l,21600,,xe">
              <v:stroke joinstyle="miter"/>
              <v:path gradientshapeok="t" o:connecttype="rect" textboxrect="0,3163,18437,18437"/>
            </v:shapetype>
            <v:shape id="Fluxograma: Atraso 3" o:spid="_x0000_s1026" type="#_x0000_t135" style="position:absolute;margin-left:155.05pt;margin-top:-262.6pt;width:114.1pt;height:596.2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stroked="f" strokeweight="1pt">
              <v:fill r:id="rId2" o:title="" recolor="t" type="frame"/>
            </v:shape>
          </w:pict>
        </mc:Fallback>
      </mc:AlternateContent>
    </w:r>
    <w:r w:rsidR="00BF2D4B">
      <w:rPr>
        <w:noProof/>
      </w:rPr>
      <w:drawing>
        <wp:inline distT="0" distB="0" distL="0" distR="0" wp14:anchorId="204B0F4E" wp14:editId="08E55ED0">
          <wp:extent cx="3835378" cy="972719"/>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081EAB4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5FAB23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F548D1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70236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CCCE60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17300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8043710"/>
    <w:multiLevelType w:val="hybridMultilevel"/>
    <w:tmpl w:val="1A8CF28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11371DD7"/>
    <w:multiLevelType w:val="hybridMultilevel"/>
    <w:tmpl w:val="127C867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227812F8"/>
    <w:multiLevelType w:val="hybridMultilevel"/>
    <w:tmpl w:val="D890B40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2AA413B8"/>
    <w:multiLevelType w:val="hybridMultilevel"/>
    <w:tmpl w:val="371EE5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ECB567F"/>
    <w:multiLevelType w:val="hybridMultilevel"/>
    <w:tmpl w:val="7F52FB38"/>
    <w:lvl w:ilvl="0" w:tplc="04160017">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0F3B39"/>
    <w:multiLevelType w:val="hybridMultilevel"/>
    <w:tmpl w:val="EC9EF6D6"/>
    <w:lvl w:ilvl="0" w:tplc="A0DED6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493251A"/>
    <w:multiLevelType w:val="hybridMultilevel"/>
    <w:tmpl w:val="402A0EC6"/>
    <w:lvl w:ilvl="0" w:tplc="B128D9A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18E356E"/>
    <w:multiLevelType w:val="hybridMultilevel"/>
    <w:tmpl w:val="57C45A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2735C72"/>
    <w:multiLevelType w:val="hybridMultilevel"/>
    <w:tmpl w:val="74F4373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6" w15:restartNumberingAfterBreak="0">
    <w:nsid w:val="6ADE2613"/>
    <w:multiLevelType w:val="hybridMultilevel"/>
    <w:tmpl w:val="925439F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1067727597">
    <w:abstractNumId w:val="5"/>
  </w:num>
  <w:num w:numId="2" w16cid:durableId="20206647">
    <w:abstractNumId w:val="12"/>
  </w:num>
  <w:num w:numId="3" w16cid:durableId="1333216224">
    <w:abstractNumId w:val="8"/>
  </w:num>
  <w:num w:numId="4" w16cid:durableId="593392552">
    <w:abstractNumId w:val="7"/>
  </w:num>
  <w:num w:numId="5" w16cid:durableId="1057586999">
    <w:abstractNumId w:val="6"/>
  </w:num>
  <w:num w:numId="6" w16cid:durableId="783036482">
    <w:abstractNumId w:val="15"/>
  </w:num>
  <w:num w:numId="7" w16cid:durableId="1396393153">
    <w:abstractNumId w:val="4"/>
  </w:num>
  <w:num w:numId="8" w16cid:durableId="14768837">
    <w:abstractNumId w:val="3"/>
  </w:num>
  <w:num w:numId="9" w16cid:durableId="1100296505">
    <w:abstractNumId w:val="2"/>
  </w:num>
  <w:num w:numId="10" w16cid:durableId="1335108249">
    <w:abstractNumId w:val="1"/>
  </w:num>
  <w:num w:numId="11" w16cid:durableId="1628774324">
    <w:abstractNumId w:val="0"/>
  </w:num>
  <w:num w:numId="12" w16cid:durableId="950547034">
    <w:abstractNumId w:val="16"/>
  </w:num>
  <w:num w:numId="13" w16cid:durableId="457530128">
    <w:abstractNumId w:val="10"/>
  </w:num>
  <w:num w:numId="14" w16cid:durableId="1373653022">
    <w:abstractNumId w:val="13"/>
  </w:num>
  <w:num w:numId="15" w16cid:durableId="1436944100">
    <w:abstractNumId w:val="11"/>
  </w:num>
  <w:num w:numId="16" w16cid:durableId="463080915">
    <w:abstractNumId w:val="14"/>
  </w:num>
  <w:num w:numId="17" w16cid:durableId="625350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2BA"/>
    <w:rsid w:val="00003FEF"/>
    <w:rsid w:val="00005F18"/>
    <w:rsid w:val="0000761F"/>
    <w:rsid w:val="0002053D"/>
    <w:rsid w:val="0002130F"/>
    <w:rsid w:val="000337C0"/>
    <w:rsid w:val="00034A8C"/>
    <w:rsid w:val="00037CED"/>
    <w:rsid w:val="000638E3"/>
    <w:rsid w:val="00073344"/>
    <w:rsid w:val="000763F1"/>
    <w:rsid w:val="00081512"/>
    <w:rsid w:val="0008334F"/>
    <w:rsid w:val="000961DB"/>
    <w:rsid w:val="000C2942"/>
    <w:rsid w:val="000F789D"/>
    <w:rsid w:val="001079C2"/>
    <w:rsid w:val="0014453B"/>
    <w:rsid w:val="00166073"/>
    <w:rsid w:val="0017322F"/>
    <w:rsid w:val="001808CB"/>
    <w:rsid w:val="001818FA"/>
    <w:rsid w:val="00183B38"/>
    <w:rsid w:val="001950FB"/>
    <w:rsid w:val="001A07DF"/>
    <w:rsid w:val="001A0F86"/>
    <w:rsid w:val="001C31F0"/>
    <w:rsid w:val="001C415A"/>
    <w:rsid w:val="001C69EE"/>
    <w:rsid w:val="002057E7"/>
    <w:rsid w:val="00223529"/>
    <w:rsid w:val="00227E30"/>
    <w:rsid w:val="00233B71"/>
    <w:rsid w:val="00245C79"/>
    <w:rsid w:val="002548A9"/>
    <w:rsid w:val="00267554"/>
    <w:rsid w:val="002858EA"/>
    <w:rsid w:val="0029159D"/>
    <w:rsid w:val="00293921"/>
    <w:rsid w:val="002A343E"/>
    <w:rsid w:val="002A654F"/>
    <w:rsid w:val="002B2FF5"/>
    <w:rsid w:val="002C4DEE"/>
    <w:rsid w:val="002F7355"/>
    <w:rsid w:val="0031054A"/>
    <w:rsid w:val="0031070E"/>
    <w:rsid w:val="003365A4"/>
    <w:rsid w:val="00342518"/>
    <w:rsid w:val="00346D73"/>
    <w:rsid w:val="003570CB"/>
    <w:rsid w:val="003852BA"/>
    <w:rsid w:val="003A09DA"/>
    <w:rsid w:val="003A1072"/>
    <w:rsid w:val="003C4AC4"/>
    <w:rsid w:val="003D376B"/>
    <w:rsid w:val="003D40BF"/>
    <w:rsid w:val="00412631"/>
    <w:rsid w:val="00414D45"/>
    <w:rsid w:val="00454239"/>
    <w:rsid w:val="004607B0"/>
    <w:rsid w:val="00490B06"/>
    <w:rsid w:val="004914FE"/>
    <w:rsid w:val="004923C9"/>
    <w:rsid w:val="004D0589"/>
    <w:rsid w:val="004D23A3"/>
    <w:rsid w:val="004E2049"/>
    <w:rsid w:val="00514F5D"/>
    <w:rsid w:val="00522582"/>
    <w:rsid w:val="00530732"/>
    <w:rsid w:val="00550AE2"/>
    <w:rsid w:val="00564A80"/>
    <w:rsid w:val="005743A5"/>
    <w:rsid w:val="0057446A"/>
    <w:rsid w:val="005753FD"/>
    <w:rsid w:val="00594EAB"/>
    <w:rsid w:val="005E2AC5"/>
    <w:rsid w:val="005F7BE5"/>
    <w:rsid w:val="006166F9"/>
    <w:rsid w:val="00621295"/>
    <w:rsid w:val="006307EB"/>
    <w:rsid w:val="00645963"/>
    <w:rsid w:val="006658C7"/>
    <w:rsid w:val="00672E12"/>
    <w:rsid w:val="006779DD"/>
    <w:rsid w:val="00681B68"/>
    <w:rsid w:val="00683CD7"/>
    <w:rsid w:val="006A655E"/>
    <w:rsid w:val="006C1179"/>
    <w:rsid w:val="006D208E"/>
    <w:rsid w:val="006E34AD"/>
    <w:rsid w:val="006E4CBA"/>
    <w:rsid w:val="006E4DCF"/>
    <w:rsid w:val="00703F77"/>
    <w:rsid w:val="00704829"/>
    <w:rsid w:val="00704F37"/>
    <w:rsid w:val="00705B99"/>
    <w:rsid w:val="00734CDA"/>
    <w:rsid w:val="0073502A"/>
    <w:rsid w:val="00775CAF"/>
    <w:rsid w:val="00793086"/>
    <w:rsid w:val="0079545B"/>
    <w:rsid w:val="007A4CC6"/>
    <w:rsid w:val="007B5DD1"/>
    <w:rsid w:val="007C5CE8"/>
    <w:rsid w:val="007F7182"/>
    <w:rsid w:val="008015CF"/>
    <w:rsid w:val="00813D08"/>
    <w:rsid w:val="00822697"/>
    <w:rsid w:val="0084169E"/>
    <w:rsid w:val="00847841"/>
    <w:rsid w:val="00870AD6"/>
    <w:rsid w:val="00875D24"/>
    <w:rsid w:val="00881BC6"/>
    <w:rsid w:val="008835C6"/>
    <w:rsid w:val="00895055"/>
    <w:rsid w:val="008C4989"/>
    <w:rsid w:val="008C7FD5"/>
    <w:rsid w:val="008D120C"/>
    <w:rsid w:val="008E4685"/>
    <w:rsid w:val="0090078F"/>
    <w:rsid w:val="00906D6F"/>
    <w:rsid w:val="00906F06"/>
    <w:rsid w:val="0091015C"/>
    <w:rsid w:val="00910D86"/>
    <w:rsid w:val="0092410F"/>
    <w:rsid w:val="0092686C"/>
    <w:rsid w:val="0093665F"/>
    <w:rsid w:val="00942D3C"/>
    <w:rsid w:val="009562E2"/>
    <w:rsid w:val="00971357"/>
    <w:rsid w:val="0098204D"/>
    <w:rsid w:val="009936B3"/>
    <w:rsid w:val="009979E3"/>
    <w:rsid w:val="009C0CF9"/>
    <w:rsid w:val="009E5BB4"/>
    <w:rsid w:val="009E65F7"/>
    <w:rsid w:val="00A128F4"/>
    <w:rsid w:val="00A23A20"/>
    <w:rsid w:val="00A27804"/>
    <w:rsid w:val="00A3729C"/>
    <w:rsid w:val="00A52B05"/>
    <w:rsid w:val="00A6132E"/>
    <w:rsid w:val="00A67009"/>
    <w:rsid w:val="00A67D11"/>
    <w:rsid w:val="00A87402"/>
    <w:rsid w:val="00A91993"/>
    <w:rsid w:val="00A977EB"/>
    <w:rsid w:val="00AC323E"/>
    <w:rsid w:val="00AD535E"/>
    <w:rsid w:val="00AD69EB"/>
    <w:rsid w:val="00AE3597"/>
    <w:rsid w:val="00AF272A"/>
    <w:rsid w:val="00AF473C"/>
    <w:rsid w:val="00B10A69"/>
    <w:rsid w:val="00B118BD"/>
    <w:rsid w:val="00B12473"/>
    <w:rsid w:val="00B14CD9"/>
    <w:rsid w:val="00B1619E"/>
    <w:rsid w:val="00B2226D"/>
    <w:rsid w:val="00B35811"/>
    <w:rsid w:val="00B36946"/>
    <w:rsid w:val="00B74E00"/>
    <w:rsid w:val="00B84316"/>
    <w:rsid w:val="00B87E12"/>
    <w:rsid w:val="00BD49E5"/>
    <w:rsid w:val="00BF2D4B"/>
    <w:rsid w:val="00BF2DC7"/>
    <w:rsid w:val="00C10C16"/>
    <w:rsid w:val="00C16885"/>
    <w:rsid w:val="00C4575D"/>
    <w:rsid w:val="00C51028"/>
    <w:rsid w:val="00C51FA6"/>
    <w:rsid w:val="00C859A3"/>
    <w:rsid w:val="00C86E02"/>
    <w:rsid w:val="00C87D38"/>
    <w:rsid w:val="00CA3EB6"/>
    <w:rsid w:val="00CA5561"/>
    <w:rsid w:val="00CC0AA5"/>
    <w:rsid w:val="00CD114D"/>
    <w:rsid w:val="00CD1889"/>
    <w:rsid w:val="00CD37EA"/>
    <w:rsid w:val="00CE4FA9"/>
    <w:rsid w:val="00CE6118"/>
    <w:rsid w:val="00CF6EA5"/>
    <w:rsid w:val="00D022D9"/>
    <w:rsid w:val="00D05AB8"/>
    <w:rsid w:val="00D0645F"/>
    <w:rsid w:val="00D20862"/>
    <w:rsid w:val="00D22AAE"/>
    <w:rsid w:val="00D32E50"/>
    <w:rsid w:val="00D41B31"/>
    <w:rsid w:val="00D4284F"/>
    <w:rsid w:val="00D46B12"/>
    <w:rsid w:val="00D511B1"/>
    <w:rsid w:val="00D54E75"/>
    <w:rsid w:val="00D60F34"/>
    <w:rsid w:val="00D7513F"/>
    <w:rsid w:val="00D94D09"/>
    <w:rsid w:val="00D96948"/>
    <w:rsid w:val="00DB3360"/>
    <w:rsid w:val="00DC5A4A"/>
    <w:rsid w:val="00DC5CAB"/>
    <w:rsid w:val="00DC5D32"/>
    <w:rsid w:val="00DD3E3A"/>
    <w:rsid w:val="00DE660D"/>
    <w:rsid w:val="00DE760E"/>
    <w:rsid w:val="00E07C4B"/>
    <w:rsid w:val="00E11178"/>
    <w:rsid w:val="00E25054"/>
    <w:rsid w:val="00E35979"/>
    <w:rsid w:val="00E5201E"/>
    <w:rsid w:val="00E66146"/>
    <w:rsid w:val="00E76C99"/>
    <w:rsid w:val="00E870CC"/>
    <w:rsid w:val="00EC10C1"/>
    <w:rsid w:val="00EC55EF"/>
    <w:rsid w:val="00ED58F1"/>
    <w:rsid w:val="00EF5377"/>
    <w:rsid w:val="00EF5D8D"/>
    <w:rsid w:val="00F01B78"/>
    <w:rsid w:val="00F109AC"/>
    <w:rsid w:val="00F109D2"/>
    <w:rsid w:val="00F1281E"/>
    <w:rsid w:val="00F14D1B"/>
    <w:rsid w:val="00F221CA"/>
    <w:rsid w:val="00F314ED"/>
    <w:rsid w:val="00F84ACB"/>
    <w:rsid w:val="00F90BDA"/>
    <w:rsid w:val="00FA2549"/>
    <w:rsid w:val="00FB4E16"/>
    <w:rsid w:val="00FB5D02"/>
    <w:rsid w:val="00FD5001"/>
    <w:rsid w:val="00FE172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4D176"/>
  <w15:docId w15:val="{56DE97BA-0B62-466C-8A67-75D8403A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widowControl w:val="0"/>
      <w:suppressAutoHyphens/>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qFormat/>
    <w:rsid w:val="00704829"/>
    <w:pPr>
      <w:widowControl/>
      <w:spacing w:before="480" w:after="240" w:line="360" w:lineRule="auto"/>
      <w:ind w:firstLine="0"/>
      <w:outlineLvl w:val="1"/>
    </w:pPr>
    <w:rPr>
      <w:rFonts w:eastAsia="Times New Roman"/>
      <w:b/>
      <w:color w:val="auto"/>
      <w:szCs w:val="20"/>
      <w:lang w:eastAsia="ar-SA"/>
    </w:rPr>
  </w:style>
  <w:style w:type="paragraph" w:styleId="Ttulo3">
    <w:name w:val="heading 3"/>
    <w:basedOn w:val="Normal"/>
    <w:next w:val="Normal"/>
    <w:link w:val="Ttulo3Char"/>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qFormat/>
    <w:rsid w:val="009C0CF9"/>
    <w:pPr>
      <w:numPr>
        <w:ilvl w:val="3"/>
      </w:numPr>
      <w:ind w:left="851" w:hanging="851"/>
      <w:jc w:val="left"/>
      <w:outlineLvl w:val="3"/>
    </w:pPr>
    <w:rPr>
      <w:i/>
    </w:rPr>
  </w:style>
  <w:style w:type="paragraph" w:styleId="Ttulo5">
    <w:name w:val="heading 5"/>
    <w:basedOn w:val="Normal"/>
    <w:next w:val="Normal"/>
    <w:link w:val="Ttulo5Char"/>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704829"/>
    <w:rPr>
      <w:rFonts w:ascii="Times New Roman" w:eastAsia="Times New Roman" w:hAnsi="Times New Roman"/>
      <w:b/>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704829"/>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704829"/>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A27804"/>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A27804"/>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1A07DF"/>
    <w:pPr>
      <w:keepNext/>
      <w:numPr>
        <w:ilvl w:val="0"/>
        <w:numId w:val="0"/>
      </w:numPr>
      <w:suppressAutoHyphens w:val="0"/>
      <w:spacing w:before="120" w:after="120" w:line="240" w:lineRule="auto"/>
      <w:jc w:val="left"/>
    </w:pPr>
    <w:rPr>
      <w:rFonts w:ascii="Calibri" w:hAnsi="Calibri" w:cs="Calibri"/>
      <w:bCs/>
      <w:i/>
      <w:szCs w:val="26"/>
      <w:lang w:val="en-US" w:eastAsia="en-US"/>
    </w:rPr>
  </w:style>
  <w:style w:type="paragraph" w:styleId="NormalWeb">
    <w:name w:val="Normal (Web)"/>
    <w:basedOn w:val="Normal"/>
    <w:uiPriority w:val="99"/>
    <w:unhideWhenUsed/>
    <w:rsid w:val="00C10C16"/>
    <w:pPr>
      <w:widowControl/>
      <w:suppressAutoHyphens w:val="0"/>
      <w:spacing w:before="100" w:beforeAutospacing="1" w:after="100" w:afterAutospacing="1"/>
      <w:ind w:firstLine="0"/>
      <w:jc w:val="left"/>
    </w:pPr>
    <w:rPr>
      <w:rFonts w:eastAsia="Times New Roman"/>
      <w:color w:val="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825651">
      <w:bodyDiv w:val="1"/>
      <w:marLeft w:val="0"/>
      <w:marRight w:val="0"/>
      <w:marTop w:val="0"/>
      <w:marBottom w:val="0"/>
      <w:divBdr>
        <w:top w:val="none" w:sz="0" w:space="0" w:color="auto"/>
        <w:left w:val="none" w:sz="0" w:space="0" w:color="auto"/>
        <w:bottom w:val="none" w:sz="0" w:space="0" w:color="auto"/>
        <w:right w:val="none" w:sz="0" w:space="0" w:color="auto"/>
      </w:divBdr>
    </w:div>
    <w:div w:id="1157497297">
      <w:bodyDiv w:val="1"/>
      <w:marLeft w:val="0"/>
      <w:marRight w:val="0"/>
      <w:marTop w:val="0"/>
      <w:marBottom w:val="0"/>
      <w:divBdr>
        <w:top w:val="none" w:sz="0" w:space="0" w:color="auto"/>
        <w:left w:val="none" w:sz="0" w:space="0" w:color="auto"/>
        <w:bottom w:val="none" w:sz="0" w:space="0" w:color="auto"/>
        <w:right w:val="none" w:sz="0" w:space="0" w:color="auto"/>
      </w:divBdr>
    </w:div>
    <w:div w:id="1529444569">
      <w:bodyDiv w:val="1"/>
      <w:marLeft w:val="0"/>
      <w:marRight w:val="0"/>
      <w:marTop w:val="0"/>
      <w:marBottom w:val="0"/>
      <w:divBdr>
        <w:top w:val="none" w:sz="0" w:space="0" w:color="auto"/>
        <w:left w:val="none" w:sz="0" w:space="0" w:color="auto"/>
        <w:bottom w:val="none" w:sz="0" w:space="0" w:color="auto"/>
        <w:right w:val="none" w:sz="0" w:space="0" w:color="auto"/>
      </w:divBdr>
    </w:div>
    <w:div w:id="2137992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alyc.org/pdf/4457/445744135003.pdf" TargetMode="External"/><Relationship Id="rId13" Type="http://schemas.openxmlformats.org/officeDocument/2006/relationships/hyperlink" Target="https://pdf.sciencedirectassets.com/271991/1-s2.0-S1462901115X00049/1-s2.0-S1462901115000714/main.pdf"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ink.springer.com/article/10.1007/s12524-018-0780-4"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riodicos.rc.biblioteca.unesp.br/index.php/geociencias/article/view/12591" TargetMode="External"/><Relationship Id="rId5" Type="http://schemas.openxmlformats.org/officeDocument/2006/relationships/webSettings" Target="webSettings.xml"/><Relationship Id="rId15" Type="http://schemas.openxmlformats.org/officeDocument/2006/relationships/hyperlink" Target="https://aguassubterraneas.abas.org/asubterraneas/article/view/23452" TargetMode="External"/><Relationship Id="rId10" Type="http://schemas.openxmlformats.org/officeDocument/2006/relationships/hyperlink" Target="https://portal.cogerh.com.br/uploads-direct/Relat&#243;rio%20Final%20de%20Tratamento%20e%20Consist&#234;ncia%20de%20Dados%20Qualitativas.pdf"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ore.ac.uk/download/pdf/45500852.pdf" TargetMode="External"/><Relationship Id="rId14" Type="http://schemas.openxmlformats.org/officeDocument/2006/relationships/hyperlink" Target="https://aguassubterraneas.abas.org/asubterraneas/article/view/2345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150DF-5328-478F-99A8-3FC85A91D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5</Pages>
  <Words>1721</Words>
  <Characters>9298</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dc:description/>
  <cp:lastModifiedBy>Vanessa Vieira</cp:lastModifiedBy>
  <cp:revision>150</cp:revision>
  <cp:lastPrinted>2023-08-02T00:40:00Z</cp:lastPrinted>
  <dcterms:created xsi:type="dcterms:W3CDTF">2022-07-19T13:04:00Z</dcterms:created>
  <dcterms:modified xsi:type="dcterms:W3CDTF">2023-10-19T01:01:00Z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