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before="720" w:lineRule="auto"/>
        <w:ind w:firstLine="0"/>
        <w:jc w:val="center"/>
        <w:rPr>
          <w:b w:val="1"/>
          <w:sz w:val="32"/>
          <w:szCs w:val="32"/>
        </w:rPr>
      </w:pPr>
      <w:r w:rsidDel="00000000" w:rsidR="00000000" w:rsidRPr="00000000">
        <w:rPr>
          <w:b w:val="1"/>
          <w:sz w:val="32"/>
          <w:szCs w:val="32"/>
          <w:rtl w:val="0"/>
        </w:rPr>
        <w:t xml:space="preserve">Rastreamento do Vírus de Epstein-Barr (EBV) em casos de Carcinoma de Colo Uterino </w:t>
      </w:r>
    </w:p>
    <w:p w:rsidR="00000000" w:rsidDel="00000000" w:rsidP="00000000" w:rsidRDefault="00000000" w:rsidRPr="00000000" w14:paraId="00000002">
      <w:pPr>
        <w:widowControl w:val="1"/>
        <w:spacing w:after="240" w:before="240" w:lineRule="auto"/>
        <w:ind w:firstLine="0"/>
        <w:jc w:val="right"/>
        <w:rPr>
          <w:color w:val="000000"/>
          <w:vertAlign w:val="superscript"/>
        </w:rPr>
      </w:pPr>
      <w:r w:rsidDel="00000000" w:rsidR="00000000" w:rsidRPr="00000000">
        <w:rPr>
          <w:color w:val="000000"/>
          <w:rtl w:val="0"/>
        </w:rPr>
        <w:t xml:space="preserve">Maria Willaiara Lira Lopes</w:t>
      </w:r>
      <w:r w:rsidDel="00000000" w:rsidR="00000000" w:rsidRPr="00000000">
        <w:rPr>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3">
      <w:pPr>
        <w:widowControl w:val="1"/>
        <w:spacing w:after="240" w:before="240" w:lineRule="auto"/>
        <w:ind w:firstLine="0"/>
        <w:jc w:val="right"/>
        <w:rPr>
          <w:color w:val="212529"/>
          <w:highlight w:val="white"/>
        </w:rPr>
      </w:pPr>
      <w:r w:rsidDel="00000000" w:rsidR="00000000" w:rsidRPr="00000000">
        <w:rPr>
          <w:color w:val="212529"/>
          <w:highlight w:val="white"/>
          <w:rtl w:val="0"/>
        </w:rPr>
        <w:t xml:space="preserve">Cecília Paz Lopes</w:t>
      </w:r>
      <w:r w:rsidDel="00000000" w:rsidR="00000000" w:rsidRPr="00000000">
        <w:rPr>
          <w:color w:val="212529"/>
          <w:highlight w:val="white"/>
          <w:vertAlign w:val="superscript"/>
        </w:rPr>
        <w:footnoteReference w:customMarkFollows="0" w:id="1"/>
      </w:r>
      <w:r w:rsidDel="00000000" w:rsidR="00000000" w:rsidRPr="00000000">
        <w:rPr>
          <w:rtl w:val="0"/>
        </w:rPr>
      </w:r>
    </w:p>
    <w:p w:rsidR="00000000" w:rsidDel="00000000" w:rsidP="00000000" w:rsidRDefault="00000000" w:rsidRPr="00000000" w14:paraId="00000004">
      <w:pPr>
        <w:widowControl w:val="1"/>
        <w:spacing w:after="240" w:before="240" w:lineRule="auto"/>
        <w:ind w:firstLine="0"/>
        <w:jc w:val="right"/>
        <w:rPr>
          <w:color w:val="212529"/>
          <w:highlight w:val="white"/>
          <w:vertAlign w:val="superscript"/>
        </w:rPr>
      </w:pPr>
      <w:r w:rsidDel="00000000" w:rsidR="00000000" w:rsidRPr="00000000">
        <w:rPr>
          <w:color w:val="212529"/>
          <w:highlight w:val="white"/>
          <w:rtl w:val="0"/>
        </w:rPr>
        <w:t xml:space="preserve">Myrella Tavares Rodrigues</w:t>
      </w:r>
      <w:r w:rsidDel="00000000" w:rsidR="00000000" w:rsidRPr="00000000">
        <w:rPr>
          <w:color w:val="212529"/>
          <w:highlight w:val="white"/>
          <w:vertAlign w:val="superscript"/>
        </w:rPr>
        <w:footnoteReference w:customMarkFollows="0" w:id="2"/>
      </w:r>
      <w:r w:rsidDel="00000000" w:rsidR="00000000" w:rsidRPr="00000000">
        <w:rPr>
          <w:rtl w:val="0"/>
        </w:rPr>
      </w:r>
    </w:p>
    <w:p w:rsidR="00000000" w:rsidDel="00000000" w:rsidP="00000000" w:rsidRDefault="00000000" w:rsidRPr="00000000" w14:paraId="00000005">
      <w:pPr>
        <w:widowControl w:val="1"/>
        <w:spacing w:after="240" w:before="240" w:lineRule="auto"/>
        <w:ind w:firstLine="0"/>
        <w:jc w:val="right"/>
        <w:rPr>
          <w:color w:val="000000"/>
        </w:rPr>
      </w:pPr>
      <w:r w:rsidDel="00000000" w:rsidR="00000000" w:rsidRPr="00000000">
        <w:rPr>
          <w:color w:val="212529"/>
          <w:highlight w:val="white"/>
          <w:rtl w:val="0"/>
        </w:rPr>
        <w:t xml:space="preserve">Marcos Antonio Pereira de Lima</w:t>
      </w:r>
      <w:r w:rsidDel="00000000" w:rsidR="00000000" w:rsidRPr="00000000">
        <w:rPr>
          <w:rFonts w:ascii="Roboto" w:cs="Roboto" w:eastAsia="Roboto" w:hAnsi="Roboto"/>
          <w:color w:val="212529"/>
          <w:highlight w:val="white"/>
          <w:vertAlign w:val="superscript"/>
        </w:rPr>
        <w:footnoteReference w:customMarkFollows="0" w:id="3"/>
      </w:r>
      <w:r w:rsidDel="00000000" w:rsidR="00000000" w:rsidRPr="00000000">
        <w:rPr>
          <w:rtl w:val="0"/>
        </w:rPr>
      </w:r>
    </w:p>
    <w:p w:rsidR="00000000" w:rsidDel="00000000" w:rsidP="00000000" w:rsidRDefault="00000000" w:rsidRPr="00000000" w14:paraId="00000006">
      <w:pPr>
        <w:widowControl w:val="1"/>
        <w:spacing w:after="240" w:before="240" w:lineRule="auto"/>
        <w:ind w:firstLine="0"/>
        <w:rPr>
          <w:b w:val="1"/>
          <w:color w:val="000000"/>
        </w:rPr>
      </w:pPr>
      <w:r w:rsidDel="00000000" w:rsidR="00000000" w:rsidRPr="00000000">
        <w:rPr>
          <w:b w:val="1"/>
          <w:color w:val="000000"/>
          <w:rtl w:val="0"/>
        </w:rPr>
        <w:t xml:space="preserve">RESUMO</w:t>
      </w:r>
      <w:r w:rsidDel="00000000" w:rsidR="00000000" w:rsidRPr="00000000">
        <w:rPr>
          <w:color w:val="000000"/>
          <w:rtl w:val="0"/>
        </w:rPr>
        <w:t xml:space="preserve">: O câncer de colo do útero representa um problema de saúde pública, sendo o segundo câncer mais prevalente na região Nordeste do Brasil. Nos últimos anos, o vírus Epstein-Barr (EBV) emergiu como um oncovírus frequentemente observado em carcinomas escamosos de células cervicais, reforçando seu possível papel como cofator oncogênico. Nesse sentido, objetivamos rastrear a presença do EBV em amostras de carcinoma cervical. As amostras constituíram-se de tecidos cervicais frescos coletados de mulheres submetidas à histerectomia em hospitais de referência em Oncologia do Ceará. Após a coleta, as amostras foram submetidas à detecção de EBV por PCR para o gene de </w:t>
      </w:r>
      <w:r w:rsidDel="00000000" w:rsidR="00000000" w:rsidRPr="00000000">
        <w:rPr>
          <w:i w:val="1"/>
          <w:color w:val="000000"/>
          <w:rtl w:val="0"/>
        </w:rPr>
        <w:t xml:space="preserve">LMP1</w:t>
      </w:r>
      <w:r w:rsidDel="00000000" w:rsidR="00000000" w:rsidRPr="00000000">
        <w:rPr>
          <w:color w:val="000000"/>
          <w:rtl w:val="0"/>
        </w:rPr>
        <w:t xml:space="preserve">. O EBV foi encontrado em 29,5% das amostras (21/71). Quando analisados os fatores de risco, é possível observar uma predominância do contato das mulheres com o tabagismo ativo ou passivo, da menarca abaixo dos 16 anos e do início precoce da coitarca. Apesar da prevalência da cepa de EBV com deleção de 30pb, não foi observado resultado estatisticamente </w:t>
      </w:r>
      <w:r w:rsidDel="00000000" w:rsidR="00000000" w:rsidRPr="00000000">
        <w:rPr>
          <w:color w:val="000000"/>
          <w:rtl w:val="0"/>
        </w:rPr>
        <w:t xml:space="preserve">significante</w:t>
      </w:r>
      <w:r w:rsidDel="00000000" w:rsidR="00000000" w:rsidRPr="00000000">
        <w:rPr>
          <w:color w:val="000000"/>
          <w:rtl w:val="0"/>
        </w:rPr>
        <w:t xml:space="preserve"> entre o estadiamento tumoral e o grau de diferenciação com os casos EBV positivos na população em questão. Frente aos resultados, o estudo colabora para o rastreio de situações de risco para o câncer de colo de útero na população cearense e para a melhor compreensão da contribuição do EBV no potencial oncogênico.</w:t>
      </w:r>
      <w:r w:rsidDel="00000000" w:rsidR="00000000" w:rsidRPr="00000000">
        <w:rPr>
          <w:rtl w:val="0"/>
        </w:rPr>
      </w:r>
    </w:p>
    <w:p w:rsidR="00000000" w:rsidDel="00000000" w:rsidP="00000000" w:rsidRDefault="00000000" w:rsidRPr="00000000" w14:paraId="00000007">
      <w:pPr>
        <w:widowControl w:val="1"/>
        <w:spacing w:after="240" w:before="240" w:lineRule="auto"/>
        <w:ind w:firstLine="0"/>
        <w:rPr>
          <w:color w:val="000000"/>
        </w:rPr>
      </w:pPr>
      <w:r w:rsidDel="00000000" w:rsidR="00000000" w:rsidRPr="00000000">
        <w:rPr>
          <w:b w:val="1"/>
          <w:color w:val="000000"/>
          <w:rtl w:val="0"/>
        </w:rPr>
        <w:t xml:space="preserve">PALAVRAS - CHAVE</w:t>
      </w:r>
      <w:r w:rsidDel="00000000" w:rsidR="00000000" w:rsidRPr="00000000">
        <w:rPr>
          <w:color w:val="000000"/>
          <w:rtl w:val="0"/>
        </w:rPr>
        <w:t xml:space="preserve">: vírus Epstein-Barr; PCR; carcinoma cervical.</w:t>
      </w:r>
    </w:p>
    <w:p w:rsidR="00000000" w:rsidDel="00000000" w:rsidP="00000000" w:rsidRDefault="00000000" w:rsidRPr="00000000" w14:paraId="00000008">
      <w:pPr>
        <w:spacing w:after="240" w:before="240" w:lineRule="auto"/>
        <w:ind w:firstLine="0"/>
        <w:rPr>
          <w:color w:val="000000"/>
        </w:rPr>
      </w:pPr>
      <w:r w:rsidDel="00000000" w:rsidR="00000000" w:rsidRPr="00000000">
        <w:rPr>
          <w:b w:val="1"/>
          <w:rtl w:val="0"/>
        </w:rPr>
        <w:t xml:space="preserve">ABSTRACT</w:t>
      </w:r>
      <w:r w:rsidDel="00000000" w:rsidR="00000000" w:rsidRPr="00000000">
        <w:rPr>
          <w:rtl w:val="0"/>
        </w:rPr>
        <w:t xml:space="preserve">: </w:t>
      </w:r>
      <w:r w:rsidDel="00000000" w:rsidR="00000000" w:rsidRPr="00000000">
        <w:rPr>
          <w:color w:val="000000"/>
          <w:rtl w:val="0"/>
        </w:rPr>
        <w:t xml:space="preserve">Cervical cancer represents a public health problem, being the second most prevalent cancer in the Brazilian Northeast region. In recent years, Epstein-Barr virus (EBV) has emerged as an oncovirus frequently observed in cervical squamous cell carcinomas, reinforcing its possible role as an oncogenic cofactor. In this context, we aimed to investigate the presence of the EBV in cervical carcinomas. The samples consisted of fresh-frozen cervical tissues collected from women who underwent hysterectomy in two oncological hospitals in Ceará, Brazil. The samples were submitted to PCR for EBV detection targeting the </w:t>
      </w:r>
      <w:r w:rsidDel="00000000" w:rsidR="00000000" w:rsidRPr="00000000">
        <w:rPr>
          <w:i w:val="1"/>
          <w:color w:val="000000"/>
          <w:rtl w:val="0"/>
        </w:rPr>
        <w:t xml:space="preserve">LMP1</w:t>
      </w:r>
      <w:r w:rsidDel="00000000" w:rsidR="00000000" w:rsidRPr="00000000">
        <w:rPr>
          <w:color w:val="000000"/>
          <w:rtl w:val="0"/>
        </w:rPr>
        <w:t xml:space="preserve"> gene. EBV was found in 29.5% of the samples (21/71). When analyzing the risk factors, it is possible to observe a predominance of women's contact with active or passive smoking, menarche before 16 years of age and early onset of intercourse. Despite the prevalence of the EBV strain with a 30 bp deletion, no statistically significant relationship was observed between tumor staging and the degree of differentiation with positive EBV cases in the population under analysis. In view of the results, the study contributes to the tracking of risk situations for cervical cancer in the population of Ceará and to a better understanding of the contribution of EBV in the oncogenic potential.</w:t>
      </w:r>
    </w:p>
    <w:p w:rsidR="00000000" w:rsidDel="00000000" w:rsidP="00000000" w:rsidRDefault="00000000" w:rsidRPr="00000000" w14:paraId="00000009">
      <w:pPr>
        <w:spacing w:after="240" w:before="240" w:lineRule="auto"/>
        <w:ind w:firstLine="0"/>
        <w:rPr>
          <w:color w:val="000000"/>
        </w:rPr>
      </w:pPr>
      <w:r w:rsidDel="00000000" w:rsidR="00000000" w:rsidRPr="00000000">
        <w:rPr>
          <w:b w:val="1"/>
          <w:rtl w:val="0"/>
        </w:rPr>
        <w:t xml:space="preserve">Keywords</w:t>
      </w:r>
      <w:r w:rsidDel="00000000" w:rsidR="00000000" w:rsidRPr="00000000">
        <w:rPr>
          <w:rtl w:val="0"/>
        </w:rPr>
        <w:t xml:space="preserve">: </w:t>
      </w:r>
      <w:r w:rsidDel="00000000" w:rsidR="00000000" w:rsidRPr="00000000">
        <w:rPr>
          <w:color w:val="000000"/>
          <w:rtl w:val="0"/>
        </w:rPr>
        <w:t xml:space="preserve">Epstein-Barr virus; PCR; cervical carcinoma.</w:t>
      </w:r>
    </w:p>
    <w:p w:rsidR="00000000" w:rsidDel="00000000" w:rsidP="00000000" w:rsidRDefault="00000000" w:rsidRPr="00000000" w14:paraId="0000000A">
      <w:pPr>
        <w:widowControl w:val="1"/>
        <w:ind w:firstLine="0"/>
        <w:rPr>
          <w:b w:val="1"/>
          <w:color w:val="000000"/>
        </w:rPr>
      </w:pPr>
      <w:r w:rsidDel="00000000" w:rsidR="00000000" w:rsidRPr="00000000">
        <w:rPr>
          <w:b w:val="1"/>
          <w:color w:val="000000"/>
          <w:rtl w:val="0"/>
        </w:rPr>
        <w:t xml:space="preserve">1 INTRODUÇÃO</w:t>
      </w:r>
    </w:p>
    <w:p w:rsidR="00000000" w:rsidDel="00000000" w:rsidP="00000000" w:rsidRDefault="00000000" w:rsidRPr="00000000" w14:paraId="0000000B">
      <w:pPr>
        <w:widowControl w:val="1"/>
        <w:spacing w:after="0" w:lineRule="auto"/>
        <w:ind w:firstLine="0"/>
        <w:rPr>
          <w:b w:val="1"/>
          <w:color w:val="000000"/>
        </w:rPr>
      </w:pPr>
      <w:r w:rsidDel="00000000" w:rsidR="00000000" w:rsidRPr="00000000">
        <w:rPr>
          <w:rtl w:val="0"/>
        </w:rPr>
      </w:r>
    </w:p>
    <w:p w:rsidR="00000000" w:rsidDel="00000000" w:rsidP="00000000" w:rsidRDefault="00000000" w:rsidRPr="00000000" w14:paraId="0000000C">
      <w:pPr>
        <w:widowControl w:val="1"/>
        <w:spacing w:line="360" w:lineRule="auto"/>
        <w:ind w:firstLine="708.6614173228347"/>
        <w:rPr>
          <w:color w:val="000000"/>
        </w:rPr>
      </w:pPr>
      <w:r w:rsidDel="00000000" w:rsidR="00000000" w:rsidRPr="00000000">
        <w:rPr>
          <w:color w:val="000000"/>
          <w:rtl w:val="0"/>
        </w:rPr>
        <w:t xml:space="preserve">O câncer de colo uterino é o segundo mais prevalente no Nordeste brasileiro, com uma estimativa de 1.003 novos casos só no Ceará, em 2023 (INCA, 2022). Sendo associado a até 8,8 óbitos prematuros por 100 mil habitantes, de mulheres de 30 a 69 anos, na região do Cariri em 2022 (SESA, 2023). Esta malignidade tem grande relevância epidemiológica para a saúde pública, especialmente em populações de difícil prevenção e rastreio. </w:t>
      </w:r>
    </w:p>
    <w:p w:rsidR="00000000" w:rsidDel="00000000" w:rsidP="00000000" w:rsidRDefault="00000000" w:rsidRPr="00000000" w14:paraId="0000000D">
      <w:pPr>
        <w:widowControl w:val="1"/>
        <w:spacing w:line="360" w:lineRule="auto"/>
        <w:ind w:left="0" w:firstLine="708.6614173228347"/>
        <w:rPr>
          <w:color w:val="000000"/>
        </w:rPr>
      </w:pPr>
      <w:r w:rsidDel="00000000" w:rsidR="00000000" w:rsidRPr="00000000">
        <w:rPr>
          <w:color w:val="000000"/>
          <w:rtl w:val="0"/>
        </w:rPr>
        <w:t xml:space="preserve">O câncer de colo de útero está fortemente associado ao Papilomavírus Humano (HPV), no entanto, embora a infecção genital </w:t>
      </w:r>
      <w:r w:rsidDel="00000000" w:rsidR="00000000" w:rsidRPr="00000000">
        <w:rPr>
          <w:color w:val="000000"/>
          <w:rtl w:val="0"/>
        </w:rPr>
        <w:t xml:space="preserve">ocorra</w:t>
      </w:r>
      <w:r w:rsidDel="00000000" w:rsidR="00000000" w:rsidRPr="00000000">
        <w:rPr>
          <w:color w:val="000000"/>
          <w:rtl w:val="0"/>
        </w:rPr>
        <w:t xml:space="preserve"> comumente, especialmente em mulheres entre 18 e 30 anos de idade, apenas uma pequena fração delas progride para o câncer, favorecendo a noção de que outros cofatores, incluindo outros agentes infecciosos, podem influenciar o desenvolvimento da doença (</w:t>
      </w:r>
      <w:r w:rsidDel="00000000" w:rsidR="00000000" w:rsidRPr="00000000">
        <w:rPr>
          <w:color w:val="000000"/>
          <w:highlight w:val="white"/>
          <w:rtl w:val="0"/>
        </w:rPr>
        <w:t xml:space="preserve">CHAN </w:t>
      </w:r>
      <w:r w:rsidDel="00000000" w:rsidR="00000000" w:rsidRPr="00000000">
        <w:rPr>
          <w:i w:val="1"/>
          <w:color w:val="000000"/>
          <w:highlight w:val="white"/>
          <w:rtl w:val="0"/>
        </w:rPr>
        <w:t xml:space="preserve">et al.</w:t>
      </w:r>
      <w:r w:rsidDel="00000000" w:rsidR="00000000" w:rsidRPr="00000000">
        <w:rPr>
          <w:color w:val="000000"/>
          <w:highlight w:val="white"/>
          <w:rtl w:val="0"/>
        </w:rPr>
        <w:t xml:space="preserve">, 2019)</w:t>
      </w:r>
      <w:r w:rsidDel="00000000" w:rsidR="00000000" w:rsidRPr="00000000">
        <w:rPr>
          <w:color w:val="000000"/>
          <w:rtl w:val="0"/>
        </w:rPr>
        <w:t xml:space="preserve">. </w:t>
      </w:r>
    </w:p>
    <w:p w:rsidR="00000000" w:rsidDel="00000000" w:rsidP="00000000" w:rsidRDefault="00000000" w:rsidRPr="00000000" w14:paraId="0000000E">
      <w:pPr>
        <w:widowControl w:val="1"/>
        <w:spacing w:line="360" w:lineRule="auto"/>
        <w:ind w:left="0" w:firstLine="708.6614173228347"/>
        <w:rPr>
          <w:color w:val="000000"/>
        </w:rPr>
      </w:pPr>
      <w:r w:rsidDel="00000000" w:rsidR="00000000" w:rsidRPr="00000000">
        <w:rPr>
          <w:color w:val="000000"/>
          <w:rtl w:val="0"/>
        </w:rPr>
        <w:t xml:space="preserve">Dentre os potenciais agentes infecciosos, o vírus Epstein-Barr (EBV), atua como um fator oncogênico em várias malignidades linfóides e epiteliais, incluindo linfoma de Burkitt, linfoma de Hodgkin e carcinoma de nasofaringe, e estudos prévios já evidenciaram a frequente presença de DNA do EBV em lesões da cérvice uterina, sugerindo que o EBV está associado ao desenvolvimento do câncer cervical (VRANIC </w:t>
      </w:r>
      <w:r w:rsidDel="00000000" w:rsidR="00000000" w:rsidRPr="00000000">
        <w:rPr>
          <w:i w:val="1"/>
          <w:color w:val="000000"/>
          <w:rtl w:val="0"/>
        </w:rPr>
        <w:t xml:space="preserve">et al., </w:t>
      </w:r>
      <w:r w:rsidDel="00000000" w:rsidR="00000000" w:rsidRPr="00000000">
        <w:rPr>
          <w:color w:val="000000"/>
          <w:rtl w:val="0"/>
        </w:rPr>
        <w:t xml:space="preserve">2018).</w:t>
      </w:r>
    </w:p>
    <w:p w:rsidR="00000000" w:rsidDel="00000000" w:rsidP="00000000" w:rsidRDefault="00000000" w:rsidRPr="00000000" w14:paraId="0000000F">
      <w:pPr>
        <w:widowControl w:val="1"/>
        <w:spacing w:line="360" w:lineRule="auto"/>
        <w:ind w:left="0" w:firstLine="708.6614173228347"/>
        <w:rPr>
          <w:color w:val="000000"/>
          <w:highlight w:val="white"/>
        </w:rPr>
      </w:pPr>
      <w:r w:rsidDel="00000000" w:rsidR="00000000" w:rsidRPr="00000000">
        <w:rPr>
          <w:color w:val="000000"/>
          <w:highlight w:val="white"/>
          <w:rtl w:val="0"/>
        </w:rPr>
        <w:t xml:space="preserve">Nesse sentido, o presente estudo teve como objetivo determinar a prevalência do vírus de Epstein-Barr (EBV) em amostras de carcinoma do colo uterino de pacientes submetidas à histerectomia em hospitais de referência oncológica do Ceará, correlacionando com o perfil clínico-patológico dos casos.</w:t>
      </w:r>
    </w:p>
    <w:p w:rsidR="00000000" w:rsidDel="00000000" w:rsidP="00000000" w:rsidRDefault="00000000" w:rsidRPr="00000000" w14:paraId="00000010">
      <w:pPr>
        <w:widowControl w:val="1"/>
        <w:spacing w:after="0" w:lineRule="auto"/>
        <w:ind w:firstLine="0"/>
        <w:rPr>
          <w:b w:val="1"/>
          <w:color w:val="000000"/>
        </w:rPr>
      </w:pPr>
      <w:r w:rsidDel="00000000" w:rsidR="00000000" w:rsidRPr="00000000">
        <w:rPr>
          <w:rtl w:val="0"/>
        </w:rPr>
      </w:r>
    </w:p>
    <w:p w:rsidR="00000000" w:rsidDel="00000000" w:rsidP="00000000" w:rsidRDefault="00000000" w:rsidRPr="00000000" w14:paraId="00000011">
      <w:pPr>
        <w:widowControl w:val="1"/>
        <w:spacing w:after="120" w:line="300" w:lineRule="auto"/>
        <w:ind w:firstLine="0"/>
        <w:rPr>
          <w:b w:val="1"/>
          <w:color w:val="000000"/>
        </w:rPr>
      </w:pPr>
      <w:r w:rsidDel="00000000" w:rsidR="00000000" w:rsidRPr="00000000">
        <w:rPr>
          <w:b w:val="1"/>
          <w:color w:val="000000"/>
          <w:rtl w:val="0"/>
        </w:rPr>
        <w:t xml:space="preserve">2 PROCEDIMENTOS METODOLÓGICOS</w:t>
      </w:r>
    </w:p>
    <w:p w:rsidR="00000000" w:rsidDel="00000000" w:rsidP="00000000" w:rsidRDefault="00000000" w:rsidRPr="00000000" w14:paraId="00000012">
      <w:pPr>
        <w:widowControl w:val="1"/>
        <w:spacing w:line="300" w:lineRule="auto"/>
        <w:ind w:firstLine="0"/>
        <w:rPr>
          <w:b w:val="1"/>
          <w:color w:val="000000"/>
        </w:rPr>
      </w:pPr>
      <w:r w:rsidDel="00000000" w:rsidR="00000000" w:rsidRPr="00000000">
        <w:rPr>
          <w:rtl w:val="0"/>
        </w:rPr>
      </w:r>
    </w:p>
    <w:p w:rsidR="00000000" w:rsidDel="00000000" w:rsidP="00000000" w:rsidRDefault="00000000" w:rsidRPr="00000000" w14:paraId="00000013">
      <w:pPr>
        <w:widowControl w:val="1"/>
        <w:spacing w:after="120" w:line="360" w:lineRule="auto"/>
        <w:ind w:firstLine="0"/>
        <w:rPr>
          <w:b w:val="1"/>
          <w:color w:val="000000"/>
        </w:rPr>
      </w:pPr>
      <w:r w:rsidDel="00000000" w:rsidR="00000000" w:rsidRPr="00000000">
        <w:rPr>
          <w:b w:val="1"/>
          <w:color w:val="000000"/>
          <w:highlight w:val="white"/>
          <w:rtl w:val="0"/>
        </w:rPr>
        <w:t xml:space="preserve">2.2 S</w:t>
      </w:r>
      <w:r w:rsidDel="00000000" w:rsidR="00000000" w:rsidRPr="00000000">
        <w:rPr>
          <w:b w:val="1"/>
          <w:color w:val="000000"/>
          <w:rtl w:val="0"/>
        </w:rPr>
        <w:t xml:space="preserve">ujeitos da pesquisa / Espécimes clínicos:</w:t>
      </w:r>
    </w:p>
    <w:p w:rsidR="00000000" w:rsidDel="00000000" w:rsidP="00000000" w:rsidRDefault="00000000" w:rsidRPr="00000000" w14:paraId="00000014">
      <w:pPr>
        <w:widowControl w:val="1"/>
        <w:spacing w:line="360" w:lineRule="auto"/>
        <w:ind w:firstLine="0"/>
        <w:rPr>
          <w:b w:val="1"/>
          <w:color w:val="000000"/>
        </w:rPr>
      </w:pPr>
      <w:r w:rsidDel="00000000" w:rsidR="00000000" w:rsidRPr="00000000">
        <w:rPr>
          <w:rtl w:val="0"/>
        </w:rPr>
      </w:r>
    </w:p>
    <w:p w:rsidR="00000000" w:rsidDel="00000000" w:rsidP="00000000" w:rsidRDefault="00000000" w:rsidRPr="00000000" w14:paraId="00000015">
      <w:pPr>
        <w:widowControl w:val="1"/>
        <w:spacing w:after="120" w:line="360" w:lineRule="auto"/>
        <w:ind w:left="0" w:firstLine="708.6614173228347"/>
        <w:rPr>
          <w:color w:val="000000"/>
        </w:rPr>
      </w:pPr>
      <w:r w:rsidDel="00000000" w:rsidR="00000000" w:rsidRPr="00000000">
        <w:rPr>
          <w:color w:val="000000"/>
          <w:highlight w:val="white"/>
          <w:rtl w:val="0"/>
        </w:rPr>
        <w:t xml:space="preserve">Tecidos cervicais a fresco foram coletados de pacientes, com 18 anos ou mais, que apresentaram diagnóstico </w:t>
      </w:r>
      <w:r w:rsidDel="00000000" w:rsidR="00000000" w:rsidRPr="00000000">
        <w:rPr>
          <w:color w:val="000000"/>
          <w:rtl w:val="0"/>
        </w:rPr>
        <w:t xml:space="preserve">de </w:t>
      </w:r>
      <w:r w:rsidDel="00000000" w:rsidR="00000000" w:rsidRPr="00000000">
        <w:rPr>
          <w:color w:val="000000"/>
          <w:highlight w:val="white"/>
          <w:rtl w:val="0"/>
        </w:rPr>
        <w:t xml:space="preserve">carcinoma cervical uterino. Foram obtidos 97 casos (produto de histerectomias), 37 deles provenientes do Hospital e Maternidade São Vicente de Paulo (</w:t>
      </w:r>
      <w:r w:rsidDel="00000000" w:rsidR="00000000" w:rsidRPr="00000000">
        <w:rPr>
          <w:color w:val="000000"/>
          <w:highlight w:val="white"/>
          <w:rtl w:val="0"/>
        </w:rPr>
        <w:t xml:space="preserve">HMSVP</w:t>
      </w:r>
      <w:r w:rsidDel="00000000" w:rsidR="00000000" w:rsidRPr="00000000">
        <w:rPr>
          <w:color w:val="000000"/>
          <w:highlight w:val="white"/>
          <w:rtl w:val="0"/>
        </w:rPr>
        <w:t xml:space="preserve">), em Barbalha, e 34 do banco de tumores do Hospital Haroldo Juaçaba/Instituto do Câncer do Ceará (ICC), em Fortaleza. As amostras foram coletadas no período entre 2016 e 2023. O estadiamento tumoral foi determinado, com base em laudo histopatológico de peça cirúrgica, em 71 casos de carcinomas. As amostras foram encaminhadas para o Laboratório de Patologia Experimental – LAPEX, da Faculdade de Medicina, </w:t>
      </w:r>
      <w:r w:rsidDel="00000000" w:rsidR="00000000" w:rsidRPr="00000000">
        <w:rPr>
          <w:i w:val="1"/>
          <w:color w:val="000000"/>
          <w:highlight w:val="white"/>
          <w:rtl w:val="0"/>
        </w:rPr>
        <w:t xml:space="preserve">Campus</w:t>
      </w:r>
      <w:r w:rsidDel="00000000" w:rsidR="00000000" w:rsidRPr="00000000">
        <w:rPr>
          <w:color w:val="000000"/>
          <w:highlight w:val="white"/>
          <w:rtl w:val="0"/>
        </w:rPr>
        <w:t xml:space="preserve"> Barbalha, UFCA, para o uso em ensaios de PCR. </w:t>
      </w:r>
      <w:r w:rsidDel="00000000" w:rsidR="00000000" w:rsidRPr="00000000">
        <w:rPr>
          <w:color w:val="000000"/>
          <w:rtl w:val="0"/>
        </w:rPr>
        <w:t xml:space="preserve">Os dados clínico-patológicos foram obtidos através de consulta aos prontuários médicos e/ou por interpelação ao cirurgião responsável.  </w:t>
      </w:r>
    </w:p>
    <w:p w:rsidR="00000000" w:rsidDel="00000000" w:rsidP="00000000" w:rsidRDefault="00000000" w:rsidRPr="00000000" w14:paraId="00000016">
      <w:pPr>
        <w:widowControl w:val="1"/>
        <w:spacing w:after="0" w:lineRule="auto"/>
        <w:ind w:firstLine="708"/>
        <w:rPr>
          <w:color w:val="000000"/>
        </w:rPr>
      </w:pPr>
      <w:r w:rsidDel="00000000" w:rsidR="00000000" w:rsidRPr="00000000">
        <w:rPr>
          <w:rtl w:val="0"/>
        </w:rPr>
      </w:r>
    </w:p>
    <w:p w:rsidR="00000000" w:rsidDel="00000000" w:rsidP="00000000" w:rsidRDefault="00000000" w:rsidRPr="00000000" w14:paraId="00000017">
      <w:pPr>
        <w:widowControl w:val="1"/>
        <w:spacing w:after="120" w:line="360" w:lineRule="auto"/>
        <w:ind w:firstLine="0"/>
        <w:rPr>
          <w:b w:val="1"/>
          <w:color w:val="000000"/>
        </w:rPr>
      </w:pPr>
      <w:r w:rsidDel="00000000" w:rsidR="00000000" w:rsidRPr="00000000">
        <w:rPr>
          <w:b w:val="1"/>
          <w:color w:val="000000"/>
          <w:highlight w:val="white"/>
          <w:rtl w:val="0"/>
        </w:rPr>
        <w:t xml:space="preserve">2.3 P</w:t>
      </w:r>
      <w:r w:rsidDel="00000000" w:rsidR="00000000" w:rsidRPr="00000000">
        <w:rPr>
          <w:b w:val="1"/>
          <w:color w:val="000000"/>
          <w:rtl w:val="0"/>
        </w:rPr>
        <w:t xml:space="preserve">CR para detecção do Vírus Epstein-Barr (EBV)</w:t>
      </w:r>
    </w:p>
    <w:p w:rsidR="00000000" w:rsidDel="00000000" w:rsidP="00000000" w:rsidRDefault="00000000" w:rsidRPr="00000000" w14:paraId="00000018">
      <w:pPr>
        <w:widowControl w:val="1"/>
        <w:spacing w:line="360" w:lineRule="auto"/>
        <w:ind w:firstLine="0"/>
        <w:rPr>
          <w:b w:val="1"/>
          <w:color w:val="000000"/>
        </w:rPr>
      </w:pPr>
      <w:r w:rsidDel="00000000" w:rsidR="00000000" w:rsidRPr="00000000">
        <w:rPr>
          <w:rtl w:val="0"/>
        </w:rPr>
      </w:r>
    </w:p>
    <w:p w:rsidR="00000000" w:rsidDel="00000000" w:rsidP="00000000" w:rsidRDefault="00000000" w:rsidRPr="00000000" w14:paraId="00000019">
      <w:pPr>
        <w:widowControl w:val="1"/>
        <w:spacing w:after="120" w:line="360" w:lineRule="auto"/>
        <w:ind w:left="0" w:firstLine="708.6614173228347"/>
        <w:rPr>
          <w:color w:val="000000"/>
          <w:highlight w:val="yellow"/>
        </w:rPr>
      </w:pPr>
      <w:r w:rsidDel="00000000" w:rsidR="00000000" w:rsidRPr="00000000">
        <w:rPr>
          <w:color w:val="000000"/>
          <w:highlight w:val="white"/>
          <w:rtl w:val="0"/>
        </w:rPr>
        <w:t xml:space="preserve">A detecção do EBV por PCR foi adaptada do protocolo proposto por Higa </w:t>
      </w:r>
      <w:r w:rsidDel="00000000" w:rsidR="00000000" w:rsidRPr="00000000">
        <w:rPr>
          <w:i w:val="1"/>
          <w:color w:val="000000"/>
          <w:highlight w:val="white"/>
          <w:rtl w:val="0"/>
        </w:rPr>
        <w:t xml:space="preserve">et al</w:t>
      </w:r>
      <w:r w:rsidDel="00000000" w:rsidR="00000000" w:rsidRPr="00000000">
        <w:rPr>
          <w:color w:val="000000"/>
          <w:highlight w:val="white"/>
          <w:rtl w:val="0"/>
        </w:rPr>
        <w:t xml:space="preserve">. (2002). Todas as amostras de DNA extraídas foram submetidas à amplificação do gene viral </w:t>
      </w:r>
      <w:r w:rsidDel="00000000" w:rsidR="00000000" w:rsidRPr="00000000">
        <w:rPr>
          <w:i w:val="1"/>
          <w:color w:val="000000"/>
          <w:highlight w:val="white"/>
          <w:rtl w:val="0"/>
        </w:rPr>
        <w:t xml:space="preserve">LMP1</w:t>
      </w:r>
      <w:r w:rsidDel="00000000" w:rsidR="00000000" w:rsidRPr="00000000">
        <w:rPr>
          <w:color w:val="000000"/>
          <w:highlight w:val="white"/>
          <w:rtl w:val="0"/>
        </w:rPr>
        <w:t xml:space="preserve">, com os iniciadores forward 5’-GTGGGGGTCGTCATCATCTC-3’ e reverse 5’-CGGAAGAGGTTGAAAACAAA-3’, cujos produtos de amplificação podem apresentar 131pb ou 161pb de extensão, a depender da ocorrência de uma deleção de 30 pb no referido gene. Como controle interno das reações, para avaliar se as amostras continham DNA em quantidade e qualidade adequadas, o gene da beta-globina também foi amplificado (F Globina: 5`ACACAACTGTGTTCACTAGC-3` e R Globin: 5`-TTCTCTGTCTCCACATGCCC-3`). As </w:t>
      </w:r>
      <w:r w:rsidDel="00000000" w:rsidR="00000000" w:rsidRPr="00000000">
        <w:rPr>
          <w:color w:val="000000"/>
          <w:highlight w:val="white"/>
          <w:rtl w:val="0"/>
        </w:rPr>
        <w:t xml:space="preserve">amplificações</w:t>
      </w:r>
      <w:r w:rsidDel="00000000" w:rsidR="00000000" w:rsidRPr="00000000">
        <w:rPr>
          <w:color w:val="000000"/>
          <w:highlight w:val="white"/>
          <w:rtl w:val="0"/>
        </w:rPr>
        <w:t xml:space="preserve"> foram realizadas em termociclador Peltier, modelo </w:t>
      </w:r>
      <w:r w:rsidDel="00000000" w:rsidR="00000000" w:rsidRPr="00000000">
        <w:rPr>
          <w:color w:val="000000"/>
          <w:highlight w:val="white"/>
          <w:rtl w:val="0"/>
        </w:rPr>
        <w:t xml:space="preserve">MJ96</w:t>
      </w:r>
      <w:r w:rsidDel="00000000" w:rsidR="00000000" w:rsidRPr="00000000">
        <w:rPr>
          <w:color w:val="000000"/>
          <w:highlight w:val="white"/>
          <w:rtl w:val="0"/>
        </w:rPr>
        <w:t xml:space="preserve"> BioCycler thermocycler, e os produtos visualizados em gel de agarose a 2%. </w:t>
      </w:r>
      <w:r w:rsidDel="00000000" w:rsidR="00000000" w:rsidRPr="00000000">
        <w:rPr>
          <w:rtl w:val="0"/>
        </w:rPr>
      </w:r>
    </w:p>
    <w:p w:rsidR="00000000" w:rsidDel="00000000" w:rsidP="00000000" w:rsidRDefault="00000000" w:rsidRPr="00000000" w14:paraId="0000001A">
      <w:pPr>
        <w:widowControl w:val="1"/>
        <w:spacing w:after="120" w:line="360" w:lineRule="auto"/>
        <w:ind w:firstLine="0"/>
        <w:rPr>
          <w:b w:val="1"/>
          <w:color w:val="000000"/>
        </w:rPr>
      </w:pPr>
      <w:r w:rsidDel="00000000" w:rsidR="00000000" w:rsidRPr="00000000">
        <w:rPr>
          <w:b w:val="1"/>
          <w:color w:val="000000"/>
          <w:highlight w:val="white"/>
          <w:rtl w:val="0"/>
        </w:rPr>
        <w:t xml:space="preserve">2.4 </w:t>
      </w:r>
      <w:r w:rsidDel="00000000" w:rsidR="00000000" w:rsidRPr="00000000">
        <w:rPr>
          <w:b w:val="1"/>
          <w:color w:val="000000"/>
          <w:rtl w:val="0"/>
        </w:rPr>
        <w:t xml:space="preserve">Aspectos éticos da pesquisa</w:t>
      </w:r>
    </w:p>
    <w:p w:rsidR="00000000" w:rsidDel="00000000" w:rsidP="00000000" w:rsidRDefault="00000000" w:rsidRPr="00000000" w14:paraId="0000001B">
      <w:pPr>
        <w:widowControl w:val="1"/>
        <w:ind w:firstLine="0"/>
        <w:rPr>
          <w:b w:val="1"/>
          <w:color w:val="000000"/>
        </w:rPr>
      </w:pPr>
      <w:r w:rsidDel="00000000" w:rsidR="00000000" w:rsidRPr="00000000">
        <w:rPr>
          <w:rtl w:val="0"/>
        </w:rPr>
      </w:r>
    </w:p>
    <w:p w:rsidR="00000000" w:rsidDel="00000000" w:rsidP="00000000" w:rsidRDefault="00000000" w:rsidRPr="00000000" w14:paraId="0000001C">
      <w:pPr>
        <w:widowControl w:val="1"/>
        <w:spacing w:after="120" w:line="360" w:lineRule="auto"/>
        <w:ind w:left="0" w:firstLine="708.6614173228347"/>
        <w:rPr>
          <w:color w:val="000000"/>
          <w:highlight w:val="white"/>
        </w:rPr>
      </w:pPr>
      <w:r w:rsidDel="00000000" w:rsidR="00000000" w:rsidRPr="00000000">
        <w:rPr>
          <w:color w:val="000000"/>
          <w:rtl w:val="0"/>
        </w:rPr>
        <w:t xml:space="preserve">O presente estudo foi aprovado pelo Comitê de Ética em Pesquisa – CEP, da Universidade Federal do Cariri, através da Plataforma Brasil, da Comissão Nacional de Ética em Pesquisa, do Conselho Nacional de Saúde - Ministério da Saúde (CONEP/CNS/MS), sob o Parecer Nº 4.734.779 (CAAE: 49038415.3.0000.5698</w:t>
      </w:r>
      <w:r w:rsidDel="00000000" w:rsidR="00000000" w:rsidRPr="00000000">
        <w:rPr>
          <w:color w:val="000000"/>
          <w:highlight w:val="white"/>
          <w:rtl w:val="0"/>
        </w:rPr>
        <w:t xml:space="preserve">)</w:t>
      </w:r>
      <w:r w:rsidDel="00000000" w:rsidR="00000000" w:rsidRPr="00000000">
        <w:rPr>
          <w:color w:val="000000"/>
          <w:rtl w:val="0"/>
        </w:rPr>
        <w:t xml:space="preserve">. </w:t>
      </w:r>
      <w:r w:rsidDel="00000000" w:rsidR="00000000" w:rsidRPr="00000000">
        <w:rPr>
          <w:color w:val="000000"/>
          <w:highlight w:val="white"/>
          <w:rtl w:val="0"/>
        </w:rPr>
        <w:t xml:space="preserve">Ademais, foi apresentado um termo de consentimento livre e esclarecido – TCLE, o qual foi assinado em duas vias pela participante ou responsável e o pesquisador. Destarte, este projeto está em conformidade com a resolução Nº466/2012 do Conselho Nacional de Saúde, que diz respeito às pesquisas envolvendo seres humanos.</w:t>
      </w:r>
    </w:p>
    <w:p w:rsidR="00000000" w:rsidDel="00000000" w:rsidP="00000000" w:rsidRDefault="00000000" w:rsidRPr="00000000" w14:paraId="0000001D">
      <w:pPr>
        <w:widowControl w:val="1"/>
        <w:spacing w:after="0" w:lineRule="auto"/>
        <w:ind w:firstLine="708"/>
        <w:rPr>
          <w:color w:val="000000"/>
          <w:highlight w:val="white"/>
        </w:rPr>
      </w:pPr>
      <w:r w:rsidDel="00000000" w:rsidR="00000000" w:rsidRPr="00000000">
        <w:rPr>
          <w:rtl w:val="0"/>
        </w:rPr>
      </w:r>
    </w:p>
    <w:p w:rsidR="00000000" w:rsidDel="00000000" w:rsidP="00000000" w:rsidRDefault="00000000" w:rsidRPr="00000000" w14:paraId="0000001E">
      <w:pPr>
        <w:widowControl w:val="1"/>
        <w:spacing w:after="120" w:line="360" w:lineRule="auto"/>
        <w:ind w:firstLine="0"/>
        <w:rPr>
          <w:b w:val="1"/>
          <w:color w:val="000000"/>
          <w:highlight w:val="white"/>
        </w:rPr>
      </w:pPr>
      <w:r w:rsidDel="00000000" w:rsidR="00000000" w:rsidRPr="00000000">
        <w:rPr>
          <w:b w:val="1"/>
          <w:color w:val="000000"/>
          <w:highlight w:val="white"/>
          <w:rtl w:val="0"/>
        </w:rPr>
        <w:t xml:space="preserve">2.5 Análise estatística </w:t>
      </w:r>
    </w:p>
    <w:p w:rsidR="00000000" w:rsidDel="00000000" w:rsidP="00000000" w:rsidRDefault="00000000" w:rsidRPr="00000000" w14:paraId="0000001F">
      <w:pPr>
        <w:widowControl w:val="1"/>
        <w:ind w:firstLine="0"/>
        <w:rPr>
          <w:b w:val="1"/>
          <w:color w:val="000000"/>
          <w:highlight w:val="white"/>
        </w:rPr>
      </w:pPr>
      <w:r w:rsidDel="00000000" w:rsidR="00000000" w:rsidRPr="00000000">
        <w:rPr>
          <w:rtl w:val="0"/>
        </w:rPr>
      </w:r>
    </w:p>
    <w:p w:rsidR="00000000" w:rsidDel="00000000" w:rsidP="00000000" w:rsidRDefault="00000000" w:rsidRPr="00000000" w14:paraId="00000020">
      <w:pPr>
        <w:widowControl w:val="1"/>
        <w:spacing w:after="120" w:line="360" w:lineRule="auto"/>
        <w:ind w:left="0" w:firstLine="708.6614173228347"/>
        <w:rPr>
          <w:color w:val="000000"/>
          <w:highlight w:val="white"/>
        </w:rPr>
      </w:pPr>
      <w:r w:rsidDel="00000000" w:rsidR="00000000" w:rsidRPr="00000000">
        <w:rPr>
          <w:color w:val="000000"/>
          <w:highlight w:val="white"/>
          <w:rtl w:val="0"/>
        </w:rPr>
        <w:tab/>
        <w:t xml:space="preserve">Utilizamos o teste qui-quadrado de Pearson e o exato de Fisher, com nível de significância de p&lt;0,05 na análise dos dados. </w:t>
      </w:r>
    </w:p>
    <w:p w:rsidR="00000000" w:rsidDel="00000000" w:rsidP="00000000" w:rsidRDefault="00000000" w:rsidRPr="00000000" w14:paraId="00000021">
      <w:pPr>
        <w:widowControl w:val="1"/>
        <w:spacing w:after="0" w:lineRule="auto"/>
        <w:ind w:firstLine="0"/>
        <w:rPr>
          <w:b w:val="1"/>
          <w:color w:val="000000"/>
        </w:rPr>
      </w:pPr>
      <w:r w:rsidDel="00000000" w:rsidR="00000000" w:rsidRPr="00000000">
        <w:rPr>
          <w:rtl w:val="0"/>
        </w:rPr>
      </w:r>
    </w:p>
    <w:p w:rsidR="00000000" w:rsidDel="00000000" w:rsidP="00000000" w:rsidRDefault="00000000" w:rsidRPr="00000000" w14:paraId="00000022">
      <w:pPr>
        <w:widowControl w:val="1"/>
        <w:spacing w:after="120" w:line="300" w:lineRule="auto"/>
        <w:ind w:firstLine="0"/>
        <w:rPr>
          <w:b w:val="1"/>
          <w:color w:val="000000"/>
        </w:rPr>
      </w:pPr>
      <w:r w:rsidDel="00000000" w:rsidR="00000000" w:rsidRPr="00000000">
        <w:rPr>
          <w:b w:val="1"/>
          <w:color w:val="000000"/>
          <w:rtl w:val="0"/>
        </w:rPr>
        <w:t xml:space="preserve">3 REFERENCIAL TEÓRICO</w:t>
      </w:r>
    </w:p>
    <w:p w:rsidR="00000000" w:rsidDel="00000000" w:rsidP="00000000" w:rsidRDefault="00000000" w:rsidRPr="00000000" w14:paraId="00000023">
      <w:pPr>
        <w:widowControl w:val="1"/>
        <w:ind w:firstLine="0"/>
        <w:rPr>
          <w:b w:val="1"/>
          <w:color w:val="000000"/>
        </w:rPr>
      </w:pPr>
      <w:r w:rsidDel="00000000" w:rsidR="00000000" w:rsidRPr="00000000">
        <w:rPr>
          <w:rtl w:val="0"/>
        </w:rPr>
      </w:r>
    </w:p>
    <w:p w:rsidR="00000000" w:rsidDel="00000000" w:rsidP="00000000" w:rsidRDefault="00000000" w:rsidRPr="00000000" w14:paraId="00000024">
      <w:pPr>
        <w:widowControl w:val="1"/>
        <w:spacing w:after="120" w:line="360" w:lineRule="auto"/>
        <w:ind w:left="0" w:firstLine="708.6614173228347"/>
        <w:rPr>
          <w:color w:val="000000"/>
        </w:rPr>
      </w:pPr>
      <w:r w:rsidDel="00000000" w:rsidR="00000000" w:rsidRPr="00000000">
        <w:rPr>
          <w:color w:val="000000"/>
          <w:rtl w:val="0"/>
        </w:rPr>
        <w:t xml:space="preserve">Infecções por oncovírus são responsáveis por cerca de 12-15% dos cânceres humanos mundialmente e por até 20% em países em desenvolvimento. Dentre os cânceres gerados por agentes virais estão as neoplasias cervicais (MORALES-SÁNCHEZ </w:t>
      </w:r>
      <w:r w:rsidDel="00000000" w:rsidR="00000000" w:rsidRPr="00000000">
        <w:rPr>
          <w:i w:val="1"/>
          <w:color w:val="000000"/>
          <w:rtl w:val="0"/>
        </w:rPr>
        <w:t xml:space="preserve">et al</w:t>
      </w:r>
      <w:r w:rsidDel="00000000" w:rsidR="00000000" w:rsidRPr="00000000">
        <w:rPr>
          <w:color w:val="000000"/>
          <w:rtl w:val="0"/>
        </w:rPr>
        <w:t xml:space="preserve">., 2014; SHI </w:t>
      </w:r>
      <w:r w:rsidDel="00000000" w:rsidR="00000000" w:rsidRPr="00000000">
        <w:rPr>
          <w:i w:val="1"/>
          <w:color w:val="000000"/>
          <w:rtl w:val="0"/>
        </w:rPr>
        <w:t xml:space="preserve">et al</w:t>
      </w:r>
      <w:r w:rsidDel="00000000" w:rsidR="00000000" w:rsidRPr="00000000">
        <w:rPr>
          <w:color w:val="000000"/>
          <w:rtl w:val="0"/>
        </w:rPr>
        <w:t xml:space="preserve">., 2016). O Papilomavírus Humano (HPV) é um oncovírus que tem sido intimamente relacionado com a carcinogênese cervical, representando um dos principais fatores de risco (COHEN </w:t>
      </w:r>
      <w:r w:rsidDel="00000000" w:rsidR="00000000" w:rsidRPr="00000000">
        <w:rPr>
          <w:i w:val="1"/>
          <w:color w:val="000000"/>
          <w:rtl w:val="0"/>
        </w:rPr>
        <w:t xml:space="preserve">et al.</w:t>
      </w:r>
      <w:r w:rsidDel="00000000" w:rsidR="00000000" w:rsidRPr="00000000">
        <w:rPr>
          <w:color w:val="000000"/>
          <w:rtl w:val="0"/>
        </w:rPr>
        <w:t xml:space="preserve">, 2019). No entanto, nos últimos anos, o vírus Epstein-Barr (EBV), que é classificado como um carcinógeno do grupo 1 pela Agência Internacional de Pesquisa sobre o Câncer (IARC), tem sido observado frequentemente em tecidos com lesões intraepiteliais escamosas de alto grau e em carcinomas escamosos de células cervicais,  o que tem reforçado sua associação com a tumorigênese no tecido cervical e corroborado um possível sinergismo entre HPV e EBV (AROMSEREE </w:t>
      </w:r>
      <w:r w:rsidDel="00000000" w:rsidR="00000000" w:rsidRPr="00000000">
        <w:rPr>
          <w:i w:val="1"/>
          <w:color w:val="000000"/>
          <w:rtl w:val="0"/>
        </w:rPr>
        <w:t xml:space="preserve">et al</w:t>
      </w:r>
      <w:r w:rsidDel="00000000" w:rsidR="00000000" w:rsidRPr="00000000">
        <w:rPr>
          <w:color w:val="000000"/>
          <w:rtl w:val="0"/>
        </w:rPr>
        <w:t xml:space="preserve">., 2017). </w:t>
      </w:r>
    </w:p>
    <w:p w:rsidR="00000000" w:rsidDel="00000000" w:rsidP="00000000" w:rsidRDefault="00000000" w:rsidRPr="00000000" w14:paraId="00000025">
      <w:pPr>
        <w:widowControl w:val="1"/>
        <w:spacing w:after="120" w:line="360" w:lineRule="auto"/>
        <w:ind w:left="0" w:firstLine="708.6614173228347"/>
        <w:rPr>
          <w:color w:val="000000"/>
        </w:rPr>
      </w:pPr>
      <w:r w:rsidDel="00000000" w:rsidR="00000000" w:rsidRPr="00000000">
        <w:rPr>
          <w:color w:val="000000"/>
          <w:rtl w:val="0"/>
        </w:rPr>
        <w:t xml:space="preserve">Uma meta-análise revelou uma prevalência global agrupada do EBV de 33,44% em amostras cervicais, sendo a maior prevalência agrupada observada em carcinomas, de 43,63%, seguida pela prevalência para NIC2/3, de 34,67%. Além da associação observada entre a presença do EBV e o grau da lesão no epitélio cervical e com as lesões malignas, outras evidências que corroboram a hipótese da participação do EBV na carcinogênese do colo do útero são: i) a associação de EBV com a integração do DNA de HR-HPV no genoma hospedeiro, em casos de lesões malignas; ii) a existência de casos de carcinoma HPV negativo e EBV positivo; iii) expressão de oncoproteínas latentes virais (LMP1, EBNA 1, EBNA 2) e pequenos RNAs não codificantes (EBERs) em carcinomas cervicais; iv) assim como um </w:t>
      </w:r>
      <w:r w:rsidDel="00000000" w:rsidR="00000000" w:rsidRPr="00000000">
        <w:rPr>
          <w:i w:val="1"/>
          <w:color w:val="000000"/>
          <w:rtl w:val="0"/>
        </w:rPr>
        <w:t xml:space="preserve">odds ratio</w:t>
      </w:r>
      <w:r w:rsidDel="00000000" w:rsidR="00000000" w:rsidRPr="00000000">
        <w:rPr>
          <w:color w:val="000000"/>
          <w:rtl w:val="0"/>
        </w:rPr>
        <w:t xml:space="preserve"> evidenciando que mulheres com colo uterino infectado pelo EBV estão sob um risco quatro vezes maior de câncer cervical (LIMA </w:t>
      </w:r>
      <w:r w:rsidDel="00000000" w:rsidR="00000000" w:rsidRPr="00000000">
        <w:rPr>
          <w:i w:val="1"/>
          <w:color w:val="000000"/>
          <w:rtl w:val="0"/>
        </w:rPr>
        <w:t xml:space="preserve">et al</w:t>
      </w:r>
      <w:r w:rsidDel="00000000" w:rsidR="00000000" w:rsidRPr="00000000">
        <w:rPr>
          <w:color w:val="000000"/>
          <w:rtl w:val="0"/>
        </w:rPr>
        <w:t xml:space="preserve">., 2018).</w:t>
      </w:r>
    </w:p>
    <w:p w:rsidR="00000000" w:rsidDel="00000000" w:rsidP="00000000" w:rsidRDefault="00000000" w:rsidRPr="00000000" w14:paraId="00000026">
      <w:pPr>
        <w:widowControl w:val="1"/>
        <w:spacing w:after="120" w:line="360" w:lineRule="auto"/>
        <w:ind w:left="0" w:firstLine="708.6614173228347"/>
        <w:rPr>
          <w:color w:val="000000"/>
        </w:rPr>
      </w:pPr>
      <w:r w:rsidDel="00000000" w:rsidR="00000000" w:rsidRPr="00000000">
        <w:rPr>
          <w:color w:val="000000"/>
          <w:rtl w:val="0"/>
        </w:rPr>
        <w:t xml:space="preserve">Apesar de os mecanismos da promoção de oncogênese do EBV ainda não serem conhecidos integralmente, alguns efeitos da expressão de genes latentes foram sugeridos, tais como: o estímulo à produção de IL-10 viral a partir do gene BamHI-C por linfócitos infiltrados no tumor, que reduzem a imunidade local e suprime a resposta às células transformadas por HPV (AL-DARAJI </w:t>
      </w:r>
      <w:r w:rsidDel="00000000" w:rsidR="00000000" w:rsidRPr="00000000">
        <w:rPr>
          <w:i w:val="1"/>
          <w:color w:val="000000"/>
          <w:rtl w:val="0"/>
        </w:rPr>
        <w:t xml:space="preserve">et al</w:t>
      </w:r>
      <w:r w:rsidDel="00000000" w:rsidR="00000000" w:rsidRPr="00000000">
        <w:rPr>
          <w:color w:val="000000"/>
          <w:rtl w:val="0"/>
        </w:rPr>
        <w:t xml:space="preserve">., 2009); a participação da proteína viral EBNA1 na supressão da apoptose e do reparo do DNA (SHI et al., 2016); inibição da atividade de </w:t>
      </w:r>
      <w:r w:rsidDel="00000000" w:rsidR="00000000" w:rsidRPr="00000000">
        <w:rPr>
          <w:color w:val="000000"/>
          <w:rtl w:val="0"/>
        </w:rPr>
        <w:t xml:space="preserve">PERK</w:t>
      </w:r>
      <w:r w:rsidDel="00000000" w:rsidR="00000000" w:rsidRPr="00000000">
        <w:rPr>
          <w:color w:val="000000"/>
          <w:rtl w:val="0"/>
        </w:rPr>
        <w:t xml:space="preserve"> em células cancerígenas, promovendo o acúmulo de espécies reativas de oxigênio (HE et al, 2021); indução de genes associados à produção de IFN e IL-6 por transcritos de EBER1 (AROMSEREE et al., 2017); transformação de células cervicais através do receptor C3d, o qual sensibiliza as células cervicais a estímulos oncogênicos; e, também, a presença do EBV acelerando a integração do HPV no genoma das células cervicais, aumentando, assim, a instabilidade das células do colo do útero (KAHLA </w:t>
      </w:r>
      <w:r w:rsidDel="00000000" w:rsidR="00000000" w:rsidRPr="00000000">
        <w:rPr>
          <w:i w:val="1"/>
          <w:color w:val="000000"/>
          <w:rtl w:val="0"/>
        </w:rPr>
        <w:t xml:space="preserve">et al.,</w:t>
      </w:r>
      <w:r w:rsidDel="00000000" w:rsidR="00000000" w:rsidRPr="00000000">
        <w:rPr>
          <w:color w:val="000000"/>
          <w:rtl w:val="0"/>
        </w:rPr>
        <w:t xml:space="preserve"> 2012). Além disso, outros estudos  identificaram a expressão de PDL1 em casos com infecção latente pelo EBV, sugerindo que esse vírus pode regular a função das células T CD8 + (VRANIC </w:t>
      </w:r>
      <w:r w:rsidDel="00000000" w:rsidR="00000000" w:rsidRPr="00000000">
        <w:rPr>
          <w:i w:val="1"/>
          <w:color w:val="000000"/>
          <w:rtl w:val="0"/>
        </w:rPr>
        <w:t xml:space="preserve">et al.</w:t>
      </w:r>
      <w:r w:rsidDel="00000000" w:rsidR="00000000" w:rsidRPr="00000000">
        <w:rPr>
          <w:color w:val="000000"/>
          <w:rtl w:val="0"/>
        </w:rPr>
        <w:t xml:space="preserve">, 2018; ZUO </w:t>
      </w:r>
      <w:r w:rsidDel="00000000" w:rsidR="00000000" w:rsidRPr="00000000">
        <w:rPr>
          <w:i w:val="1"/>
          <w:color w:val="000000"/>
          <w:rtl w:val="0"/>
        </w:rPr>
        <w:t xml:space="preserve">et al.</w:t>
      </w:r>
      <w:r w:rsidDel="00000000" w:rsidR="00000000" w:rsidRPr="00000000">
        <w:rPr>
          <w:color w:val="000000"/>
          <w:rtl w:val="0"/>
        </w:rPr>
        <w:t xml:space="preserve">, 2023). Outra hipótese perpassa pela superexpressão de genes latentes e líticos do EBV, os quais </w:t>
      </w:r>
      <w:r w:rsidDel="00000000" w:rsidR="00000000" w:rsidRPr="00000000">
        <w:rPr>
          <w:color w:val="000000"/>
          <w:rtl w:val="0"/>
        </w:rPr>
        <w:t xml:space="preserve">ativariam</w:t>
      </w:r>
      <w:r w:rsidDel="00000000" w:rsidR="00000000" w:rsidRPr="00000000">
        <w:rPr>
          <w:color w:val="000000"/>
          <w:rtl w:val="0"/>
        </w:rPr>
        <w:t xml:space="preserve"> vias de sinalização envolvendo p53, pRb, p16</w:t>
      </w:r>
      <w:r w:rsidDel="00000000" w:rsidR="00000000" w:rsidRPr="00000000">
        <w:rPr>
          <w:color w:val="000000"/>
          <w:vertAlign w:val="superscript"/>
          <w:rtl w:val="0"/>
        </w:rPr>
        <w:t xml:space="preserve">INK4a</w:t>
      </w:r>
      <w:r w:rsidDel="00000000" w:rsidR="00000000" w:rsidRPr="00000000">
        <w:rPr>
          <w:color w:val="000000"/>
          <w:rtl w:val="0"/>
        </w:rPr>
        <w:t xml:space="preserve">, p19</w:t>
      </w:r>
      <w:r w:rsidDel="00000000" w:rsidR="00000000" w:rsidRPr="00000000">
        <w:rPr>
          <w:color w:val="000000"/>
          <w:vertAlign w:val="superscript"/>
          <w:rtl w:val="0"/>
        </w:rPr>
        <w:t xml:space="preserve">ARF</w:t>
      </w:r>
      <w:r w:rsidDel="00000000" w:rsidR="00000000" w:rsidRPr="00000000">
        <w:rPr>
          <w:color w:val="000000"/>
          <w:rtl w:val="0"/>
        </w:rPr>
        <w:t xml:space="preserve">, MYC, E-caderina, β-catenina, EGFR, MLH1 e COX-2 (LIMA </w:t>
      </w:r>
      <w:r w:rsidDel="00000000" w:rsidR="00000000" w:rsidRPr="00000000">
        <w:rPr>
          <w:i w:val="1"/>
          <w:color w:val="000000"/>
          <w:rtl w:val="0"/>
        </w:rPr>
        <w:t xml:space="preserve">et al</w:t>
      </w:r>
      <w:r w:rsidDel="00000000" w:rsidR="00000000" w:rsidRPr="00000000">
        <w:rPr>
          <w:color w:val="000000"/>
          <w:rtl w:val="0"/>
        </w:rPr>
        <w:t xml:space="preserve">., 2019). Sendo assim, fica evidente a importância do estudo acerca do rastreamento de EBV em casos de carcinoma cervical e a correlação com características epidemiológicas e clínico-patológicas.</w:t>
      </w:r>
    </w:p>
    <w:p w:rsidR="00000000" w:rsidDel="00000000" w:rsidP="00000000" w:rsidRDefault="00000000" w:rsidRPr="00000000" w14:paraId="00000027">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28">
      <w:pPr>
        <w:widowControl w:val="1"/>
        <w:spacing w:after="120" w:line="300" w:lineRule="auto"/>
        <w:ind w:firstLine="0"/>
        <w:rPr>
          <w:b w:val="1"/>
          <w:color w:val="000000"/>
        </w:rPr>
      </w:pPr>
      <w:r w:rsidDel="00000000" w:rsidR="00000000" w:rsidRPr="00000000">
        <w:rPr>
          <w:b w:val="1"/>
          <w:color w:val="000000"/>
          <w:rtl w:val="0"/>
        </w:rPr>
        <w:t xml:space="preserve">4 APRESENTAÇÃO E DISCUSSÃO DOS RESULTADOS</w:t>
      </w:r>
    </w:p>
    <w:p w:rsidR="00000000" w:rsidDel="00000000" w:rsidP="00000000" w:rsidRDefault="00000000" w:rsidRPr="00000000" w14:paraId="00000029">
      <w:pPr>
        <w:widowControl w:val="1"/>
        <w:ind w:firstLine="0"/>
        <w:rPr>
          <w:b w:val="1"/>
          <w:color w:val="000000"/>
        </w:rPr>
      </w:pPr>
      <w:r w:rsidDel="00000000" w:rsidR="00000000" w:rsidRPr="00000000">
        <w:rPr>
          <w:rtl w:val="0"/>
        </w:rPr>
      </w:r>
    </w:p>
    <w:p w:rsidR="00000000" w:rsidDel="00000000" w:rsidP="00000000" w:rsidRDefault="00000000" w:rsidRPr="00000000" w14:paraId="0000002A">
      <w:pPr>
        <w:widowControl w:val="1"/>
        <w:spacing w:after="120" w:line="360" w:lineRule="auto"/>
        <w:ind w:left="0" w:firstLine="708.6614173228347"/>
        <w:rPr>
          <w:color w:val="000000"/>
        </w:rPr>
      </w:pPr>
      <w:r w:rsidDel="00000000" w:rsidR="00000000" w:rsidRPr="00000000">
        <w:rPr>
          <w:color w:val="000000"/>
          <w:rtl w:val="0"/>
        </w:rPr>
        <w:t xml:space="preserve">Ao todo, 71 casos compõem a amostra de carcinomas em análise, cujas idades variaram entre 25 e 71 anos. </w:t>
      </w:r>
      <w:r w:rsidDel="00000000" w:rsidR="00000000" w:rsidRPr="00000000">
        <w:rPr>
          <w:color w:val="000000"/>
          <w:rtl w:val="0"/>
        </w:rPr>
        <w:t xml:space="preserve">Ademais</w:t>
      </w:r>
      <w:r w:rsidDel="00000000" w:rsidR="00000000" w:rsidRPr="00000000">
        <w:rPr>
          <w:color w:val="000000"/>
          <w:rtl w:val="0"/>
        </w:rPr>
        <w:t xml:space="preserve">, 22,5% das mulheres entrevistadas eram do lar e outras 19,7% eram agricultoras, demonstrando a vulnerabilidade </w:t>
      </w:r>
      <w:r w:rsidDel="00000000" w:rsidR="00000000" w:rsidRPr="00000000">
        <w:rPr>
          <w:color w:val="000000"/>
          <w:rtl w:val="0"/>
        </w:rPr>
        <w:t xml:space="preserve">dessas</w:t>
      </w:r>
      <w:r w:rsidDel="00000000" w:rsidR="00000000" w:rsidRPr="00000000">
        <w:rPr>
          <w:color w:val="000000"/>
          <w:rtl w:val="0"/>
        </w:rPr>
        <w:t xml:space="preserve"> pacientes e, ao mesmo tempo, refletindo, as taxas mais elevadas observadas em populações socioeconomicamente desfavorecidas, ou em países em desenvolvimento.</w:t>
      </w:r>
    </w:p>
    <w:p w:rsidR="00000000" w:rsidDel="00000000" w:rsidP="00000000" w:rsidRDefault="00000000" w:rsidRPr="00000000" w14:paraId="0000002B">
      <w:pPr>
        <w:widowControl w:val="1"/>
        <w:spacing w:after="120" w:line="360" w:lineRule="auto"/>
        <w:ind w:left="0" w:firstLine="708.6614173228347"/>
        <w:rPr>
          <w:b w:val="1"/>
          <w:color w:val="000000"/>
          <w:highlight w:val="yellow"/>
        </w:rPr>
      </w:pPr>
      <w:r w:rsidDel="00000000" w:rsidR="00000000" w:rsidRPr="00000000">
        <w:rPr>
          <w:color w:val="000000"/>
          <w:rtl w:val="0"/>
        </w:rPr>
        <w:t xml:space="preserve">Inicialmente, a PCR para o gene da beta-Globina humana (PCR-beta globina) foi realizada em todas as amostras selecionadas, atestando a integridade do DNA extraído da maioria das amostras. Os casos foram submetidos à PCR para detecção de EBV, tendo como alvo o gene </w:t>
      </w:r>
      <w:r w:rsidDel="00000000" w:rsidR="00000000" w:rsidRPr="00000000">
        <w:rPr>
          <w:i w:val="1"/>
          <w:color w:val="000000"/>
          <w:rtl w:val="0"/>
        </w:rPr>
        <w:t xml:space="preserve">LMP1</w:t>
      </w:r>
      <w:r w:rsidDel="00000000" w:rsidR="00000000" w:rsidRPr="00000000">
        <w:rPr>
          <w:color w:val="000000"/>
          <w:rtl w:val="0"/>
        </w:rPr>
        <w:t xml:space="preserve">, cujo método permitia detectar a deleção de 30 pb do gene LMP1, usando </w:t>
      </w:r>
      <w:r w:rsidDel="00000000" w:rsidR="00000000" w:rsidRPr="00000000">
        <w:rPr>
          <w:i w:val="1"/>
          <w:color w:val="000000"/>
          <w:rtl w:val="0"/>
        </w:rPr>
        <w:t xml:space="preserve">primers</w:t>
      </w:r>
      <w:r w:rsidDel="00000000" w:rsidR="00000000" w:rsidRPr="00000000">
        <w:rPr>
          <w:color w:val="000000"/>
          <w:rtl w:val="0"/>
        </w:rPr>
        <w:t xml:space="preserve"> específicos para essa deleção, originando produto de 161pb (</w:t>
      </w:r>
      <w:r w:rsidDel="00000000" w:rsidR="00000000" w:rsidRPr="00000000">
        <w:rPr>
          <w:i w:val="1"/>
          <w:color w:val="000000"/>
          <w:rtl w:val="0"/>
        </w:rPr>
        <w:t xml:space="preserve">wild-type</w:t>
      </w:r>
      <w:r w:rsidDel="00000000" w:rsidR="00000000" w:rsidRPr="00000000">
        <w:rPr>
          <w:color w:val="000000"/>
          <w:rtl w:val="0"/>
        </w:rPr>
        <w:t xml:space="preserve">) e 131pb </w:t>
      </w:r>
      <w:r w:rsidDel="00000000" w:rsidR="00000000" w:rsidRPr="00000000">
        <w:rPr>
          <w:color w:val="000000"/>
          <w:rtl w:val="0"/>
        </w:rPr>
        <w:t xml:space="preserve">para </w:t>
      </w:r>
      <w:r w:rsidDel="00000000" w:rsidR="00000000" w:rsidRPr="00000000">
        <w:rPr>
          <w:color w:val="000000"/>
          <w:rtl w:val="0"/>
        </w:rPr>
        <w:t xml:space="preserve">cepas com deleção. Dos 71 casos, 21 (29,5%) foram EBV-positivos, sendo 13 casos com fragmentos de 131pb e 8 casos com 161pb. A prevalência de EBV mostrou-se dentro da margem observada no mundo, conforme metanálise (LIMA </w:t>
      </w:r>
      <w:r w:rsidDel="00000000" w:rsidR="00000000" w:rsidRPr="00000000">
        <w:rPr>
          <w:i w:val="1"/>
          <w:color w:val="000000"/>
          <w:rtl w:val="0"/>
        </w:rPr>
        <w:t xml:space="preserve">et al</w:t>
      </w:r>
      <w:r w:rsidDel="00000000" w:rsidR="00000000" w:rsidRPr="00000000">
        <w:rPr>
          <w:color w:val="000000"/>
          <w:rtl w:val="0"/>
        </w:rPr>
        <w:t xml:space="preserve">., 2018)</w:t>
      </w:r>
      <w:r w:rsidDel="00000000" w:rsidR="00000000" w:rsidRPr="00000000">
        <w:rPr>
          <w:rtl w:val="0"/>
        </w:rPr>
      </w:r>
    </w:p>
    <w:p w:rsidR="00000000" w:rsidDel="00000000" w:rsidP="00000000" w:rsidRDefault="00000000" w:rsidRPr="00000000" w14:paraId="0000002C">
      <w:pPr>
        <w:widowControl w:val="1"/>
        <w:spacing w:after="0" w:before="120" w:line="360" w:lineRule="auto"/>
        <w:ind w:firstLine="0"/>
        <w:jc w:val="center"/>
        <w:rPr>
          <w:color w:val="000000"/>
          <w:highlight w:val="white"/>
        </w:rPr>
      </w:pPr>
      <w:r w:rsidDel="00000000" w:rsidR="00000000" w:rsidRPr="00000000">
        <w:rPr>
          <w:b w:val="1"/>
          <w:color w:val="000000"/>
          <w:highlight w:val="white"/>
          <w:rtl w:val="0"/>
        </w:rPr>
        <w:t xml:space="preserve">Figura 1 - </w:t>
      </w:r>
      <w:r w:rsidDel="00000000" w:rsidR="00000000" w:rsidRPr="00000000">
        <w:rPr>
          <w:color w:val="000000"/>
          <w:highlight w:val="white"/>
          <w:rtl w:val="0"/>
        </w:rPr>
        <w:t xml:space="preserve">Eletroforese em gel de agarose a 2%, com produto de PCR para a detecção de EBV</w:t>
      </w:r>
    </w:p>
    <w:p w:rsidR="00000000" w:rsidDel="00000000" w:rsidP="00000000" w:rsidRDefault="00000000" w:rsidRPr="00000000" w14:paraId="0000002D">
      <w:pPr>
        <w:widowControl w:val="1"/>
        <w:spacing w:after="0" w:line="360" w:lineRule="auto"/>
        <w:ind w:firstLine="0"/>
        <w:jc w:val="center"/>
        <w:rPr>
          <w:color w:val="000000"/>
        </w:rPr>
      </w:pPr>
      <w:r w:rsidDel="00000000" w:rsidR="00000000" w:rsidRPr="00000000">
        <w:rPr>
          <w:color w:val="000000"/>
        </w:rPr>
        <w:drawing>
          <wp:inline distB="114300" distT="114300" distL="114300" distR="114300">
            <wp:extent cx="3419032" cy="1837730"/>
            <wp:effectExtent b="0" l="0" r="0" t="0"/>
            <wp:docPr id="7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19032" cy="183773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360" w:lineRule="auto"/>
        <w:ind w:firstLine="0"/>
        <w:jc w:val="center"/>
        <w:rPr>
          <w:sz w:val="20"/>
          <w:szCs w:val="20"/>
          <w:highlight w:val="white"/>
        </w:rPr>
      </w:pPr>
      <w:r w:rsidDel="00000000" w:rsidR="00000000" w:rsidRPr="00000000">
        <w:rPr>
          <w:b w:val="1"/>
          <w:sz w:val="20"/>
          <w:szCs w:val="20"/>
          <w:highlight w:val="white"/>
          <w:rtl w:val="0"/>
        </w:rPr>
        <w:t xml:space="preserve">Fonte:</w:t>
      </w:r>
      <w:r w:rsidDel="00000000" w:rsidR="00000000" w:rsidRPr="00000000">
        <w:rPr>
          <w:sz w:val="20"/>
          <w:szCs w:val="20"/>
          <w:highlight w:val="white"/>
          <w:rtl w:val="0"/>
        </w:rPr>
        <w:t xml:space="preserve"> Elaborado pelos integrantes da pesquisa. </w:t>
      </w:r>
    </w:p>
    <w:p w:rsidR="00000000" w:rsidDel="00000000" w:rsidP="00000000" w:rsidRDefault="00000000" w:rsidRPr="00000000" w14:paraId="0000002F">
      <w:pPr>
        <w:spacing w:after="0" w:line="360" w:lineRule="auto"/>
        <w:ind w:firstLine="0"/>
        <w:rPr>
          <w:color w:val="000000"/>
        </w:rPr>
      </w:pPr>
      <w:r w:rsidDel="00000000" w:rsidR="00000000" w:rsidRPr="00000000">
        <w:rPr>
          <w:color w:val="000000"/>
          <w:sz w:val="20"/>
          <w:szCs w:val="20"/>
          <w:rtl w:val="0"/>
        </w:rPr>
        <w:t xml:space="preserve">Da esquerda para a direita: 1ª canaleta, marcador de peso molecular (</w:t>
      </w:r>
      <w:r w:rsidDel="00000000" w:rsidR="00000000" w:rsidRPr="00000000">
        <w:rPr>
          <w:i w:val="1"/>
          <w:color w:val="000000"/>
          <w:sz w:val="20"/>
          <w:szCs w:val="20"/>
          <w:rtl w:val="0"/>
        </w:rPr>
        <w:t xml:space="preserve">Ladder</w:t>
      </w:r>
      <w:r w:rsidDel="00000000" w:rsidR="00000000" w:rsidRPr="00000000">
        <w:rPr>
          <w:color w:val="000000"/>
          <w:sz w:val="20"/>
          <w:szCs w:val="20"/>
          <w:rtl w:val="0"/>
        </w:rPr>
        <w:t xml:space="preserve">) de 50 pb; 2ª e 3ª canaletas, controles positivos para EBV, </w:t>
      </w:r>
      <w:r w:rsidDel="00000000" w:rsidR="00000000" w:rsidRPr="00000000">
        <w:rPr>
          <w:color w:val="000000"/>
          <w:sz w:val="20"/>
          <w:szCs w:val="20"/>
          <w:rtl w:val="0"/>
        </w:rPr>
        <w:t xml:space="preserve">demonstrando</w:t>
      </w:r>
      <w:r w:rsidDel="00000000" w:rsidR="00000000" w:rsidRPr="00000000">
        <w:rPr>
          <w:color w:val="000000"/>
          <w:sz w:val="20"/>
          <w:szCs w:val="20"/>
          <w:rtl w:val="0"/>
        </w:rPr>
        <w:t xml:space="preserve"> bandas de 161pb e 131pb, respectivamente; da 4ª a 8ª canaleta, casos de carcinomas cervicais testados; 9ª canaleta, controle negativo (água ultrapura ao invés de DNA). Foram positivas as amostras das canaletas de 4, 5, 7 e 10.</w:t>
      </w:r>
      <w:r w:rsidDel="00000000" w:rsidR="00000000" w:rsidRPr="00000000">
        <w:rPr>
          <w:rtl w:val="0"/>
        </w:rPr>
      </w:r>
    </w:p>
    <w:p w:rsidR="00000000" w:rsidDel="00000000" w:rsidP="00000000" w:rsidRDefault="00000000" w:rsidRPr="00000000" w14:paraId="00000030">
      <w:pPr>
        <w:widowControl w:val="1"/>
        <w:spacing w:after="0" w:line="360" w:lineRule="auto"/>
        <w:ind w:firstLine="0"/>
        <w:rPr>
          <w:color w:val="000000"/>
        </w:rPr>
      </w:pPr>
      <w:r w:rsidDel="00000000" w:rsidR="00000000" w:rsidRPr="00000000">
        <w:rPr>
          <w:rtl w:val="0"/>
        </w:rPr>
      </w:r>
    </w:p>
    <w:p w:rsidR="00000000" w:rsidDel="00000000" w:rsidP="00000000" w:rsidRDefault="00000000" w:rsidRPr="00000000" w14:paraId="00000031">
      <w:pPr>
        <w:widowControl w:val="1"/>
        <w:spacing w:after="120" w:line="360" w:lineRule="auto"/>
        <w:ind w:left="0" w:firstLine="708.6614173228347"/>
        <w:rPr>
          <w:color w:val="000000"/>
        </w:rPr>
      </w:pPr>
      <w:r w:rsidDel="00000000" w:rsidR="00000000" w:rsidRPr="00000000">
        <w:rPr>
          <w:color w:val="000000"/>
          <w:rtl w:val="0"/>
        </w:rPr>
        <w:tab/>
        <w:t xml:space="preserve">A maioria das pacientes estudadas </w:t>
      </w:r>
      <w:r w:rsidDel="00000000" w:rsidR="00000000" w:rsidRPr="00000000">
        <w:rPr>
          <w:color w:val="000000"/>
          <w:rtl w:val="0"/>
        </w:rPr>
        <w:t xml:space="preserve">enquadrava</w:t>
      </w:r>
      <w:r w:rsidDel="00000000" w:rsidR="00000000" w:rsidRPr="00000000">
        <w:rPr>
          <w:color w:val="000000"/>
          <w:rtl w:val="0"/>
        </w:rPr>
        <w:t xml:space="preserve">-se na faixa-etária entre 25 e 50 anos, correspondendo a 63,4% (45/71). Somado a isso, dos casos que positivaram para EBV, o predomínio de idade foi entre 25 e 50 anos, com percentual de 57,1% (12/21</w:t>
      </w:r>
      <w:r w:rsidDel="00000000" w:rsidR="00000000" w:rsidRPr="00000000">
        <w:rPr>
          <w:color w:val="000000"/>
          <w:highlight w:val="white"/>
          <w:rtl w:val="0"/>
        </w:rPr>
        <w:t xml:space="preserve">) </w:t>
      </w:r>
      <w:r w:rsidDel="00000000" w:rsidR="00000000" w:rsidRPr="00000000">
        <w:rPr>
          <w:color w:val="000000"/>
          <w:rtl w:val="0"/>
        </w:rPr>
        <w:t xml:space="preserve">(Tabela 1).</w:t>
      </w:r>
    </w:p>
    <w:p w:rsidR="00000000" w:rsidDel="00000000" w:rsidP="00000000" w:rsidRDefault="00000000" w:rsidRPr="00000000" w14:paraId="00000032">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33">
      <w:pPr>
        <w:spacing w:line="360" w:lineRule="auto"/>
        <w:ind w:firstLine="0"/>
        <w:jc w:val="center"/>
        <w:rPr/>
      </w:pPr>
      <w:r w:rsidDel="00000000" w:rsidR="00000000" w:rsidRPr="00000000">
        <w:rPr>
          <w:b w:val="1"/>
          <w:rtl w:val="0"/>
        </w:rPr>
        <w:t xml:space="preserve">Tabela 1</w:t>
      </w:r>
      <w:r w:rsidDel="00000000" w:rsidR="00000000" w:rsidRPr="00000000">
        <w:rPr>
          <w:rtl w:val="0"/>
        </w:rPr>
        <w:t xml:space="preserve"> – Casos distribuídos quanto à faixa etária e a positividade para EBV</w:t>
      </w:r>
    </w:p>
    <w:tbl>
      <w:tblPr>
        <w:tblStyle w:val="Table1"/>
        <w:tblW w:w="9025.511811023624" w:type="dxa"/>
        <w:jc w:val="center"/>
        <w:tblLayout w:type="fixed"/>
        <w:tblLook w:val="0000"/>
      </w:tblPr>
      <w:tblGrid>
        <w:gridCol w:w="1668.9849604275048"/>
        <w:gridCol w:w="1839.1317126490299"/>
        <w:gridCol w:w="1839.1317126490299"/>
        <w:gridCol w:w="1839.1317126490299"/>
        <w:gridCol w:w="1839.1317126490299"/>
        <w:tblGridChange w:id="0">
          <w:tblGrid>
            <w:gridCol w:w="1668.9849604275048"/>
            <w:gridCol w:w="1839.1317126490299"/>
            <w:gridCol w:w="1839.1317126490299"/>
            <w:gridCol w:w="1839.1317126490299"/>
            <w:gridCol w:w="1839.1317126490299"/>
          </w:tblGrid>
        </w:tblGridChange>
      </w:tblGrid>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34">
            <w:pPr>
              <w:spacing w:after="0" w:line="360" w:lineRule="auto"/>
              <w:ind w:firstLine="0"/>
              <w:rPr/>
            </w:pPr>
            <w:r w:rsidDel="00000000" w:rsidR="00000000" w:rsidRPr="00000000">
              <w:rPr>
                <w:b w:val="1"/>
                <w:rtl w:val="0"/>
              </w:rPr>
              <w:t xml:space="preserve">Faixa-etária </w:t>
            </w: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35">
            <w:pPr>
              <w:spacing w:after="0" w:line="360" w:lineRule="auto"/>
              <w:ind w:firstLine="0"/>
              <w:jc w:val="center"/>
              <w:rPr/>
            </w:pPr>
            <w:r w:rsidDel="00000000" w:rsidR="00000000" w:rsidRPr="00000000">
              <w:rPr>
                <w:b w:val="1"/>
                <w:rtl w:val="0"/>
              </w:rPr>
              <w:t xml:space="preserve">N</w:t>
            </w: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36">
            <w:pPr>
              <w:spacing w:after="0" w:line="360" w:lineRule="auto"/>
              <w:ind w:firstLine="0"/>
              <w:jc w:val="center"/>
              <w:rPr>
                <w:b w:val="1"/>
              </w:rPr>
            </w:pPr>
            <w:r w:rsidDel="00000000" w:rsidR="00000000" w:rsidRPr="00000000">
              <w:rPr>
                <w:b w:val="1"/>
                <w:rtl w:val="0"/>
              </w:rPr>
              <w:t xml:space="preserve">EBV(+)</w:t>
            </w:r>
          </w:p>
        </w:tc>
        <w:tc>
          <w:tcPr>
            <w:tcBorders>
              <w:top w:color="00000a" w:space="0" w:sz="4" w:val="single"/>
              <w:bottom w:color="00000a" w:space="0" w:sz="4" w:val="single"/>
            </w:tcBorders>
            <w:shd w:fill="auto" w:val="clear"/>
          </w:tcPr>
          <w:p w:rsidR="00000000" w:rsidDel="00000000" w:rsidP="00000000" w:rsidRDefault="00000000" w:rsidRPr="00000000" w14:paraId="00000037">
            <w:pPr>
              <w:spacing w:after="0" w:line="360" w:lineRule="auto"/>
              <w:ind w:firstLine="0"/>
              <w:jc w:val="center"/>
              <w:rPr>
                <w:b w:val="1"/>
              </w:rPr>
            </w:pPr>
            <w:r w:rsidDel="00000000" w:rsidR="00000000" w:rsidRPr="00000000">
              <w:rPr>
                <w:b w:val="1"/>
                <w:rtl w:val="0"/>
              </w:rPr>
              <w:t xml:space="preserve">EBV(-)</w:t>
            </w:r>
          </w:p>
        </w:tc>
        <w:tc>
          <w:tcPr>
            <w:tcBorders>
              <w:top w:color="00000a" w:space="0" w:sz="4" w:val="single"/>
              <w:bottom w:color="00000a" w:space="0" w:sz="4" w:val="single"/>
            </w:tcBorders>
            <w:shd w:fill="auto" w:val="clear"/>
          </w:tcPr>
          <w:p w:rsidR="00000000" w:rsidDel="00000000" w:rsidP="00000000" w:rsidRDefault="00000000" w:rsidRPr="00000000" w14:paraId="00000038">
            <w:pPr>
              <w:spacing w:after="0" w:line="360" w:lineRule="auto"/>
              <w:ind w:firstLine="0"/>
              <w:jc w:val="center"/>
              <w:rPr>
                <w:b w:val="1"/>
              </w:rPr>
            </w:pPr>
            <w:r w:rsidDel="00000000" w:rsidR="00000000" w:rsidRPr="00000000">
              <w:rPr>
                <w:b w:val="1"/>
                <w:rtl w:val="0"/>
              </w:rPr>
              <w:t xml:space="preserve">valor de p*</w:t>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39">
            <w:pPr>
              <w:spacing w:after="0" w:line="360" w:lineRule="auto"/>
              <w:ind w:firstLine="0"/>
              <w:rPr/>
            </w:pPr>
            <w:r w:rsidDel="00000000" w:rsidR="00000000" w:rsidRPr="00000000">
              <w:rPr>
                <w:rtl w:val="0"/>
              </w:rPr>
              <w:t xml:space="preserve">25-50 anos </w:t>
            </w:r>
          </w:p>
        </w:tc>
        <w:tc>
          <w:tcPr>
            <w:tcBorders>
              <w:top w:color="00000a" w:space="0" w:sz="4" w:val="single"/>
              <w:bottom w:color="00000a" w:space="0" w:sz="4" w:val="single"/>
            </w:tcBorders>
            <w:shd w:fill="auto" w:val="clear"/>
          </w:tcPr>
          <w:p w:rsidR="00000000" w:rsidDel="00000000" w:rsidP="00000000" w:rsidRDefault="00000000" w:rsidRPr="00000000" w14:paraId="0000003A">
            <w:pPr>
              <w:widowControl w:val="1"/>
              <w:spacing w:after="0" w:line="360" w:lineRule="auto"/>
              <w:ind w:firstLine="0"/>
              <w:jc w:val="center"/>
              <w:rPr/>
            </w:pPr>
            <w:r w:rsidDel="00000000" w:rsidR="00000000" w:rsidRPr="00000000">
              <w:rPr>
                <w:rtl w:val="0"/>
              </w:rPr>
              <w:t xml:space="preserve">45 (63,4%)</w:t>
            </w:r>
          </w:p>
        </w:tc>
        <w:tc>
          <w:tcPr>
            <w:tcBorders>
              <w:top w:color="00000a" w:space="0" w:sz="4" w:val="single"/>
              <w:bottom w:color="00000a" w:space="0" w:sz="4" w:val="single"/>
            </w:tcBorders>
            <w:shd w:fill="auto" w:val="clear"/>
          </w:tcPr>
          <w:p w:rsidR="00000000" w:rsidDel="00000000" w:rsidP="00000000" w:rsidRDefault="00000000" w:rsidRPr="00000000" w14:paraId="0000003B">
            <w:pPr>
              <w:widowControl w:val="1"/>
              <w:spacing w:after="0" w:line="360" w:lineRule="auto"/>
              <w:ind w:firstLine="0"/>
              <w:jc w:val="center"/>
              <w:rPr/>
            </w:pPr>
            <w:r w:rsidDel="00000000" w:rsidR="00000000" w:rsidRPr="00000000">
              <w:rPr>
                <w:rtl w:val="0"/>
              </w:rPr>
              <w:t xml:space="preserve">12 (57,1%)</w:t>
            </w:r>
          </w:p>
        </w:tc>
        <w:tc>
          <w:tcPr>
            <w:tcBorders>
              <w:top w:color="00000a" w:space="0" w:sz="4" w:val="single"/>
              <w:bottom w:color="00000a" w:space="0" w:sz="4" w:val="single"/>
            </w:tcBorders>
            <w:shd w:fill="auto" w:val="clear"/>
          </w:tcPr>
          <w:p w:rsidR="00000000" w:rsidDel="00000000" w:rsidP="00000000" w:rsidRDefault="00000000" w:rsidRPr="00000000" w14:paraId="0000003C">
            <w:pPr>
              <w:widowControl w:val="1"/>
              <w:spacing w:after="0" w:line="360" w:lineRule="auto"/>
              <w:ind w:firstLine="0"/>
              <w:jc w:val="center"/>
              <w:rPr/>
            </w:pPr>
            <w:r w:rsidDel="00000000" w:rsidR="00000000" w:rsidRPr="00000000">
              <w:rPr>
                <w:rtl w:val="0"/>
              </w:rPr>
              <w:t xml:space="preserve">33 (66%)</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3D">
            <w:pPr>
              <w:widowControl w:val="1"/>
              <w:spacing w:after="0" w:line="360" w:lineRule="auto"/>
              <w:ind w:firstLine="0"/>
              <w:jc w:val="center"/>
              <w:rPr/>
            </w:pPr>
            <w:r w:rsidDel="00000000" w:rsidR="00000000" w:rsidRPr="00000000">
              <w:rPr>
                <w:rtl w:val="0"/>
              </w:rPr>
              <w:t xml:space="preserve">0.4796</w:t>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3E">
            <w:pPr>
              <w:spacing w:after="0" w:line="360" w:lineRule="auto"/>
              <w:ind w:firstLine="0"/>
              <w:rPr/>
            </w:pPr>
            <w:r w:rsidDel="00000000" w:rsidR="00000000" w:rsidRPr="00000000">
              <w:rPr>
                <w:rtl w:val="0"/>
              </w:rPr>
              <w:t xml:space="preserve">51-80 anos </w:t>
            </w:r>
          </w:p>
        </w:tc>
        <w:tc>
          <w:tcPr>
            <w:tcBorders>
              <w:top w:color="00000a" w:space="0" w:sz="4" w:val="single"/>
              <w:bottom w:color="00000a" w:space="0" w:sz="4" w:val="single"/>
            </w:tcBorders>
            <w:shd w:fill="auto" w:val="clear"/>
          </w:tcPr>
          <w:p w:rsidR="00000000" w:rsidDel="00000000" w:rsidP="00000000" w:rsidRDefault="00000000" w:rsidRPr="00000000" w14:paraId="0000003F">
            <w:pPr>
              <w:widowControl w:val="1"/>
              <w:spacing w:after="0" w:line="360" w:lineRule="auto"/>
              <w:ind w:firstLine="0"/>
              <w:jc w:val="center"/>
              <w:rPr/>
            </w:pPr>
            <w:r w:rsidDel="00000000" w:rsidR="00000000" w:rsidRPr="00000000">
              <w:rPr>
                <w:rtl w:val="0"/>
              </w:rPr>
              <w:t xml:space="preserve">26 (36,6%)</w:t>
            </w:r>
          </w:p>
        </w:tc>
        <w:tc>
          <w:tcPr>
            <w:tcBorders>
              <w:top w:color="00000a" w:space="0" w:sz="4" w:val="single"/>
              <w:bottom w:color="00000a" w:space="0" w:sz="4" w:val="single"/>
            </w:tcBorders>
            <w:shd w:fill="auto" w:val="clear"/>
          </w:tcPr>
          <w:p w:rsidR="00000000" w:rsidDel="00000000" w:rsidP="00000000" w:rsidRDefault="00000000" w:rsidRPr="00000000" w14:paraId="00000040">
            <w:pPr>
              <w:widowControl w:val="1"/>
              <w:spacing w:after="0" w:line="360" w:lineRule="auto"/>
              <w:ind w:firstLine="0"/>
              <w:jc w:val="center"/>
              <w:rPr/>
            </w:pPr>
            <w:r w:rsidDel="00000000" w:rsidR="00000000" w:rsidRPr="00000000">
              <w:rPr>
                <w:rtl w:val="0"/>
              </w:rPr>
              <w:t xml:space="preserve">9 (42,9%)</w:t>
            </w:r>
          </w:p>
        </w:tc>
        <w:tc>
          <w:tcPr>
            <w:tcBorders>
              <w:top w:color="00000a" w:space="0" w:sz="4" w:val="single"/>
              <w:bottom w:color="00000a" w:space="0" w:sz="4" w:val="single"/>
            </w:tcBorders>
            <w:shd w:fill="auto" w:val="clear"/>
          </w:tcPr>
          <w:p w:rsidR="00000000" w:rsidDel="00000000" w:rsidP="00000000" w:rsidRDefault="00000000" w:rsidRPr="00000000" w14:paraId="00000041">
            <w:pPr>
              <w:widowControl w:val="1"/>
              <w:spacing w:after="0" w:line="360" w:lineRule="auto"/>
              <w:ind w:firstLine="0"/>
              <w:jc w:val="center"/>
              <w:rPr/>
            </w:pPr>
            <w:r w:rsidDel="00000000" w:rsidR="00000000" w:rsidRPr="00000000">
              <w:rPr>
                <w:rtl w:val="0"/>
              </w:rPr>
              <w:t xml:space="preserve">17 (34%)</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42">
            <w:pPr>
              <w:widowControl w:val="1"/>
              <w:spacing w:after="0" w:lineRule="auto"/>
              <w:ind w:firstLine="0"/>
              <w:jc w:val="center"/>
              <w:rPr/>
            </w:pPr>
            <w:r w:rsidDel="00000000" w:rsidR="00000000" w:rsidRPr="00000000">
              <w:rPr>
                <w:rtl w:val="0"/>
              </w:rPr>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43">
            <w:pPr>
              <w:spacing w:after="0" w:line="360" w:lineRule="auto"/>
              <w:ind w:firstLine="0"/>
              <w:rPr/>
            </w:pPr>
            <w:r w:rsidDel="00000000" w:rsidR="00000000" w:rsidRPr="00000000">
              <w:rPr>
                <w:rtl w:val="0"/>
              </w:rPr>
              <w:t xml:space="preserve">Total </w:t>
            </w:r>
          </w:p>
        </w:tc>
        <w:tc>
          <w:tcPr>
            <w:tcBorders>
              <w:top w:color="00000a" w:space="0" w:sz="4" w:val="single"/>
              <w:bottom w:color="00000a" w:space="0" w:sz="4" w:val="single"/>
            </w:tcBorders>
            <w:shd w:fill="auto" w:val="clear"/>
          </w:tcPr>
          <w:p w:rsidR="00000000" w:rsidDel="00000000" w:rsidP="00000000" w:rsidRDefault="00000000" w:rsidRPr="00000000" w14:paraId="00000044">
            <w:pPr>
              <w:widowControl w:val="1"/>
              <w:spacing w:after="0" w:line="360" w:lineRule="auto"/>
              <w:ind w:firstLine="0"/>
              <w:jc w:val="center"/>
              <w:rPr/>
            </w:pPr>
            <w:r w:rsidDel="00000000" w:rsidR="00000000" w:rsidRPr="00000000">
              <w:rPr>
                <w:rtl w:val="0"/>
              </w:rPr>
              <w:t xml:space="preserve">71</w:t>
            </w:r>
          </w:p>
        </w:tc>
        <w:tc>
          <w:tcPr>
            <w:tcBorders>
              <w:top w:color="00000a" w:space="0" w:sz="4" w:val="single"/>
              <w:bottom w:color="00000a" w:space="0" w:sz="4" w:val="single"/>
            </w:tcBorders>
            <w:shd w:fill="auto" w:val="clear"/>
          </w:tcPr>
          <w:p w:rsidR="00000000" w:rsidDel="00000000" w:rsidP="00000000" w:rsidRDefault="00000000" w:rsidRPr="00000000" w14:paraId="00000045">
            <w:pPr>
              <w:widowControl w:val="1"/>
              <w:spacing w:after="0" w:line="360" w:lineRule="auto"/>
              <w:ind w:firstLine="0"/>
              <w:jc w:val="center"/>
              <w:rPr/>
            </w:pPr>
            <w:r w:rsidDel="00000000" w:rsidR="00000000" w:rsidRPr="00000000">
              <w:rPr>
                <w:rtl w:val="0"/>
              </w:rPr>
              <w:t xml:space="preserve">21</w:t>
            </w:r>
          </w:p>
        </w:tc>
        <w:tc>
          <w:tcPr>
            <w:tcBorders>
              <w:top w:color="00000a" w:space="0" w:sz="4" w:val="single"/>
              <w:bottom w:color="00000a" w:space="0" w:sz="4" w:val="single"/>
            </w:tcBorders>
            <w:shd w:fill="auto" w:val="clear"/>
          </w:tcPr>
          <w:p w:rsidR="00000000" w:rsidDel="00000000" w:rsidP="00000000" w:rsidRDefault="00000000" w:rsidRPr="00000000" w14:paraId="00000046">
            <w:pPr>
              <w:widowControl w:val="1"/>
              <w:spacing w:after="0" w:line="360" w:lineRule="auto"/>
              <w:ind w:firstLine="0"/>
              <w:jc w:val="center"/>
              <w:rPr/>
            </w:pPr>
            <w:r w:rsidDel="00000000" w:rsidR="00000000" w:rsidRPr="00000000">
              <w:rPr>
                <w:rtl w:val="0"/>
              </w:rPr>
              <w:t xml:space="preserve">50</w:t>
            </w:r>
          </w:p>
        </w:tc>
        <w:tc>
          <w:tcPr>
            <w:tcBorders>
              <w:top w:color="00000a" w:space="0" w:sz="4" w:val="single"/>
              <w:bottom w:color="00000a" w:space="0" w:sz="4" w:val="single"/>
            </w:tcBorders>
            <w:shd w:fill="auto" w:val="clear"/>
          </w:tcPr>
          <w:p w:rsidR="00000000" w:rsidDel="00000000" w:rsidP="00000000" w:rsidRDefault="00000000" w:rsidRPr="00000000" w14:paraId="00000047">
            <w:pPr>
              <w:widowControl w:val="1"/>
              <w:spacing w:after="0" w:line="360" w:lineRule="auto"/>
              <w:ind w:firstLine="0"/>
              <w:jc w:val="center"/>
              <w:rPr/>
            </w:pPr>
            <w:r w:rsidDel="00000000" w:rsidR="00000000" w:rsidRPr="00000000">
              <w:rPr>
                <w:rtl w:val="0"/>
              </w:rPr>
            </w:r>
          </w:p>
        </w:tc>
      </w:tr>
    </w:tbl>
    <w:p w:rsidR="00000000" w:rsidDel="00000000" w:rsidP="00000000" w:rsidRDefault="00000000" w:rsidRPr="00000000" w14:paraId="00000048">
      <w:pPr>
        <w:spacing w:after="0" w:line="360" w:lineRule="auto"/>
        <w:ind w:firstLine="0"/>
        <w:jc w:val="center"/>
        <w:rPr>
          <w:sz w:val="20"/>
          <w:szCs w:val="20"/>
          <w:highlight w:val="white"/>
        </w:rPr>
      </w:pPr>
      <w:r w:rsidDel="00000000" w:rsidR="00000000" w:rsidRPr="00000000">
        <w:rPr>
          <w:sz w:val="20"/>
          <w:szCs w:val="20"/>
          <w:highlight w:val="white"/>
          <w:rtl w:val="0"/>
        </w:rPr>
        <w:t xml:space="preserve">Fonte: Elaborado pelos integrantes da pesquisa. (*)Quiquadrado de Pearson</w:t>
      </w:r>
    </w:p>
    <w:p w:rsidR="00000000" w:rsidDel="00000000" w:rsidP="00000000" w:rsidRDefault="00000000" w:rsidRPr="00000000" w14:paraId="00000049">
      <w:pPr>
        <w:spacing w:after="0" w:lineRule="auto"/>
        <w:ind w:firstLine="0"/>
        <w:rPr>
          <w:highlight w:val="white"/>
        </w:rPr>
      </w:pPr>
      <w:r w:rsidDel="00000000" w:rsidR="00000000" w:rsidRPr="00000000">
        <w:rPr>
          <w:rtl w:val="0"/>
        </w:rPr>
      </w:r>
    </w:p>
    <w:p w:rsidR="00000000" w:rsidDel="00000000" w:rsidP="00000000" w:rsidRDefault="00000000" w:rsidRPr="00000000" w14:paraId="0000004A">
      <w:pPr>
        <w:widowControl w:val="1"/>
        <w:spacing w:after="120" w:line="360" w:lineRule="auto"/>
        <w:ind w:left="0" w:firstLine="708.6614173228347"/>
        <w:rPr>
          <w:color w:val="000000"/>
          <w:highlight w:val="yellow"/>
        </w:rPr>
      </w:pPr>
      <w:r w:rsidDel="00000000" w:rsidR="00000000" w:rsidRPr="00000000">
        <w:rPr>
          <w:color w:val="000000"/>
          <w:rtl w:val="0"/>
        </w:rPr>
        <w:t xml:space="preserve">Os fatores de risco relacionados à oncogênese cervical destacados na pesquisa foram tabagismo, além de menarca e coitarca precoces. Neste âmbito, 39,4% (28/71) das mulheres afirmaram ser tabagistas ativas e 18,3% (13/71) como tabagistas passivas. Dos casos EBV-positivos, 57,14% (12/21) das mulheres entrevistadas referiram ser tabagistas ativas (p=0.2984). </w:t>
      </w:r>
      <w:r w:rsidDel="00000000" w:rsidR="00000000" w:rsidRPr="00000000">
        <w:rPr>
          <w:rtl w:val="0"/>
        </w:rPr>
      </w:r>
    </w:p>
    <w:p w:rsidR="00000000" w:rsidDel="00000000" w:rsidP="00000000" w:rsidRDefault="00000000" w:rsidRPr="00000000" w14:paraId="0000004B">
      <w:pPr>
        <w:widowControl w:val="1"/>
        <w:spacing w:after="120" w:line="360" w:lineRule="auto"/>
        <w:ind w:left="0" w:firstLine="708.6614173228347"/>
        <w:rPr>
          <w:color w:val="000000"/>
        </w:rPr>
      </w:pPr>
      <w:r w:rsidDel="00000000" w:rsidR="00000000" w:rsidRPr="00000000">
        <w:rPr>
          <w:color w:val="000000"/>
          <w:rtl w:val="0"/>
        </w:rPr>
        <w:t xml:space="preserve">A baixa idade da menarca pode levar a um início precoce da atividade sexual, aumentando a probabilidade de exposição ao vírus HPV (TAQUETTE, 2004). O presente estudo mostrou que grande parte das mulheres informaram que a menarca ocorreu entre 13 e 15 anos, correspondendo a 39,4% (28/71) dos casos, nas demais pacientes ocorreu entre 9 e 12 anos em 32,4% (23/71), entre 16 e 19 anos em 8,4% (6/71). Cerca de 19,7% (14/71) das pacientes não souberam referir o início da menarca. Dentre as pacientes EBV-positivas, a maioria ocorreu entre 13-15 anos, equivalente a 46,61% (10/21) dos casos. </w:t>
      </w:r>
    </w:p>
    <w:p w:rsidR="00000000" w:rsidDel="00000000" w:rsidP="00000000" w:rsidRDefault="00000000" w:rsidRPr="00000000" w14:paraId="0000004C">
      <w:pPr>
        <w:widowControl w:val="1"/>
        <w:spacing w:after="120" w:before="0" w:line="360" w:lineRule="auto"/>
        <w:ind w:left="0" w:firstLine="708.6614173228347"/>
        <w:rPr>
          <w:color w:val="000000"/>
        </w:rPr>
      </w:pPr>
      <w:r w:rsidDel="00000000" w:rsidR="00000000" w:rsidRPr="00000000">
        <w:rPr>
          <w:color w:val="000000"/>
          <w:rtl w:val="0"/>
        </w:rPr>
        <w:t xml:space="preserve">O início da vida sexual de forma precoce pode condicionar muitas mulheres a um contato prematuro com vírus oncogênicos, representando um potencial fator de risco para a carcinogênese (</w:t>
      </w:r>
      <w:r w:rsidDel="00000000" w:rsidR="00000000" w:rsidRPr="00000000">
        <w:rPr>
          <w:color w:val="212121"/>
          <w:highlight w:val="white"/>
          <w:rtl w:val="0"/>
        </w:rPr>
        <w:t xml:space="preserve">MEKONNEN </w:t>
      </w:r>
      <w:r w:rsidDel="00000000" w:rsidR="00000000" w:rsidRPr="00000000">
        <w:rPr>
          <w:i w:val="1"/>
          <w:color w:val="212121"/>
          <w:highlight w:val="white"/>
          <w:rtl w:val="0"/>
        </w:rPr>
        <w:t xml:space="preserve">et al.</w:t>
      </w:r>
      <w:r w:rsidDel="00000000" w:rsidR="00000000" w:rsidRPr="00000000">
        <w:rPr>
          <w:color w:val="212121"/>
          <w:highlight w:val="white"/>
          <w:rtl w:val="0"/>
        </w:rPr>
        <w:t xml:space="preserve">, 2023</w:t>
      </w:r>
      <w:r w:rsidDel="00000000" w:rsidR="00000000" w:rsidRPr="00000000">
        <w:rPr>
          <w:color w:val="000000"/>
          <w:rtl w:val="0"/>
        </w:rPr>
        <w:t xml:space="preserve">). Diante disso, utilizou-se como referência a divisão proposta por Rozario (2019) na análise da </w:t>
      </w:r>
      <w:r w:rsidDel="00000000" w:rsidR="00000000" w:rsidRPr="00000000">
        <w:rPr>
          <w:color w:val="000000"/>
          <w:rtl w:val="0"/>
        </w:rPr>
        <w:t xml:space="preserve">coitarca</w:t>
      </w:r>
      <w:r w:rsidDel="00000000" w:rsidR="00000000" w:rsidRPr="00000000">
        <w:rPr>
          <w:color w:val="000000"/>
          <w:rtl w:val="0"/>
        </w:rPr>
        <w:t xml:space="preserve">. Foi observado nessa população que a maioria das  mulheres teve a primeira relação sexual com 16 anos ou menos (tabela 2). Os achados indicando menarca e coitarca precoces corroboram a tese de que esses fatores de risco estão relacionados, de maneira significativa, ao desenvolvimento de câncer cervical.</w:t>
      </w:r>
    </w:p>
    <w:p w:rsidR="00000000" w:rsidDel="00000000" w:rsidP="00000000" w:rsidRDefault="00000000" w:rsidRPr="00000000" w14:paraId="0000004D">
      <w:pPr>
        <w:widowControl w:val="1"/>
        <w:spacing w:after="240" w:before="240" w:line="360" w:lineRule="auto"/>
        <w:ind w:firstLine="720"/>
        <w:rPr>
          <w:color w:val="000000"/>
        </w:rPr>
      </w:pPr>
      <w:r w:rsidDel="00000000" w:rsidR="00000000" w:rsidRPr="00000000">
        <w:rPr>
          <w:rtl w:val="0"/>
        </w:rPr>
      </w:r>
    </w:p>
    <w:p w:rsidR="00000000" w:rsidDel="00000000" w:rsidP="00000000" w:rsidRDefault="00000000" w:rsidRPr="00000000" w14:paraId="0000004E">
      <w:pPr>
        <w:widowControl w:val="1"/>
        <w:spacing w:after="0" w:lineRule="auto"/>
        <w:ind w:firstLine="0"/>
        <w:jc w:val="center"/>
        <w:rPr>
          <w:color w:val="000000"/>
        </w:rPr>
      </w:pPr>
      <w:r w:rsidDel="00000000" w:rsidR="00000000" w:rsidRPr="00000000">
        <w:rPr>
          <w:b w:val="1"/>
          <w:color w:val="000000"/>
          <w:rtl w:val="0"/>
        </w:rPr>
        <w:t xml:space="preserve">Tabela 2</w:t>
      </w:r>
      <w:r w:rsidDel="00000000" w:rsidR="00000000" w:rsidRPr="00000000">
        <w:rPr>
          <w:color w:val="000000"/>
          <w:rtl w:val="0"/>
        </w:rPr>
        <w:t xml:space="preserve">– Relação do número de mulheres distribuído pela coitarca</w:t>
      </w:r>
    </w:p>
    <w:tbl>
      <w:tblPr>
        <w:tblStyle w:val="Table2"/>
        <w:tblW w:w="9115.511811023624"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9825135494428"/>
        <w:gridCol w:w="2426.857040597198"/>
        <w:gridCol w:w="295.95817568258514"/>
        <w:gridCol w:w="2190.09050005113"/>
        <w:gridCol w:w="2024.3539216688825"/>
        <w:gridCol w:w="2024.3539216688825"/>
        <w:tblGridChange w:id="0">
          <w:tblGrid>
            <w:gridCol w:w="153.89825135494428"/>
            <w:gridCol w:w="2426.857040597198"/>
            <w:gridCol w:w="295.95817568258514"/>
            <w:gridCol w:w="2190.09050005113"/>
            <w:gridCol w:w="2024.3539216688825"/>
            <w:gridCol w:w="2024.3539216688825"/>
          </w:tblGrid>
        </w:tblGridChange>
      </w:tblGrid>
      <w:tr>
        <w:trPr>
          <w:cantSplit w:val="0"/>
          <w:trHeight w:val="605.9999999999945" w:hRule="atLeast"/>
          <w:tblHeader w:val="0"/>
        </w:trPr>
        <w:tc>
          <w:tcPr>
            <w:tcBorders>
              <w:top w:color="00000a" w:space="0" w:sz="6" w:val="single"/>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F">
            <w:pPr>
              <w:widowControl w:val="1"/>
              <w:spacing w:after="0" w:lineRule="auto"/>
              <w:ind w:left="-60" w:firstLine="0"/>
              <w:jc w:val="center"/>
              <w:rPr>
                <w:b w:val="1"/>
                <w:color w:val="000000"/>
              </w:rPr>
            </w:pPr>
            <w:r w:rsidDel="00000000" w:rsidR="00000000" w:rsidRPr="00000000">
              <w:rPr>
                <w:b w:val="1"/>
                <w:color w:val="000000"/>
                <w:rtl w:val="0"/>
              </w:rPr>
              <w:t xml:space="preserve"> </w:t>
            </w:r>
          </w:p>
        </w:tc>
        <w:tc>
          <w:tcPr>
            <w:tcBorders>
              <w:top w:color="00000a" w:space="0" w:sz="6" w:val="single"/>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0">
            <w:pPr>
              <w:widowControl w:val="1"/>
              <w:spacing w:after="0" w:lineRule="auto"/>
              <w:ind w:left="-60" w:firstLine="0"/>
              <w:rPr>
                <w:b w:val="1"/>
                <w:color w:val="000000"/>
              </w:rPr>
            </w:pPr>
            <w:r w:rsidDel="00000000" w:rsidR="00000000" w:rsidRPr="00000000">
              <w:rPr>
                <w:b w:val="1"/>
                <w:color w:val="000000"/>
                <w:rtl w:val="0"/>
              </w:rPr>
              <w:t xml:space="preserve">Idade da coitarca</w:t>
            </w:r>
          </w:p>
        </w:tc>
        <w:tc>
          <w:tcPr>
            <w:tcBorders>
              <w:top w:color="00000a" w:space="0" w:sz="6" w:val="single"/>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1">
            <w:pPr>
              <w:widowControl w:val="1"/>
              <w:spacing w:after="0" w:lineRule="auto"/>
              <w:ind w:left="-60" w:firstLine="0"/>
              <w:rPr>
                <w:b w:val="1"/>
                <w:color w:val="000000"/>
              </w:rPr>
            </w:pPr>
            <w:r w:rsidDel="00000000" w:rsidR="00000000" w:rsidRPr="00000000">
              <w:rPr>
                <w:b w:val="1"/>
                <w:color w:val="000000"/>
                <w:rtl w:val="0"/>
              </w:rPr>
              <w:t xml:space="preserve"> </w:t>
            </w:r>
          </w:p>
        </w:tc>
        <w:tc>
          <w:tcPr>
            <w:tcBorders>
              <w:top w:color="00000a" w:space="0" w:sz="6" w:val="single"/>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2">
            <w:pPr>
              <w:widowControl w:val="1"/>
              <w:spacing w:after="0" w:lineRule="auto"/>
              <w:ind w:left="-60" w:firstLine="0"/>
              <w:jc w:val="center"/>
              <w:rPr>
                <w:b w:val="1"/>
                <w:color w:val="000000"/>
              </w:rPr>
            </w:pPr>
            <w:r w:rsidDel="00000000" w:rsidR="00000000" w:rsidRPr="00000000">
              <w:rPr>
                <w:b w:val="1"/>
                <w:color w:val="000000"/>
                <w:rtl w:val="0"/>
              </w:rPr>
              <w:t xml:space="preserve">N</w:t>
            </w:r>
          </w:p>
        </w:tc>
        <w:tc>
          <w:tcPr>
            <w:tcBorders>
              <w:top w:color="00000a" w:space="0" w:sz="6" w:val="single"/>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3">
            <w:pPr>
              <w:widowControl w:val="1"/>
              <w:spacing w:after="0" w:lineRule="auto"/>
              <w:ind w:left="-60" w:firstLine="0"/>
              <w:jc w:val="center"/>
              <w:rPr>
                <w:b w:val="1"/>
              </w:rPr>
            </w:pPr>
            <w:r w:rsidDel="00000000" w:rsidR="00000000" w:rsidRPr="00000000">
              <w:rPr>
                <w:b w:val="1"/>
                <w:rtl w:val="0"/>
              </w:rPr>
              <w:t xml:space="preserve">EBV (+)</w:t>
            </w:r>
          </w:p>
        </w:tc>
        <w:tc>
          <w:tcPr>
            <w:tcBorders>
              <w:top w:color="00000a" w:space="0" w:sz="6" w:val="single"/>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4">
            <w:pPr>
              <w:widowControl w:val="1"/>
              <w:spacing w:after="0" w:lineRule="auto"/>
              <w:ind w:left="-60" w:firstLine="0"/>
              <w:jc w:val="center"/>
              <w:rPr>
                <w:b w:val="1"/>
              </w:rPr>
            </w:pPr>
            <w:r w:rsidDel="00000000" w:rsidR="00000000" w:rsidRPr="00000000">
              <w:rPr>
                <w:b w:val="1"/>
                <w:rtl w:val="0"/>
              </w:rPr>
              <w:t xml:space="preserve">EBV(-)</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5">
            <w:pPr>
              <w:widowControl w:val="1"/>
              <w:spacing w:after="0" w:lineRule="auto"/>
              <w:ind w:firstLine="720"/>
              <w:rPr>
                <w:color w:val="000000"/>
              </w:rPr>
            </w:pPr>
            <w:r w:rsidDel="00000000" w:rsidR="00000000" w:rsidRPr="00000000">
              <w:rPr>
                <w:rtl w:val="0"/>
              </w:rPr>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6">
            <w:pPr>
              <w:widowControl w:val="1"/>
              <w:spacing w:after="0" w:lineRule="auto"/>
              <w:ind w:left="-60" w:firstLine="0"/>
              <w:rPr>
                <w:color w:val="000000"/>
              </w:rPr>
            </w:pPr>
            <w:r w:rsidDel="00000000" w:rsidR="00000000" w:rsidRPr="00000000">
              <w:rPr>
                <w:color w:val="000000"/>
                <w:rtl w:val="0"/>
              </w:rPr>
              <w:t xml:space="preserve"> 16 anos ou menos</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7">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8">
            <w:pPr>
              <w:widowControl w:val="1"/>
              <w:spacing w:after="0" w:lineRule="auto"/>
              <w:ind w:left="-60" w:firstLine="0"/>
              <w:jc w:val="center"/>
              <w:rPr>
                <w:color w:val="000000"/>
              </w:rPr>
            </w:pPr>
            <w:r w:rsidDel="00000000" w:rsidR="00000000" w:rsidRPr="00000000">
              <w:rPr>
                <w:color w:val="000000"/>
                <w:rtl w:val="0"/>
              </w:rPr>
              <w:t xml:space="preserve">19 (26,7%)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9">
            <w:pPr>
              <w:widowControl w:val="1"/>
              <w:spacing w:after="0" w:lineRule="auto"/>
              <w:ind w:left="-60" w:firstLine="0"/>
              <w:jc w:val="center"/>
              <w:rPr>
                <w:color w:val="000000"/>
              </w:rPr>
            </w:pPr>
            <w:r w:rsidDel="00000000" w:rsidR="00000000" w:rsidRPr="00000000">
              <w:rPr>
                <w:color w:val="000000"/>
                <w:rtl w:val="0"/>
              </w:rPr>
              <w:t xml:space="preserve">5 (23,8%)</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A">
            <w:pPr>
              <w:widowControl w:val="1"/>
              <w:spacing w:after="0" w:lineRule="auto"/>
              <w:ind w:left="-60" w:firstLine="0"/>
              <w:jc w:val="center"/>
              <w:rPr>
                <w:color w:val="000000"/>
              </w:rPr>
            </w:pPr>
            <w:r w:rsidDel="00000000" w:rsidR="00000000" w:rsidRPr="00000000">
              <w:rPr>
                <w:color w:val="000000"/>
                <w:rtl w:val="0"/>
              </w:rPr>
              <w:t xml:space="preserve">14 (28%)</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B">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C">
            <w:pPr>
              <w:widowControl w:val="1"/>
              <w:spacing w:after="0" w:lineRule="auto"/>
              <w:ind w:left="-60" w:firstLine="0"/>
              <w:rPr>
                <w:color w:val="000000"/>
              </w:rPr>
            </w:pPr>
            <w:r w:rsidDel="00000000" w:rsidR="00000000" w:rsidRPr="00000000">
              <w:rPr>
                <w:color w:val="000000"/>
                <w:rtl w:val="0"/>
              </w:rPr>
              <w:t xml:space="preserve"> 17 a 19 anos</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D">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E">
            <w:pPr>
              <w:widowControl w:val="1"/>
              <w:spacing w:after="0" w:lineRule="auto"/>
              <w:ind w:left="-60" w:firstLine="0"/>
              <w:jc w:val="center"/>
              <w:rPr>
                <w:color w:val="000000"/>
              </w:rPr>
            </w:pPr>
            <w:r w:rsidDel="00000000" w:rsidR="00000000" w:rsidRPr="00000000">
              <w:rPr>
                <w:color w:val="000000"/>
                <w:rtl w:val="0"/>
              </w:rPr>
              <w:t xml:space="preserve">15 (21,1%)</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F">
            <w:pPr>
              <w:widowControl w:val="1"/>
              <w:spacing w:after="0" w:lineRule="auto"/>
              <w:ind w:left="-60" w:firstLine="0"/>
              <w:jc w:val="center"/>
              <w:rPr>
                <w:color w:val="000000"/>
              </w:rPr>
            </w:pPr>
            <w:r w:rsidDel="00000000" w:rsidR="00000000" w:rsidRPr="00000000">
              <w:rPr>
                <w:color w:val="000000"/>
                <w:rtl w:val="0"/>
              </w:rPr>
              <w:t xml:space="preserve">2 (9,5%)</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0">
            <w:pPr>
              <w:widowControl w:val="1"/>
              <w:spacing w:after="0" w:lineRule="auto"/>
              <w:ind w:left="-60" w:firstLine="0"/>
              <w:jc w:val="center"/>
              <w:rPr>
                <w:color w:val="000000"/>
              </w:rPr>
            </w:pPr>
            <w:r w:rsidDel="00000000" w:rsidR="00000000" w:rsidRPr="00000000">
              <w:rPr>
                <w:color w:val="000000"/>
                <w:rtl w:val="0"/>
              </w:rPr>
              <w:t xml:space="preserve">13 (26%)</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1">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2">
            <w:pPr>
              <w:widowControl w:val="1"/>
              <w:spacing w:after="0" w:lineRule="auto"/>
              <w:ind w:left="-60" w:firstLine="0"/>
              <w:rPr>
                <w:color w:val="000000"/>
              </w:rPr>
            </w:pPr>
            <w:r w:rsidDel="00000000" w:rsidR="00000000" w:rsidRPr="00000000">
              <w:rPr>
                <w:color w:val="000000"/>
                <w:rtl w:val="0"/>
              </w:rPr>
              <w:t xml:space="preserve"> 20 anos ou mais</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3">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4">
            <w:pPr>
              <w:widowControl w:val="1"/>
              <w:spacing w:after="0" w:lineRule="auto"/>
              <w:ind w:left="-60" w:firstLine="0"/>
              <w:jc w:val="center"/>
              <w:rPr>
                <w:color w:val="000000"/>
              </w:rPr>
            </w:pPr>
            <w:r w:rsidDel="00000000" w:rsidR="00000000" w:rsidRPr="00000000">
              <w:rPr>
                <w:color w:val="000000"/>
                <w:rtl w:val="0"/>
              </w:rPr>
              <w:t xml:space="preserve">9 (12,6%)</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5">
            <w:pPr>
              <w:widowControl w:val="1"/>
              <w:spacing w:after="0" w:lineRule="auto"/>
              <w:ind w:left="-60" w:firstLine="0"/>
              <w:jc w:val="center"/>
              <w:rPr>
                <w:color w:val="000000"/>
              </w:rPr>
            </w:pPr>
            <w:r w:rsidDel="00000000" w:rsidR="00000000" w:rsidRPr="00000000">
              <w:rPr>
                <w:color w:val="000000"/>
                <w:rtl w:val="0"/>
              </w:rPr>
              <w:t xml:space="preserve">5 (23,8%)</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6">
            <w:pPr>
              <w:widowControl w:val="1"/>
              <w:spacing w:after="0" w:lineRule="auto"/>
              <w:ind w:left="-60" w:firstLine="0"/>
              <w:jc w:val="center"/>
              <w:rPr>
                <w:color w:val="000000"/>
              </w:rPr>
            </w:pPr>
            <w:r w:rsidDel="00000000" w:rsidR="00000000" w:rsidRPr="00000000">
              <w:rPr>
                <w:color w:val="000000"/>
                <w:rtl w:val="0"/>
              </w:rPr>
              <w:t xml:space="preserve">4 (8%)</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7">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8">
            <w:pPr>
              <w:widowControl w:val="1"/>
              <w:spacing w:after="0" w:lineRule="auto"/>
              <w:ind w:left="-60" w:firstLine="0"/>
              <w:rPr>
                <w:color w:val="000000"/>
              </w:rPr>
            </w:pPr>
            <w:r w:rsidDel="00000000" w:rsidR="00000000" w:rsidRPr="00000000">
              <w:rPr>
                <w:color w:val="000000"/>
                <w:rtl w:val="0"/>
              </w:rPr>
              <w:t xml:space="preserve"> Indeterminado</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9">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A">
            <w:pPr>
              <w:widowControl w:val="1"/>
              <w:spacing w:after="0" w:lineRule="auto"/>
              <w:ind w:left="-60" w:firstLine="0"/>
              <w:jc w:val="center"/>
              <w:rPr>
                <w:color w:val="000000"/>
              </w:rPr>
            </w:pPr>
            <w:r w:rsidDel="00000000" w:rsidR="00000000" w:rsidRPr="00000000">
              <w:rPr>
                <w:color w:val="000000"/>
                <w:rtl w:val="0"/>
              </w:rPr>
              <w:t xml:space="preserve">28 (39,4%)</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B">
            <w:pPr>
              <w:widowControl w:val="1"/>
              <w:spacing w:after="0" w:lineRule="auto"/>
              <w:ind w:left="-60" w:firstLine="0"/>
              <w:jc w:val="center"/>
              <w:rPr>
                <w:color w:val="000000"/>
              </w:rPr>
            </w:pPr>
            <w:r w:rsidDel="00000000" w:rsidR="00000000" w:rsidRPr="00000000">
              <w:rPr>
                <w:color w:val="000000"/>
                <w:rtl w:val="0"/>
              </w:rPr>
              <w:t xml:space="preserve">9 (42,8%)</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C">
            <w:pPr>
              <w:widowControl w:val="1"/>
              <w:spacing w:after="0" w:lineRule="auto"/>
              <w:ind w:left="-60" w:firstLine="0"/>
              <w:jc w:val="center"/>
              <w:rPr>
                <w:color w:val="000000"/>
              </w:rPr>
            </w:pPr>
            <w:r w:rsidDel="00000000" w:rsidR="00000000" w:rsidRPr="00000000">
              <w:rPr>
                <w:color w:val="000000"/>
                <w:rtl w:val="0"/>
              </w:rPr>
              <w:t xml:space="preserve">21 (42%)</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D">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E">
            <w:pPr>
              <w:widowControl w:val="1"/>
              <w:spacing w:after="0" w:lineRule="auto"/>
              <w:ind w:left="-60" w:firstLine="0"/>
              <w:rPr>
                <w:color w:val="000000"/>
              </w:rPr>
            </w:pPr>
            <w:r w:rsidDel="00000000" w:rsidR="00000000" w:rsidRPr="00000000">
              <w:rPr>
                <w:color w:val="000000"/>
                <w:rtl w:val="0"/>
              </w:rPr>
              <w:t xml:space="preserve"> Total</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F">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70">
            <w:pPr>
              <w:widowControl w:val="1"/>
              <w:spacing w:after="0" w:lineRule="auto"/>
              <w:ind w:firstLine="0"/>
              <w:jc w:val="center"/>
              <w:rPr>
                <w:color w:val="000000"/>
              </w:rPr>
            </w:pPr>
            <w:r w:rsidDel="00000000" w:rsidR="00000000" w:rsidRPr="00000000">
              <w:rPr>
                <w:color w:val="000000"/>
                <w:rtl w:val="0"/>
              </w:rPr>
              <w:t xml:space="preserve">71</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71">
            <w:pPr>
              <w:widowControl w:val="1"/>
              <w:spacing w:after="0" w:lineRule="auto"/>
              <w:ind w:left="-60" w:firstLine="0"/>
              <w:jc w:val="center"/>
              <w:rPr>
                <w:color w:val="000000"/>
              </w:rPr>
            </w:pPr>
            <w:r w:rsidDel="00000000" w:rsidR="00000000" w:rsidRPr="00000000">
              <w:rPr>
                <w:color w:val="000000"/>
                <w:rtl w:val="0"/>
              </w:rPr>
              <w:t xml:space="preserve">21</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72">
            <w:pPr>
              <w:widowControl w:val="1"/>
              <w:spacing w:after="0" w:lineRule="auto"/>
              <w:ind w:left="-60" w:firstLine="0"/>
              <w:jc w:val="center"/>
              <w:rPr>
                <w:color w:val="000000"/>
              </w:rPr>
            </w:pPr>
            <w:r w:rsidDel="00000000" w:rsidR="00000000" w:rsidRPr="00000000">
              <w:rPr>
                <w:color w:val="000000"/>
                <w:rtl w:val="0"/>
              </w:rPr>
              <w:t xml:space="preserve">50</w:t>
            </w:r>
          </w:p>
        </w:tc>
      </w:tr>
    </w:tbl>
    <w:p w:rsidR="00000000" w:rsidDel="00000000" w:rsidP="00000000" w:rsidRDefault="00000000" w:rsidRPr="00000000" w14:paraId="00000073">
      <w:pPr>
        <w:widowControl w:val="1"/>
        <w:spacing w:after="0" w:lineRule="auto"/>
        <w:ind w:firstLine="0"/>
        <w:jc w:val="center"/>
        <w:rPr>
          <w:color w:val="000000"/>
          <w:sz w:val="20"/>
          <w:szCs w:val="20"/>
        </w:rPr>
      </w:pPr>
      <w:r w:rsidDel="00000000" w:rsidR="00000000" w:rsidRPr="00000000">
        <w:rPr>
          <w:color w:val="000000"/>
          <w:sz w:val="20"/>
          <w:szCs w:val="20"/>
          <w:rtl w:val="0"/>
        </w:rPr>
        <w:t xml:space="preserve">Fonte: Elaborado pelos integrantes da pesquisa</w:t>
      </w:r>
    </w:p>
    <w:p w:rsidR="00000000" w:rsidDel="00000000" w:rsidP="00000000" w:rsidRDefault="00000000" w:rsidRPr="00000000" w14:paraId="00000074">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5">
      <w:pPr>
        <w:widowControl w:val="1"/>
        <w:spacing w:after="120" w:line="360" w:lineRule="auto"/>
        <w:ind w:left="0" w:firstLine="708.6614173228347"/>
        <w:rPr>
          <w:color w:val="000000"/>
        </w:rPr>
      </w:pPr>
      <w:r w:rsidDel="00000000" w:rsidR="00000000" w:rsidRPr="00000000">
        <w:rPr>
          <w:color w:val="000000"/>
          <w:rtl w:val="0"/>
        </w:rPr>
        <w:t xml:space="preserve">A análise entre os resultados da PCR e os dados sobre o estadiamento FIGO (Federação Internacional de Ginecologia e Obstetrícia) podem ser visualizados</w:t>
      </w:r>
      <w:r w:rsidDel="00000000" w:rsidR="00000000" w:rsidRPr="00000000">
        <w:rPr>
          <w:color w:val="000000"/>
          <w:highlight w:val="white"/>
          <w:rtl w:val="0"/>
        </w:rPr>
        <w:t xml:space="preserve"> na </w:t>
      </w:r>
      <w:r w:rsidDel="00000000" w:rsidR="00000000" w:rsidRPr="00000000">
        <w:rPr>
          <w:b w:val="1"/>
          <w:color w:val="000000"/>
          <w:highlight w:val="white"/>
          <w:rtl w:val="0"/>
        </w:rPr>
        <w:t xml:space="preserve">tabela 3</w:t>
      </w:r>
      <w:r w:rsidDel="00000000" w:rsidR="00000000" w:rsidRPr="00000000">
        <w:rPr>
          <w:color w:val="000000"/>
          <w:highlight w:val="white"/>
          <w:rtl w:val="0"/>
        </w:rPr>
        <w:t xml:space="preserve">.</w:t>
      </w:r>
      <w:r w:rsidDel="00000000" w:rsidR="00000000" w:rsidRPr="00000000">
        <w:rPr>
          <w:color w:val="000000"/>
          <w:rtl w:val="0"/>
        </w:rPr>
        <w:t xml:space="preserve"> Observou-se que não houve uma relação estatisticamente significativa entres os dados expostos na tabela, no entanto, é válido destacar que os casos de EBV positivos foram mais frequentes entre os estadiamentos I e II. Além disso, os casos de deleção de 30pb foram relativamente mais elevados no grau de diferenciação moderado.</w:t>
      </w:r>
    </w:p>
    <w:p w:rsidR="00000000" w:rsidDel="00000000" w:rsidP="00000000" w:rsidRDefault="00000000" w:rsidRPr="00000000" w14:paraId="00000076">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7">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8">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9">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A">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B">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C">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D">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E">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F">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80">
      <w:pPr>
        <w:widowControl w:val="1"/>
        <w:spacing w:after="0" w:line="360" w:lineRule="auto"/>
        <w:ind w:firstLine="0"/>
        <w:jc w:val="center"/>
        <w:rPr/>
      </w:pPr>
      <w:r w:rsidDel="00000000" w:rsidR="00000000" w:rsidRPr="00000000">
        <w:rPr>
          <w:b w:val="1"/>
          <w:highlight w:val="white"/>
          <w:rtl w:val="0"/>
        </w:rPr>
        <w:t xml:space="preserve">Tabela 3 </w:t>
      </w:r>
      <w:r w:rsidDel="00000000" w:rsidR="00000000" w:rsidRPr="00000000">
        <w:rPr>
          <w:highlight w:val="white"/>
          <w:rtl w:val="0"/>
        </w:rPr>
        <w:t xml:space="preserve">–</w:t>
      </w:r>
      <w:r w:rsidDel="00000000" w:rsidR="00000000" w:rsidRPr="00000000">
        <w:rPr>
          <w:rtl w:val="0"/>
        </w:rPr>
        <w:t xml:space="preserve"> Relação entre o estadiamento FIGO e os resultados da PCR para o gene LMP1</w:t>
      </w:r>
    </w:p>
    <w:tbl>
      <w:tblPr>
        <w:tblStyle w:val="Table3"/>
        <w:tblW w:w="9015.0" w:type="dxa"/>
        <w:jc w:val="center"/>
        <w:tblLayout w:type="fixed"/>
        <w:tblLook w:val="0000"/>
      </w:tblPr>
      <w:tblGrid>
        <w:gridCol w:w="1860"/>
        <w:gridCol w:w="1035"/>
        <w:gridCol w:w="1065"/>
        <w:gridCol w:w="1140"/>
        <w:gridCol w:w="1305"/>
        <w:gridCol w:w="1305"/>
        <w:gridCol w:w="1305"/>
        <w:tblGridChange w:id="0">
          <w:tblGrid>
            <w:gridCol w:w="1860"/>
            <w:gridCol w:w="1035"/>
            <w:gridCol w:w="1065"/>
            <w:gridCol w:w="1140"/>
            <w:gridCol w:w="1305"/>
            <w:gridCol w:w="1305"/>
            <w:gridCol w:w="1305"/>
          </w:tblGrid>
        </w:tblGridChange>
      </w:tblGrid>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81">
            <w:pPr>
              <w:spacing w:after="0" w:lineRule="auto"/>
              <w:ind w:firstLine="0"/>
              <w:rPr/>
            </w:pPr>
            <w:r w:rsidDel="00000000" w:rsidR="00000000" w:rsidRPr="00000000">
              <w:rPr>
                <w:rtl w:val="0"/>
              </w:rPr>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82">
            <w:pPr>
              <w:spacing w:after="0" w:lineRule="auto"/>
              <w:ind w:firstLine="0"/>
              <w:jc w:val="center"/>
              <w:rPr>
                <w:b w:val="1"/>
              </w:rPr>
            </w:pPr>
            <w:r w:rsidDel="00000000" w:rsidR="00000000" w:rsidRPr="00000000">
              <w:rPr>
                <w:b w:val="1"/>
                <w:rtl w:val="0"/>
              </w:rPr>
              <w:t xml:space="preserve">PCR </w:t>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85">
            <w:pPr>
              <w:spacing w:after="0" w:lineRule="auto"/>
              <w:ind w:firstLine="0"/>
              <w:jc w:val="center"/>
              <w:rPr>
                <w:b w:val="1"/>
              </w:rPr>
            </w:pPr>
            <w:r w:rsidDel="00000000" w:rsidR="00000000" w:rsidRPr="00000000">
              <w:rPr>
                <w:b w:val="1"/>
                <w:rtl w:val="0"/>
              </w:rPr>
              <w:t xml:space="preserve">Deleção 30pb</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88">
            <w:pPr>
              <w:spacing w:after="0" w:lineRule="auto"/>
              <w:ind w:firstLine="0"/>
              <w:rPr>
                <w:b w:val="1"/>
              </w:rPr>
            </w:pPr>
            <w:r w:rsidDel="00000000" w:rsidR="00000000" w:rsidRPr="00000000">
              <w:rPr>
                <w:b w:val="1"/>
                <w:rtl w:val="0"/>
              </w:rPr>
              <w:t xml:space="preserve">Estadiamento</w:t>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89">
            <w:pPr>
              <w:spacing w:after="0" w:lineRule="auto"/>
              <w:ind w:firstLine="0"/>
              <w:rPr>
                <w:b w:val="1"/>
              </w:rPr>
            </w:pPr>
            <w:r w:rsidDel="00000000" w:rsidR="00000000" w:rsidRPr="00000000">
              <w:rPr>
                <w:rtl w:val="0"/>
              </w:rPr>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8C">
            <w:pPr>
              <w:spacing w:after="0" w:lineRule="auto"/>
              <w:ind w:firstLine="0"/>
              <w:rPr>
                <w:b w:val="1"/>
              </w:rPr>
            </w:pPr>
            <w:r w:rsidDel="00000000" w:rsidR="00000000" w:rsidRPr="00000000">
              <w:rPr>
                <w:rtl w:val="0"/>
              </w:rPr>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8F">
            <w:pPr>
              <w:spacing w:after="0" w:lineRule="auto"/>
              <w:ind w:firstLine="0"/>
              <w:rPr>
                <w:b w:val="1"/>
              </w:rPr>
            </w:pP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90">
            <w:pPr>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91">
            <w:pPr>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92">
            <w:pPr>
              <w:spacing w:after="0" w:lineRule="auto"/>
              <w:ind w:firstLine="0"/>
              <w:rPr>
                <w:b w:val="1"/>
                <w:i w:val="1"/>
              </w:rPr>
            </w:pPr>
            <w:r w:rsidDel="00000000" w:rsidR="00000000" w:rsidRPr="00000000">
              <w:rPr>
                <w:b w:val="1"/>
                <w:i w:val="1"/>
                <w:rtl w:val="0"/>
              </w:rPr>
              <w:t xml:space="preserve">P</w:t>
            </w:r>
          </w:p>
        </w:tc>
        <w:tc>
          <w:tcPr>
            <w:tcBorders>
              <w:top w:color="00000a" w:space="0" w:sz="4" w:val="single"/>
              <w:bottom w:color="00000a" w:space="0" w:sz="4" w:val="single"/>
            </w:tcBorders>
            <w:shd w:fill="auto" w:val="clear"/>
          </w:tcPr>
          <w:p w:rsidR="00000000" w:rsidDel="00000000" w:rsidP="00000000" w:rsidRDefault="00000000" w:rsidRPr="00000000" w14:paraId="00000093">
            <w:pPr>
              <w:spacing w:after="0" w:lineRule="auto"/>
              <w:ind w:firstLine="0"/>
              <w:rPr>
                <w:b w:val="1"/>
              </w:rPr>
            </w:pPr>
            <w:r w:rsidDel="00000000" w:rsidR="00000000" w:rsidRPr="00000000">
              <w:rPr>
                <w:b w:val="1"/>
                <w:rtl w:val="0"/>
              </w:rPr>
              <w:t xml:space="preserve">131 pb</w:t>
            </w:r>
          </w:p>
        </w:tc>
        <w:tc>
          <w:tcPr>
            <w:tcBorders>
              <w:top w:color="00000a" w:space="0" w:sz="4" w:val="single"/>
              <w:bottom w:color="00000a" w:space="0" w:sz="4" w:val="single"/>
            </w:tcBorders>
            <w:shd w:fill="auto" w:val="clear"/>
          </w:tcPr>
          <w:p w:rsidR="00000000" w:rsidDel="00000000" w:rsidP="00000000" w:rsidRDefault="00000000" w:rsidRPr="00000000" w14:paraId="00000094">
            <w:pPr>
              <w:spacing w:after="0" w:lineRule="auto"/>
              <w:ind w:firstLine="0"/>
              <w:rPr>
                <w:b w:val="1"/>
              </w:rPr>
            </w:pPr>
            <w:r w:rsidDel="00000000" w:rsidR="00000000" w:rsidRPr="00000000">
              <w:rPr>
                <w:b w:val="1"/>
                <w:rtl w:val="0"/>
              </w:rPr>
              <w:t xml:space="preserve">161 pb</w:t>
            </w:r>
          </w:p>
        </w:tc>
        <w:tc>
          <w:tcPr>
            <w:tcBorders>
              <w:top w:color="00000a" w:space="0" w:sz="4" w:val="single"/>
              <w:bottom w:color="00000a" w:space="0" w:sz="4" w:val="single"/>
            </w:tcBorders>
            <w:shd w:fill="auto" w:val="clear"/>
          </w:tcPr>
          <w:p w:rsidR="00000000" w:rsidDel="00000000" w:rsidP="00000000" w:rsidRDefault="00000000" w:rsidRPr="00000000" w14:paraId="00000095">
            <w:pPr>
              <w:spacing w:after="0" w:lineRule="auto"/>
              <w:ind w:firstLine="0"/>
              <w:rPr>
                <w:b w:val="1"/>
                <w:i w:val="1"/>
              </w:rPr>
            </w:pPr>
            <w:r w:rsidDel="00000000" w:rsidR="00000000" w:rsidRPr="00000000">
              <w:rPr>
                <w:b w:val="1"/>
                <w:i w:val="1"/>
                <w:rtl w:val="0"/>
              </w:rPr>
              <w:t xml:space="preserve">P</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96">
            <w:pPr>
              <w:ind w:firstLine="0"/>
              <w:rPr/>
            </w:pPr>
            <w:r w:rsidDel="00000000" w:rsidR="00000000" w:rsidRPr="00000000">
              <w:rPr>
                <w:rtl w:val="0"/>
              </w:rPr>
              <w:t xml:space="preserve">I e II</w:t>
            </w:r>
          </w:p>
        </w:tc>
        <w:tc>
          <w:tcPr>
            <w:tcBorders>
              <w:top w:color="00000a" w:space="0" w:sz="4" w:val="single"/>
              <w:bottom w:color="00000a" w:space="0" w:sz="4" w:val="single"/>
            </w:tcBorders>
            <w:shd w:fill="auto" w:val="clear"/>
          </w:tcPr>
          <w:p w:rsidR="00000000" w:rsidDel="00000000" w:rsidP="00000000" w:rsidRDefault="00000000" w:rsidRPr="00000000" w14:paraId="00000097">
            <w:pPr>
              <w:widowControl w:val="1"/>
              <w:spacing w:after="0" w:lineRule="auto"/>
              <w:ind w:firstLine="0"/>
              <w:rPr/>
            </w:pPr>
            <w:r w:rsidDel="00000000" w:rsidR="00000000" w:rsidRPr="00000000">
              <w:rPr>
                <w:rtl w:val="0"/>
              </w:rPr>
              <w:t xml:space="preserve">18</w:t>
            </w:r>
          </w:p>
        </w:tc>
        <w:tc>
          <w:tcPr>
            <w:tcBorders>
              <w:top w:color="00000a" w:space="0" w:sz="4" w:val="single"/>
              <w:bottom w:color="00000a" w:space="0" w:sz="4" w:val="single"/>
            </w:tcBorders>
            <w:shd w:fill="auto" w:val="clear"/>
          </w:tcPr>
          <w:p w:rsidR="00000000" w:rsidDel="00000000" w:rsidP="00000000" w:rsidRDefault="00000000" w:rsidRPr="00000000" w14:paraId="00000098">
            <w:pPr>
              <w:widowControl w:val="1"/>
              <w:spacing w:after="0" w:lineRule="auto"/>
              <w:ind w:firstLine="0"/>
              <w:rPr/>
            </w:pPr>
            <w:r w:rsidDel="00000000" w:rsidR="00000000" w:rsidRPr="00000000">
              <w:rPr>
                <w:rtl w:val="0"/>
              </w:rPr>
              <w:t xml:space="preserve">43</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99">
            <w:pPr>
              <w:widowControl w:val="1"/>
              <w:spacing w:after="0" w:lineRule="auto"/>
              <w:ind w:firstLine="0"/>
              <w:rPr/>
            </w:pPr>
            <w:r w:rsidDel="00000000" w:rsidR="00000000" w:rsidRPr="00000000">
              <w:rPr>
                <w:rtl w:val="0"/>
              </w:rPr>
              <w:t xml:space="preserve">0,2466</w:t>
            </w:r>
          </w:p>
        </w:tc>
        <w:tc>
          <w:tcPr>
            <w:tcBorders>
              <w:top w:color="00000a" w:space="0" w:sz="4" w:val="single"/>
              <w:bottom w:color="00000a" w:space="0" w:sz="4" w:val="single"/>
            </w:tcBorders>
            <w:shd w:fill="auto" w:val="clear"/>
          </w:tcPr>
          <w:p w:rsidR="00000000" w:rsidDel="00000000" w:rsidP="00000000" w:rsidRDefault="00000000" w:rsidRPr="00000000" w14:paraId="0000009A">
            <w:pPr>
              <w:widowControl w:val="1"/>
              <w:spacing w:after="0" w:lineRule="auto"/>
              <w:ind w:firstLine="0"/>
              <w:rPr/>
            </w:pPr>
            <w:r w:rsidDel="00000000" w:rsidR="00000000" w:rsidRPr="00000000">
              <w:rPr>
                <w:rtl w:val="0"/>
              </w:rPr>
              <w:t xml:space="preserve">11</w:t>
            </w:r>
          </w:p>
        </w:tc>
        <w:tc>
          <w:tcPr>
            <w:tcBorders>
              <w:top w:color="00000a" w:space="0" w:sz="4" w:val="single"/>
              <w:bottom w:color="00000a" w:space="0" w:sz="4" w:val="single"/>
            </w:tcBorders>
            <w:shd w:fill="auto" w:val="clear"/>
          </w:tcPr>
          <w:p w:rsidR="00000000" w:rsidDel="00000000" w:rsidP="00000000" w:rsidRDefault="00000000" w:rsidRPr="00000000" w14:paraId="0000009B">
            <w:pPr>
              <w:widowControl w:val="1"/>
              <w:spacing w:after="0" w:lineRule="auto"/>
              <w:ind w:firstLine="0"/>
              <w:rPr/>
            </w:pPr>
            <w:r w:rsidDel="00000000" w:rsidR="00000000" w:rsidRPr="00000000">
              <w:rPr>
                <w:rtl w:val="0"/>
              </w:rPr>
              <w:t xml:space="preserve">7</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9C">
            <w:pPr>
              <w:widowControl w:val="1"/>
              <w:spacing w:after="0" w:lineRule="auto"/>
              <w:ind w:firstLine="0"/>
              <w:rPr/>
            </w:pPr>
            <w:r w:rsidDel="00000000" w:rsidR="00000000" w:rsidRPr="00000000">
              <w:rPr>
                <w:rtl w:val="0"/>
              </w:rPr>
              <w:t xml:space="preserve">0,4211</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9D">
            <w:pPr>
              <w:ind w:firstLine="0"/>
              <w:rPr/>
            </w:pPr>
            <w:r w:rsidDel="00000000" w:rsidR="00000000" w:rsidRPr="00000000">
              <w:rPr>
                <w:rtl w:val="0"/>
              </w:rPr>
              <w:t xml:space="preserve">III e IV </w:t>
            </w:r>
          </w:p>
        </w:tc>
        <w:tc>
          <w:tcPr>
            <w:tcBorders>
              <w:top w:color="00000a" w:space="0" w:sz="4" w:val="single"/>
              <w:bottom w:color="00000a" w:space="0" w:sz="4" w:val="single"/>
            </w:tcBorders>
            <w:shd w:fill="auto" w:val="clear"/>
          </w:tcPr>
          <w:p w:rsidR="00000000" w:rsidDel="00000000" w:rsidP="00000000" w:rsidRDefault="00000000" w:rsidRPr="00000000" w14:paraId="0000009E">
            <w:pPr>
              <w:widowControl w:val="1"/>
              <w:spacing w:after="0" w:lineRule="auto"/>
              <w:ind w:firstLine="0"/>
              <w:rPr/>
            </w:pPr>
            <w:r w:rsidDel="00000000" w:rsidR="00000000" w:rsidRPr="00000000">
              <w:rPr>
                <w:rtl w:val="0"/>
              </w:rPr>
              <w:t xml:space="preserve">1</w:t>
            </w:r>
          </w:p>
        </w:tc>
        <w:tc>
          <w:tcPr>
            <w:tcBorders>
              <w:top w:color="00000a" w:space="0" w:sz="4" w:val="single"/>
              <w:bottom w:color="00000a" w:space="0" w:sz="4" w:val="single"/>
            </w:tcBorders>
            <w:shd w:fill="auto" w:val="clear"/>
          </w:tcPr>
          <w:p w:rsidR="00000000" w:rsidDel="00000000" w:rsidP="00000000" w:rsidRDefault="00000000" w:rsidRPr="00000000" w14:paraId="0000009F">
            <w:pPr>
              <w:widowControl w:val="1"/>
              <w:spacing w:after="0" w:lineRule="auto"/>
              <w:ind w:firstLine="0"/>
              <w:rPr/>
            </w:pPr>
            <w:r w:rsidDel="00000000" w:rsidR="00000000" w:rsidRPr="00000000">
              <w:rPr>
                <w:rtl w:val="0"/>
              </w:rPr>
              <w:t xml:space="preserve">8</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A0">
            <w:pPr>
              <w:widowControl w:val="1"/>
              <w:spacing w:after="0" w:lineRule="auto"/>
              <w:ind w:firstLine="0"/>
              <w:rPr/>
            </w:pP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A1">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A2">
            <w:pPr>
              <w:widowControl w:val="1"/>
              <w:spacing w:after="0" w:lineRule="auto"/>
              <w:ind w:firstLine="0"/>
              <w:rPr/>
            </w:pPr>
            <w:r w:rsidDel="00000000" w:rsidR="00000000" w:rsidRPr="00000000">
              <w:rPr>
                <w:rtl w:val="0"/>
              </w:rPr>
              <w:t xml:space="preserve">1</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A3">
            <w:pPr>
              <w:widowControl w:val="1"/>
              <w:spacing w:after="0" w:lineRule="auto"/>
              <w:ind w:firstLine="0"/>
              <w:rPr/>
            </w:pPr>
            <w:r w:rsidDel="00000000" w:rsidR="00000000" w:rsidRPr="00000000">
              <w:rPr>
                <w:rtl w:val="0"/>
              </w:rPr>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A4">
            <w:pPr>
              <w:ind w:firstLine="0"/>
              <w:rPr>
                <w:b w:val="1"/>
              </w:rPr>
            </w:pPr>
            <w:r w:rsidDel="00000000" w:rsidR="00000000" w:rsidRPr="00000000">
              <w:rPr>
                <w:b w:val="1"/>
                <w:rtl w:val="0"/>
              </w:rPr>
              <w:t xml:space="preserve">Diferenciação </w:t>
            </w:r>
          </w:p>
        </w:tc>
        <w:tc>
          <w:tcPr>
            <w:tcBorders>
              <w:top w:color="00000a" w:space="0" w:sz="4" w:val="single"/>
              <w:bottom w:color="00000a" w:space="0" w:sz="4" w:val="single"/>
            </w:tcBorders>
            <w:shd w:fill="auto" w:val="clear"/>
          </w:tcPr>
          <w:p w:rsidR="00000000" w:rsidDel="00000000" w:rsidP="00000000" w:rsidRDefault="00000000" w:rsidRPr="00000000" w14:paraId="000000A5">
            <w:pPr>
              <w:widowControl w:val="1"/>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A6">
            <w:pPr>
              <w:widowControl w:val="1"/>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A7">
            <w:pPr>
              <w:widowControl w:val="1"/>
              <w:spacing w:after="0" w:lineRule="auto"/>
              <w:ind w:firstLine="0"/>
              <w:rPr>
                <w:b w:val="1"/>
                <w:i w:val="1"/>
              </w:rPr>
            </w:pPr>
            <w:r w:rsidDel="00000000" w:rsidR="00000000" w:rsidRPr="00000000">
              <w:rPr>
                <w:b w:val="1"/>
                <w:i w:val="1"/>
                <w:rtl w:val="0"/>
              </w:rPr>
              <w:t xml:space="preserve">P</w:t>
            </w:r>
          </w:p>
        </w:tc>
        <w:tc>
          <w:tcPr>
            <w:tcBorders>
              <w:top w:color="00000a" w:space="0" w:sz="4" w:val="single"/>
              <w:bottom w:color="00000a" w:space="0" w:sz="4" w:val="single"/>
            </w:tcBorders>
            <w:shd w:fill="auto" w:val="clear"/>
          </w:tcPr>
          <w:p w:rsidR="00000000" w:rsidDel="00000000" w:rsidP="00000000" w:rsidRDefault="00000000" w:rsidRPr="00000000" w14:paraId="000000A8">
            <w:pPr>
              <w:widowControl w:val="1"/>
              <w:spacing w:after="0" w:lineRule="auto"/>
              <w:ind w:firstLine="0"/>
              <w:rPr>
                <w:b w:val="1"/>
              </w:rPr>
            </w:pPr>
            <w:r w:rsidDel="00000000" w:rsidR="00000000" w:rsidRPr="00000000">
              <w:rPr>
                <w:b w:val="1"/>
                <w:rtl w:val="0"/>
              </w:rPr>
              <w:t xml:space="preserve">131 pb</w:t>
            </w:r>
          </w:p>
        </w:tc>
        <w:tc>
          <w:tcPr>
            <w:tcBorders>
              <w:top w:color="00000a" w:space="0" w:sz="4" w:val="single"/>
              <w:bottom w:color="00000a" w:space="0" w:sz="4" w:val="single"/>
            </w:tcBorders>
            <w:shd w:fill="auto" w:val="clear"/>
          </w:tcPr>
          <w:p w:rsidR="00000000" w:rsidDel="00000000" w:rsidP="00000000" w:rsidRDefault="00000000" w:rsidRPr="00000000" w14:paraId="000000A9">
            <w:pPr>
              <w:widowControl w:val="1"/>
              <w:spacing w:after="0" w:lineRule="auto"/>
              <w:ind w:firstLine="0"/>
              <w:rPr>
                <w:b w:val="1"/>
              </w:rPr>
            </w:pPr>
            <w:r w:rsidDel="00000000" w:rsidR="00000000" w:rsidRPr="00000000">
              <w:rPr>
                <w:b w:val="1"/>
                <w:rtl w:val="0"/>
              </w:rPr>
              <w:t xml:space="preserve">161 pb </w:t>
            </w:r>
          </w:p>
        </w:tc>
        <w:tc>
          <w:tcPr>
            <w:tcBorders>
              <w:top w:color="00000a" w:space="0" w:sz="4" w:val="single"/>
              <w:bottom w:color="00000a" w:space="0" w:sz="4" w:val="single"/>
            </w:tcBorders>
            <w:shd w:fill="auto" w:val="clear"/>
          </w:tcPr>
          <w:p w:rsidR="00000000" w:rsidDel="00000000" w:rsidP="00000000" w:rsidRDefault="00000000" w:rsidRPr="00000000" w14:paraId="000000AA">
            <w:pPr>
              <w:widowControl w:val="1"/>
              <w:spacing w:after="0" w:lineRule="auto"/>
              <w:ind w:firstLine="0"/>
              <w:rPr>
                <w:b w:val="1"/>
                <w:i w:val="1"/>
              </w:rPr>
            </w:pPr>
            <w:r w:rsidDel="00000000" w:rsidR="00000000" w:rsidRPr="00000000">
              <w:rPr>
                <w:b w:val="1"/>
                <w:i w:val="1"/>
                <w:rtl w:val="0"/>
              </w:rPr>
              <w:t xml:space="preserve">P</w:t>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AB">
            <w:pPr>
              <w:spacing w:after="0" w:lineRule="auto"/>
              <w:ind w:firstLine="0"/>
              <w:rPr/>
            </w:pPr>
            <w:r w:rsidDel="00000000" w:rsidR="00000000" w:rsidRPr="00000000">
              <w:rPr>
                <w:rtl w:val="0"/>
              </w:rPr>
              <w:t xml:space="preserve">Bem </w:t>
            </w:r>
          </w:p>
        </w:tc>
        <w:tc>
          <w:tcPr>
            <w:tcBorders>
              <w:top w:color="00000a" w:space="0" w:sz="4" w:val="single"/>
              <w:bottom w:color="00000a" w:space="0" w:sz="4" w:val="single"/>
            </w:tcBorders>
            <w:shd w:fill="auto" w:val="clear"/>
          </w:tcPr>
          <w:p w:rsidR="00000000" w:rsidDel="00000000" w:rsidP="00000000" w:rsidRDefault="00000000" w:rsidRPr="00000000" w14:paraId="000000AC">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AD">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AE">
            <w:pPr>
              <w:widowControl w:val="1"/>
              <w:spacing w:after="0" w:lineRule="auto"/>
              <w:ind w:firstLine="0"/>
              <w:rPr/>
            </w:pPr>
            <w:r w:rsidDel="00000000" w:rsidR="00000000" w:rsidRPr="00000000">
              <w:rPr>
                <w:rtl w:val="0"/>
              </w:rPr>
              <w:t xml:space="preserve">-</w:t>
            </w:r>
          </w:p>
        </w:tc>
        <w:tc>
          <w:tcPr>
            <w:tcBorders>
              <w:top w:color="00000a" w:space="0" w:sz="4" w:val="single"/>
              <w:bottom w:color="00000a" w:space="0" w:sz="4" w:val="single"/>
            </w:tcBorders>
            <w:shd w:fill="auto" w:val="clear"/>
          </w:tcPr>
          <w:p w:rsidR="00000000" w:rsidDel="00000000" w:rsidP="00000000" w:rsidRDefault="00000000" w:rsidRPr="00000000" w14:paraId="000000AF">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B0">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B1">
            <w:pPr>
              <w:widowControl w:val="1"/>
              <w:spacing w:after="0" w:lineRule="auto"/>
              <w:ind w:firstLine="0"/>
              <w:rPr/>
            </w:pPr>
            <w:r w:rsidDel="00000000" w:rsidR="00000000" w:rsidRPr="00000000">
              <w:rPr>
                <w:rtl w:val="0"/>
              </w:rPr>
              <w:t xml:space="preserve">-</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B2">
            <w:pPr>
              <w:spacing w:after="0" w:lineRule="auto"/>
              <w:ind w:firstLine="0"/>
              <w:rPr/>
            </w:pPr>
            <w:r w:rsidDel="00000000" w:rsidR="00000000" w:rsidRPr="00000000">
              <w:rPr>
                <w:rtl w:val="0"/>
              </w:rPr>
              <w:t xml:space="preserve">Moderadamente </w:t>
            </w:r>
          </w:p>
        </w:tc>
        <w:tc>
          <w:tcPr>
            <w:tcBorders>
              <w:top w:color="00000a" w:space="0" w:sz="4" w:val="single"/>
              <w:bottom w:color="00000a" w:space="0" w:sz="4" w:val="single"/>
            </w:tcBorders>
            <w:shd w:fill="auto" w:val="clear"/>
          </w:tcPr>
          <w:p w:rsidR="00000000" w:rsidDel="00000000" w:rsidP="00000000" w:rsidRDefault="00000000" w:rsidRPr="00000000" w14:paraId="000000B3">
            <w:pPr>
              <w:widowControl w:val="1"/>
              <w:spacing w:after="0" w:lineRule="auto"/>
              <w:ind w:firstLine="0"/>
              <w:rPr/>
            </w:pPr>
            <w:r w:rsidDel="00000000" w:rsidR="00000000" w:rsidRPr="00000000">
              <w:rPr>
                <w:rtl w:val="0"/>
              </w:rPr>
              <w:t xml:space="preserve">14</w:t>
            </w:r>
          </w:p>
        </w:tc>
        <w:tc>
          <w:tcPr>
            <w:tcBorders>
              <w:top w:color="00000a" w:space="0" w:sz="4" w:val="single"/>
              <w:bottom w:color="00000a" w:space="0" w:sz="4" w:val="single"/>
            </w:tcBorders>
            <w:shd w:fill="auto" w:val="clear"/>
          </w:tcPr>
          <w:p w:rsidR="00000000" w:rsidDel="00000000" w:rsidP="00000000" w:rsidRDefault="00000000" w:rsidRPr="00000000" w14:paraId="000000B4">
            <w:pPr>
              <w:widowControl w:val="1"/>
              <w:spacing w:after="0" w:lineRule="auto"/>
              <w:ind w:firstLine="0"/>
              <w:rPr/>
            </w:pPr>
            <w:r w:rsidDel="00000000" w:rsidR="00000000" w:rsidRPr="00000000">
              <w:rPr>
                <w:rtl w:val="0"/>
              </w:rPr>
              <w:t xml:space="preserve">31</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B5">
            <w:pPr>
              <w:widowControl w:val="1"/>
              <w:spacing w:after="0" w:lineRule="auto"/>
              <w:ind w:firstLine="0"/>
              <w:rPr/>
            </w:pPr>
            <w:r w:rsidDel="00000000" w:rsidR="00000000" w:rsidRPr="00000000">
              <w:rPr>
                <w:rtl w:val="0"/>
              </w:rPr>
              <w:t xml:space="preserve">0,7013</w:t>
            </w:r>
          </w:p>
        </w:tc>
        <w:tc>
          <w:tcPr>
            <w:tcBorders>
              <w:top w:color="00000a" w:space="0" w:sz="4" w:val="single"/>
              <w:bottom w:color="00000a" w:space="0" w:sz="4" w:val="single"/>
            </w:tcBorders>
            <w:shd w:fill="auto" w:val="clear"/>
          </w:tcPr>
          <w:p w:rsidR="00000000" w:rsidDel="00000000" w:rsidP="00000000" w:rsidRDefault="00000000" w:rsidRPr="00000000" w14:paraId="000000B6">
            <w:pPr>
              <w:widowControl w:val="1"/>
              <w:spacing w:after="0" w:lineRule="auto"/>
              <w:ind w:firstLine="0"/>
              <w:rPr/>
            </w:pPr>
            <w:r w:rsidDel="00000000" w:rsidR="00000000" w:rsidRPr="00000000">
              <w:rPr>
                <w:rtl w:val="0"/>
              </w:rPr>
              <w:t xml:space="preserve">10</w:t>
            </w:r>
          </w:p>
        </w:tc>
        <w:tc>
          <w:tcPr>
            <w:tcBorders>
              <w:top w:color="00000a" w:space="0" w:sz="4" w:val="single"/>
              <w:bottom w:color="00000a" w:space="0" w:sz="4" w:val="single"/>
            </w:tcBorders>
            <w:shd w:fill="auto" w:val="clear"/>
          </w:tcPr>
          <w:p w:rsidR="00000000" w:rsidDel="00000000" w:rsidP="00000000" w:rsidRDefault="00000000" w:rsidRPr="00000000" w14:paraId="000000B7">
            <w:pPr>
              <w:widowControl w:val="1"/>
              <w:spacing w:after="0" w:lineRule="auto"/>
              <w:ind w:firstLine="0"/>
              <w:rPr/>
            </w:pPr>
            <w:r w:rsidDel="00000000" w:rsidR="00000000" w:rsidRPr="00000000">
              <w:rPr>
                <w:rtl w:val="0"/>
              </w:rPr>
              <w:t xml:space="preserve">4</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B8">
            <w:pPr>
              <w:widowControl w:val="1"/>
              <w:spacing w:after="0" w:lineRule="auto"/>
              <w:ind w:firstLine="0"/>
              <w:rPr/>
            </w:pPr>
            <w:r w:rsidDel="00000000" w:rsidR="00000000" w:rsidRPr="00000000">
              <w:rPr>
                <w:rtl w:val="0"/>
              </w:rPr>
              <w:t xml:space="preserve">0,3047</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B9">
            <w:pPr>
              <w:spacing w:after="0" w:lineRule="auto"/>
              <w:ind w:firstLine="0"/>
              <w:rPr/>
            </w:pPr>
            <w:r w:rsidDel="00000000" w:rsidR="00000000" w:rsidRPr="00000000">
              <w:rPr>
                <w:rtl w:val="0"/>
              </w:rPr>
              <w:t xml:space="preserve">Pouco </w:t>
            </w:r>
          </w:p>
        </w:tc>
        <w:tc>
          <w:tcPr>
            <w:tcBorders>
              <w:top w:color="00000a" w:space="0" w:sz="4" w:val="single"/>
              <w:bottom w:color="00000a" w:space="0" w:sz="4" w:val="single"/>
            </w:tcBorders>
            <w:shd w:fill="auto" w:val="clear"/>
          </w:tcPr>
          <w:p w:rsidR="00000000" w:rsidDel="00000000" w:rsidP="00000000" w:rsidRDefault="00000000" w:rsidRPr="00000000" w14:paraId="000000BA">
            <w:pPr>
              <w:widowControl w:val="1"/>
              <w:spacing w:after="0" w:lineRule="auto"/>
              <w:ind w:firstLine="0"/>
              <w:rPr/>
            </w:pPr>
            <w:r w:rsidDel="00000000" w:rsidR="00000000" w:rsidRPr="00000000">
              <w:rPr>
                <w:rtl w:val="0"/>
              </w:rPr>
              <w:t xml:space="preserve">5</w:t>
            </w:r>
          </w:p>
        </w:tc>
        <w:tc>
          <w:tcPr>
            <w:tcBorders>
              <w:top w:color="00000a" w:space="0" w:sz="4" w:val="single"/>
              <w:bottom w:color="00000a" w:space="0" w:sz="4" w:val="single"/>
            </w:tcBorders>
            <w:shd w:fill="auto" w:val="clear"/>
          </w:tcPr>
          <w:p w:rsidR="00000000" w:rsidDel="00000000" w:rsidP="00000000" w:rsidRDefault="00000000" w:rsidRPr="00000000" w14:paraId="000000BB">
            <w:pPr>
              <w:widowControl w:val="1"/>
              <w:spacing w:after="0" w:lineRule="auto"/>
              <w:ind w:firstLine="0"/>
              <w:rPr/>
            </w:pPr>
            <w:r w:rsidDel="00000000" w:rsidR="00000000" w:rsidRPr="00000000">
              <w:rPr>
                <w:rtl w:val="0"/>
              </w:rPr>
              <w:t xml:space="preserve">14</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BC">
            <w:pPr>
              <w:widowControl w:val="1"/>
              <w:spacing w:after="0" w:lineRule="auto"/>
              <w:ind w:firstLine="0"/>
              <w:rPr/>
            </w:pP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BD">
            <w:pPr>
              <w:widowControl w:val="1"/>
              <w:spacing w:after="0" w:lineRule="auto"/>
              <w:ind w:firstLine="0"/>
              <w:rPr/>
            </w:pPr>
            <w:r w:rsidDel="00000000" w:rsidR="00000000" w:rsidRPr="00000000">
              <w:rPr>
                <w:rtl w:val="0"/>
              </w:rPr>
              <w:t xml:space="preserve">2</w:t>
            </w:r>
          </w:p>
        </w:tc>
        <w:tc>
          <w:tcPr>
            <w:tcBorders>
              <w:top w:color="00000a" w:space="0" w:sz="4" w:val="single"/>
              <w:bottom w:color="00000a" w:space="0" w:sz="4" w:val="single"/>
            </w:tcBorders>
            <w:shd w:fill="auto" w:val="clear"/>
          </w:tcPr>
          <w:p w:rsidR="00000000" w:rsidDel="00000000" w:rsidP="00000000" w:rsidRDefault="00000000" w:rsidRPr="00000000" w14:paraId="000000BE">
            <w:pPr>
              <w:widowControl w:val="1"/>
              <w:spacing w:after="0" w:lineRule="auto"/>
              <w:ind w:firstLine="0"/>
              <w:rPr/>
            </w:pPr>
            <w:r w:rsidDel="00000000" w:rsidR="00000000" w:rsidRPr="00000000">
              <w:rPr>
                <w:rtl w:val="0"/>
              </w:rPr>
              <w:t xml:space="preserve">3</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BF">
            <w:pPr>
              <w:widowControl w:val="1"/>
              <w:spacing w:after="0" w:lineRule="auto"/>
              <w:ind w:firstLine="0"/>
              <w:rPr/>
            </w:pPr>
            <w:r w:rsidDel="00000000" w:rsidR="00000000" w:rsidRPr="00000000">
              <w:rPr>
                <w:rtl w:val="0"/>
              </w:rPr>
            </w:r>
          </w:p>
        </w:tc>
      </w:tr>
    </w:tbl>
    <w:p w:rsidR="00000000" w:rsidDel="00000000" w:rsidP="00000000" w:rsidRDefault="00000000" w:rsidRPr="00000000" w14:paraId="000000C0">
      <w:pPr>
        <w:spacing w:after="0" w:line="360" w:lineRule="auto"/>
        <w:ind w:firstLine="0"/>
        <w:jc w:val="center"/>
        <w:rPr>
          <w:color w:val="000000"/>
        </w:rPr>
      </w:pPr>
      <w:r w:rsidDel="00000000" w:rsidR="00000000" w:rsidRPr="00000000">
        <w:rPr>
          <w:sz w:val="20"/>
          <w:szCs w:val="20"/>
          <w:highlight w:val="white"/>
          <w:rtl w:val="0"/>
        </w:rPr>
        <w:t xml:space="preserve">Fonte: Elaborado pelos integrantes da pesquisa. </w:t>
      </w:r>
      <w:r w:rsidDel="00000000" w:rsidR="00000000" w:rsidRPr="00000000">
        <w:rPr>
          <w:rtl w:val="0"/>
        </w:rPr>
      </w:r>
    </w:p>
    <w:p w:rsidR="00000000" w:rsidDel="00000000" w:rsidP="00000000" w:rsidRDefault="00000000" w:rsidRPr="00000000" w14:paraId="000000C1">
      <w:pPr>
        <w:widowControl w:val="1"/>
        <w:spacing w:after="0" w:lineRule="auto"/>
        <w:ind w:firstLine="708"/>
        <w:rPr>
          <w:color w:val="000000"/>
        </w:rPr>
      </w:pPr>
      <w:r w:rsidDel="00000000" w:rsidR="00000000" w:rsidRPr="00000000">
        <w:rPr>
          <w:rtl w:val="0"/>
        </w:rPr>
      </w:r>
    </w:p>
    <w:p w:rsidR="00000000" w:rsidDel="00000000" w:rsidP="00000000" w:rsidRDefault="00000000" w:rsidRPr="00000000" w14:paraId="000000C2">
      <w:pPr>
        <w:widowControl w:val="1"/>
        <w:spacing w:after="120" w:line="360" w:lineRule="auto"/>
        <w:ind w:left="0" w:firstLine="708.6614173228347"/>
        <w:rPr>
          <w:color w:val="000000"/>
        </w:rPr>
      </w:pPr>
      <w:r w:rsidDel="00000000" w:rsidR="00000000" w:rsidRPr="00000000">
        <w:rPr>
          <w:color w:val="000000"/>
          <w:rtl w:val="0"/>
        </w:rPr>
        <w:t xml:space="preserve">O ciclo biológico do EBV tem duas etapas, denominadas ciclos lítico e latente. Grande parte das neoplasias malignas associadas ao EBV estão associadas ao ciclo latente, o qual é deflagrado logo após a infecção celular, com poucos genes expressos, de modo a favorecer a manutenção do DNA viral na forma epissomal. São descritos 3 padrões principais de expressão gênica no ciclo latente do EBV, denominados latências tipo I, II e III  (ELGUI DE OLIVEIRA, 2016). </w:t>
      </w:r>
    </w:p>
    <w:p w:rsidR="00000000" w:rsidDel="00000000" w:rsidP="00000000" w:rsidRDefault="00000000" w:rsidRPr="00000000" w14:paraId="000000C3">
      <w:pPr>
        <w:widowControl w:val="1"/>
        <w:spacing w:after="120" w:line="360" w:lineRule="auto"/>
        <w:ind w:left="0" w:firstLine="708.6614173228347"/>
        <w:rPr>
          <w:highlight w:val="white"/>
        </w:rPr>
      </w:pPr>
      <w:r w:rsidDel="00000000" w:rsidR="00000000" w:rsidRPr="00000000">
        <w:rPr>
          <w:color w:val="000000"/>
          <w:rtl w:val="0"/>
        </w:rPr>
        <w:t xml:space="preserve">Dentre os oncogenes latentes do EBV, o </w:t>
      </w:r>
      <w:r w:rsidDel="00000000" w:rsidR="00000000" w:rsidRPr="00000000">
        <w:rPr>
          <w:i w:val="1"/>
          <w:color w:val="000000"/>
          <w:rtl w:val="0"/>
        </w:rPr>
        <w:t xml:space="preserve">BNLF1</w:t>
      </w:r>
      <w:r w:rsidDel="00000000" w:rsidR="00000000" w:rsidRPr="00000000">
        <w:rPr>
          <w:color w:val="000000"/>
          <w:rtl w:val="0"/>
        </w:rPr>
        <w:t xml:space="preserve"> codifica a proteína LMP1, que apresenta mimetismo com receptores da família do fator de necrose tumoral (TNFR) podendo ativar vias transcricionais fundamentais como NFκB, JNK e p38 (DE LIMA </w:t>
      </w:r>
      <w:r w:rsidDel="00000000" w:rsidR="00000000" w:rsidRPr="00000000">
        <w:rPr>
          <w:i w:val="1"/>
          <w:color w:val="000000"/>
          <w:rtl w:val="0"/>
        </w:rPr>
        <w:t xml:space="preserve">et al</w:t>
      </w:r>
      <w:r w:rsidDel="00000000" w:rsidR="00000000" w:rsidRPr="00000000">
        <w:rPr>
          <w:color w:val="000000"/>
          <w:rtl w:val="0"/>
        </w:rPr>
        <w:t xml:space="preserve">., 2010; KANG e KIEFF, 2015; SCHLEE </w:t>
      </w:r>
      <w:r w:rsidDel="00000000" w:rsidR="00000000" w:rsidRPr="00000000">
        <w:rPr>
          <w:i w:val="1"/>
          <w:color w:val="000000"/>
          <w:rtl w:val="0"/>
        </w:rPr>
        <w:t xml:space="preserve">et al</w:t>
      </w:r>
      <w:r w:rsidDel="00000000" w:rsidR="00000000" w:rsidRPr="00000000">
        <w:rPr>
          <w:color w:val="000000"/>
          <w:rtl w:val="0"/>
        </w:rPr>
        <w:t xml:space="preserve">., 2004). Todos esses mecanismos induzidos pela LMP1, provavelmente </w:t>
      </w:r>
      <w:r w:rsidDel="00000000" w:rsidR="00000000" w:rsidRPr="00000000">
        <w:rPr>
          <w:color w:val="000000"/>
          <w:rtl w:val="0"/>
        </w:rPr>
        <w:t xml:space="preserve">promovem transformação</w:t>
      </w:r>
      <w:r w:rsidDel="00000000" w:rsidR="00000000" w:rsidRPr="00000000">
        <w:rPr>
          <w:color w:val="000000"/>
          <w:rtl w:val="0"/>
        </w:rPr>
        <w:t xml:space="preserve"> celular, favorecendo a tumorigênese, quando há expressão do seu respectivo gene. Além disso, podem ocorrer ainda polimorfismos nesse gene latente </w:t>
      </w:r>
      <w:r w:rsidDel="00000000" w:rsidR="00000000" w:rsidRPr="00000000">
        <w:rPr>
          <w:i w:val="1"/>
          <w:color w:val="000000"/>
          <w:rtl w:val="0"/>
        </w:rPr>
        <w:t xml:space="preserve">LMP1</w:t>
      </w:r>
      <w:r w:rsidDel="00000000" w:rsidR="00000000" w:rsidRPr="00000000">
        <w:rPr>
          <w:color w:val="000000"/>
          <w:rtl w:val="0"/>
        </w:rPr>
        <w:t xml:space="preserve">, ocasionando a deleção de 30 pb, a qual tem indicado maior potencial oncogênico das variantes com essa alteração na sequência genética (CHANG, </w:t>
      </w:r>
      <w:r w:rsidDel="00000000" w:rsidR="00000000" w:rsidRPr="00000000">
        <w:rPr>
          <w:i w:val="1"/>
          <w:color w:val="000000"/>
          <w:rtl w:val="0"/>
        </w:rPr>
        <w:t xml:space="preserve">et al., </w:t>
      </w:r>
      <w:r w:rsidDel="00000000" w:rsidR="00000000" w:rsidRPr="00000000">
        <w:rPr>
          <w:color w:val="000000"/>
          <w:rtl w:val="0"/>
        </w:rPr>
        <w:t xml:space="preserve">2009;</w:t>
      </w:r>
      <w:r w:rsidDel="00000000" w:rsidR="00000000" w:rsidRPr="00000000">
        <w:rPr>
          <w:i w:val="1"/>
          <w:color w:val="000000"/>
          <w:rtl w:val="0"/>
        </w:rPr>
        <w:t xml:space="preserve"> </w:t>
      </w:r>
      <w:r w:rsidDel="00000000" w:rsidR="00000000" w:rsidRPr="00000000">
        <w:rPr>
          <w:color w:val="000000"/>
          <w:rtl w:val="0"/>
        </w:rPr>
        <w:t xml:space="preserve">DA COSTA; MARQUES-SILVA; MORELI, 2015; KNECHT </w:t>
      </w:r>
      <w:r w:rsidDel="00000000" w:rsidR="00000000" w:rsidRPr="00000000">
        <w:rPr>
          <w:i w:val="1"/>
          <w:color w:val="000000"/>
          <w:rtl w:val="0"/>
        </w:rPr>
        <w:t xml:space="preserve">et al., </w:t>
      </w:r>
      <w:r w:rsidDel="00000000" w:rsidR="00000000" w:rsidRPr="00000000">
        <w:rPr>
          <w:color w:val="000000"/>
          <w:rtl w:val="0"/>
        </w:rPr>
        <w:t xml:space="preserve">1997). </w:t>
      </w:r>
      <w:r w:rsidDel="00000000" w:rsidR="00000000" w:rsidRPr="00000000">
        <w:rPr>
          <w:rtl w:val="0"/>
        </w:rPr>
      </w:r>
    </w:p>
    <w:p w:rsidR="00000000" w:rsidDel="00000000" w:rsidP="00000000" w:rsidRDefault="00000000" w:rsidRPr="00000000" w14:paraId="000000C4">
      <w:pPr>
        <w:widowControl w:val="1"/>
        <w:spacing w:after="120" w:line="360" w:lineRule="auto"/>
        <w:ind w:left="0" w:firstLine="708.6614173228347"/>
        <w:rPr>
          <w:highlight w:val="white"/>
        </w:rPr>
      </w:pPr>
      <w:r w:rsidDel="00000000" w:rsidR="00000000" w:rsidRPr="00000000">
        <w:rPr>
          <w:highlight w:val="white"/>
          <w:rtl w:val="0"/>
        </w:rPr>
        <w:t xml:space="preserve">Nos estudos de  Higa </w:t>
      </w:r>
      <w:r w:rsidDel="00000000" w:rsidR="00000000" w:rsidRPr="00000000">
        <w:rPr>
          <w:i w:val="1"/>
          <w:highlight w:val="white"/>
          <w:rtl w:val="0"/>
        </w:rPr>
        <w:t xml:space="preserve">et al</w:t>
      </w:r>
      <w:r w:rsidDel="00000000" w:rsidR="00000000" w:rsidRPr="00000000">
        <w:rPr>
          <w:highlight w:val="white"/>
          <w:rtl w:val="0"/>
        </w:rPr>
        <w:t xml:space="preserve">. (2002, 2003) também foi evidenciada a presença da variante de deleção de 30 pb em amostras de </w:t>
      </w:r>
      <w:r w:rsidDel="00000000" w:rsidR="00000000" w:rsidRPr="00000000">
        <w:rPr>
          <w:rtl w:val="0"/>
        </w:rPr>
        <w:t xml:space="preserve">carcinoma oral</w:t>
      </w:r>
      <w:r w:rsidDel="00000000" w:rsidR="00000000" w:rsidRPr="00000000">
        <w:rPr>
          <w:highlight w:val="white"/>
          <w:rtl w:val="0"/>
        </w:rPr>
        <w:t xml:space="preserve"> de células escamosas originárias da ilha de Okinawa. No entanto, apesar da maior prevalência desta mutação dentro da população analisada, os estudos não apontaram nenhuma associação com implicações prognósticas ou outros dados clínico-patológicos da cepa variante de LMP1 nos carcinomas, semelhantemente aos resultados apresentados. Vale ressaltar ainda que, embora o presente estudo não tenha demonstrado correlação, há evidências do maior potencial carcinogênico</w:t>
      </w:r>
      <w:r w:rsidDel="00000000" w:rsidR="00000000" w:rsidRPr="00000000">
        <w:rPr>
          <w:i w:val="1"/>
          <w:highlight w:val="white"/>
          <w:rtl w:val="0"/>
        </w:rPr>
        <w:t xml:space="preserve"> in vivo </w:t>
      </w:r>
      <w:r w:rsidDel="00000000" w:rsidR="00000000" w:rsidRPr="00000000">
        <w:rPr>
          <w:color w:val="000000"/>
          <w:rtl w:val="0"/>
        </w:rPr>
        <w:t xml:space="preserve">(CHANG, </w:t>
      </w:r>
      <w:r w:rsidDel="00000000" w:rsidR="00000000" w:rsidRPr="00000000">
        <w:rPr>
          <w:i w:val="1"/>
          <w:color w:val="000000"/>
          <w:rtl w:val="0"/>
        </w:rPr>
        <w:t xml:space="preserve">et al., </w:t>
      </w:r>
      <w:r w:rsidDel="00000000" w:rsidR="00000000" w:rsidRPr="00000000">
        <w:rPr>
          <w:color w:val="000000"/>
          <w:rtl w:val="0"/>
        </w:rPr>
        <w:t xml:space="preserve">2009)</w:t>
      </w:r>
      <w:r w:rsidDel="00000000" w:rsidR="00000000" w:rsidRPr="00000000">
        <w:rPr>
          <w:highlight w:val="white"/>
          <w:rtl w:val="0"/>
        </w:rPr>
        <w:t xml:space="preserve"> e também </w:t>
      </w:r>
      <w:r w:rsidDel="00000000" w:rsidR="00000000" w:rsidRPr="00000000">
        <w:rPr>
          <w:i w:val="1"/>
          <w:highlight w:val="white"/>
          <w:rtl w:val="0"/>
        </w:rPr>
        <w:t xml:space="preserve">in vitro</w:t>
      </w:r>
      <w:r w:rsidDel="00000000" w:rsidR="00000000" w:rsidRPr="00000000">
        <w:rPr>
          <w:highlight w:val="white"/>
          <w:rtl w:val="0"/>
        </w:rPr>
        <w:t xml:space="preserve"> (HU </w:t>
      </w:r>
      <w:r w:rsidDel="00000000" w:rsidR="00000000" w:rsidRPr="00000000">
        <w:rPr>
          <w:i w:val="1"/>
          <w:highlight w:val="white"/>
          <w:rtl w:val="0"/>
        </w:rPr>
        <w:t xml:space="preserve">et al</w:t>
      </w:r>
      <w:r w:rsidDel="00000000" w:rsidR="00000000" w:rsidRPr="00000000">
        <w:rPr>
          <w:highlight w:val="white"/>
          <w:rtl w:val="0"/>
        </w:rPr>
        <w:t xml:space="preserve">., 1993) em outras pesquisas realizadas previamente.</w:t>
      </w:r>
    </w:p>
    <w:p w:rsidR="00000000" w:rsidDel="00000000" w:rsidP="00000000" w:rsidRDefault="00000000" w:rsidRPr="00000000" w14:paraId="000000C5">
      <w:pPr>
        <w:widowControl w:val="1"/>
        <w:spacing w:after="120" w:line="360" w:lineRule="auto"/>
        <w:ind w:left="0" w:firstLine="708.6614173228347"/>
        <w:rPr>
          <w:color w:val="000000"/>
        </w:rPr>
      </w:pPr>
      <w:r w:rsidDel="00000000" w:rsidR="00000000" w:rsidRPr="00000000">
        <w:rPr>
          <w:color w:val="000000"/>
          <w:rtl w:val="0"/>
        </w:rPr>
        <w:t xml:space="preserve">Conforme mencionado, a maioria dos casos foram PCR-EBV negativos. Essa diferença em relação ao resultado de estudos anteriores pode ser decorrente de peculiaridades da população estudada, seja do ponto de vista étnico, ou mesmo, de circulação da cepas numa dada população, de uma região ou continente. Há, ainda, a possibilidade de ocorrência do mecanismo “Hit and Run”, em que há aquisição transitória do genoma viral completo ou incompleto, favorecendo uma alteração no padrão de expressão gênica da célula hospedeira e induzindo modificações celulares pró-oncogênicas que serão passadas para as células-filhas. Após esse momento de iniciação na célula hospedeira, os genomas dos vírus tumorigênicos podem ser perdidos, de forma tal que em um cenário de “</w:t>
      </w:r>
      <w:r w:rsidDel="00000000" w:rsidR="00000000" w:rsidRPr="00000000">
        <w:rPr>
          <w:i w:val="1"/>
          <w:color w:val="000000"/>
          <w:rtl w:val="0"/>
        </w:rPr>
        <w:t xml:space="preserve">Hit and Run</w:t>
      </w:r>
      <w:r w:rsidDel="00000000" w:rsidR="00000000" w:rsidRPr="00000000">
        <w:rPr>
          <w:color w:val="000000"/>
          <w:rtl w:val="0"/>
        </w:rPr>
        <w:t xml:space="preserve">” eles não são necessários para a manutenção do estado maligno (</w:t>
      </w:r>
      <w:r w:rsidDel="00000000" w:rsidR="00000000" w:rsidRPr="00000000">
        <w:rPr>
          <w:color w:val="000000"/>
          <w:rtl w:val="0"/>
        </w:rPr>
        <w:t xml:space="preserve">NILLER</w:t>
      </w:r>
      <w:r w:rsidDel="00000000" w:rsidR="00000000" w:rsidRPr="00000000">
        <w:rPr>
          <w:color w:val="000000"/>
          <w:rtl w:val="0"/>
        </w:rPr>
        <w:t xml:space="preserve"> e </w:t>
      </w:r>
      <w:r w:rsidDel="00000000" w:rsidR="00000000" w:rsidRPr="00000000">
        <w:rPr>
          <w:color w:val="000000"/>
          <w:rtl w:val="0"/>
        </w:rPr>
        <w:t xml:space="preserve">MINAROVITS</w:t>
      </w:r>
      <w:r w:rsidDel="00000000" w:rsidR="00000000" w:rsidRPr="00000000">
        <w:rPr>
          <w:color w:val="000000"/>
          <w:rtl w:val="0"/>
        </w:rPr>
        <w:t xml:space="preserve">, 2011). </w:t>
      </w:r>
    </w:p>
    <w:p w:rsidR="00000000" w:rsidDel="00000000" w:rsidP="00000000" w:rsidRDefault="00000000" w:rsidRPr="00000000" w14:paraId="000000C6">
      <w:pPr>
        <w:widowControl w:val="1"/>
        <w:spacing w:after="120" w:line="360" w:lineRule="auto"/>
        <w:ind w:left="0" w:firstLine="708.6614173228347"/>
        <w:rPr>
          <w:color w:val="000000"/>
          <w:highlight w:val="white"/>
        </w:rPr>
      </w:pPr>
      <w:r w:rsidDel="00000000" w:rsidR="00000000" w:rsidRPr="00000000">
        <w:rPr>
          <w:color w:val="000000"/>
          <w:rtl w:val="0"/>
        </w:rPr>
        <w:t xml:space="preserve">Além disso, a maioria dos resultados positivos assinalaram a presença da cepa de deleção de 30 pb em que há maior potencial oncogênico, sinalizando um possível risco de maior agressividade na progressão maligna da população analisada. Permanece a questão de saber se e como as expressões do EBV interagem, e mais estudos serão necessários para entender melhor as interações entre HPV e EBV.</w:t>
      </w:r>
      <w:r w:rsidDel="00000000" w:rsidR="00000000" w:rsidRPr="00000000">
        <w:rPr>
          <w:rtl w:val="0"/>
        </w:rPr>
      </w:r>
    </w:p>
    <w:p w:rsidR="00000000" w:rsidDel="00000000" w:rsidP="00000000" w:rsidRDefault="00000000" w:rsidRPr="00000000" w14:paraId="000000C7">
      <w:pPr>
        <w:widowControl w:val="1"/>
        <w:spacing w:after="0" w:lineRule="auto"/>
        <w:ind w:firstLine="708"/>
        <w:rPr>
          <w:highlight w:val="white"/>
        </w:rPr>
      </w:pPr>
      <w:r w:rsidDel="00000000" w:rsidR="00000000" w:rsidRPr="00000000">
        <w:rPr>
          <w:rtl w:val="0"/>
        </w:rPr>
      </w:r>
    </w:p>
    <w:p w:rsidR="00000000" w:rsidDel="00000000" w:rsidP="00000000" w:rsidRDefault="00000000" w:rsidRPr="00000000" w14:paraId="000000C8">
      <w:pPr>
        <w:widowControl w:val="1"/>
        <w:spacing w:after="120" w:line="300" w:lineRule="auto"/>
        <w:ind w:firstLine="0"/>
        <w:rPr>
          <w:b w:val="1"/>
          <w:color w:val="000000"/>
        </w:rPr>
      </w:pPr>
      <w:r w:rsidDel="00000000" w:rsidR="00000000" w:rsidRPr="00000000">
        <w:rPr>
          <w:b w:val="1"/>
          <w:color w:val="000000"/>
          <w:rtl w:val="0"/>
        </w:rPr>
        <w:t xml:space="preserve">5 CONCLUSÕES</w:t>
      </w:r>
    </w:p>
    <w:p w:rsidR="00000000" w:rsidDel="00000000" w:rsidP="00000000" w:rsidRDefault="00000000" w:rsidRPr="00000000" w14:paraId="000000C9">
      <w:pPr>
        <w:widowControl w:val="1"/>
        <w:ind w:firstLine="0"/>
        <w:rPr>
          <w:b w:val="1"/>
          <w:color w:val="000000"/>
        </w:rPr>
      </w:pPr>
      <w:r w:rsidDel="00000000" w:rsidR="00000000" w:rsidRPr="00000000">
        <w:rPr>
          <w:rtl w:val="0"/>
        </w:rPr>
      </w:r>
    </w:p>
    <w:p w:rsidR="00000000" w:rsidDel="00000000" w:rsidP="00000000" w:rsidRDefault="00000000" w:rsidRPr="00000000" w14:paraId="000000CA">
      <w:pPr>
        <w:widowControl w:val="1"/>
        <w:spacing w:after="120" w:line="360" w:lineRule="auto"/>
        <w:ind w:left="0" w:firstLine="708.6614173228347"/>
        <w:rPr>
          <w:color w:val="000000"/>
        </w:rPr>
      </w:pPr>
      <w:r w:rsidDel="00000000" w:rsidR="00000000" w:rsidRPr="00000000">
        <w:rPr>
          <w:color w:val="000000"/>
          <w:rtl w:val="0"/>
        </w:rPr>
        <w:t xml:space="preserve">Os achados gerais acerca de tabagismo, bem como menarca e coitarca precoces reforçam a relevância destes fatores de risco para a carcinogênese cervical. Quanto à detecção de EBV, a prevalência encontrada mostrou-se dentro da margem observada em diversos estudos no mundo, com quase um terço dos casos infectados. Destaque-se, ainda, que a maioria das cepas detectadas apresentaram a deleção de 30pb no gene </w:t>
      </w:r>
      <w:r w:rsidDel="00000000" w:rsidR="00000000" w:rsidRPr="00000000">
        <w:rPr>
          <w:i w:val="1"/>
          <w:color w:val="000000"/>
          <w:rtl w:val="0"/>
        </w:rPr>
        <w:t xml:space="preserve">LMP1</w:t>
      </w:r>
      <w:r w:rsidDel="00000000" w:rsidR="00000000" w:rsidRPr="00000000">
        <w:rPr>
          <w:color w:val="000000"/>
          <w:rtl w:val="0"/>
        </w:rPr>
        <w:t xml:space="preserve">, indicando que tal variante predomina na população em questão. Salvo melhor juízo, este representa o primeiro estudo a analisar a ocorrência da referida deleção em amostras de mulheres brasileiras. Embora tal mutação no gene viral </w:t>
      </w:r>
      <w:r w:rsidDel="00000000" w:rsidR="00000000" w:rsidRPr="00000000">
        <w:rPr>
          <w:i w:val="1"/>
          <w:color w:val="000000"/>
          <w:rtl w:val="0"/>
        </w:rPr>
        <w:t xml:space="preserve">LMP1</w:t>
      </w:r>
      <w:r w:rsidDel="00000000" w:rsidR="00000000" w:rsidRPr="00000000">
        <w:rPr>
          <w:color w:val="000000"/>
          <w:rtl w:val="0"/>
        </w:rPr>
        <w:t xml:space="preserve"> tenha sido associada a cepas mais virulentas de EBV, no presente estudo as análises com estadiamento e grau de diferenciação tumoral não revelaram resultados estatisticamente significativos. Novas pesquisas com ênfase em estudos de sobrevida e do tipo caso-controle, com amostras maiores, e investigando a expressão de oncogenes virais, bem como outras mutações/polimorfismos virais, podem trazer grandes avanços na compreensão do real papel do EBV em lesões cervicais. Por fim, esse estudo contribui de maneira para a melhoria do rastreio de mulheres em situação de risco para o câncer de colo de útero, além de ser uma ferramenta importante para aliar metodologias interventivas a fim de melhorar a qualidade de vida das mulheres do Ceará e reduzir fatores que aumentam a probabilidade do desenvolvimento desta neoplasia.</w:t>
      </w:r>
    </w:p>
    <w:p w:rsidR="00000000" w:rsidDel="00000000" w:rsidP="00000000" w:rsidRDefault="00000000" w:rsidRPr="00000000" w14:paraId="000000CB">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CC">
      <w:pPr>
        <w:spacing w:line="300" w:lineRule="auto"/>
        <w:ind w:firstLine="0"/>
        <w:rPr>
          <w:b w:val="1"/>
        </w:rPr>
      </w:pPr>
      <w:r w:rsidDel="00000000" w:rsidR="00000000" w:rsidRPr="00000000">
        <w:rPr>
          <w:b w:val="1"/>
          <w:rtl w:val="0"/>
        </w:rPr>
        <w:t xml:space="preserve">6. AGRADECIMENTOS </w:t>
      </w:r>
    </w:p>
    <w:p w:rsidR="00000000" w:rsidDel="00000000" w:rsidP="00000000" w:rsidRDefault="00000000" w:rsidRPr="00000000" w14:paraId="000000CD">
      <w:pPr>
        <w:spacing w:line="300" w:lineRule="auto"/>
        <w:ind w:firstLine="0"/>
        <w:rPr>
          <w:b w:val="1"/>
        </w:rPr>
      </w:pPr>
      <w:r w:rsidDel="00000000" w:rsidR="00000000" w:rsidRPr="00000000">
        <w:rPr>
          <w:rtl w:val="0"/>
        </w:rPr>
      </w:r>
    </w:p>
    <w:p w:rsidR="00000000" w:rsidDel="00000000" w:rsidP="00000000" w:rsidRDefault="00000000" w:rsidRPr="00000000" w14:paraId="000000CE">
      <w:pPr>
        <w:spacing w:line="360" w:lineRule="auto"/>
        <w:ind w:left="0" w:firstLine="708.6614173228347"/>
        <w:rPr>
          <w:color w:val="212121"/>
          <w:highlight w:val="white"/>
        </w:rPr>
      </w:pPr>
      <w:r w:rsidDel="00000000" w:rsidR="00000000" w:rsidRPr="00000000">
        <w:rPr>
          <w:color w:val="212121"/>
          <w:highlight w:val="white"/>
          <w:rtl w:val="0"/>
        </w:rPr>
        <w:t xml:space="preserve">Este trabalho foi apoiado pela Fundação Cearense de Apoio ao Desenvolvimento Científico e Tecnológico - FUNCAP, através do edital BPI 02/2020, bem como pela PRPI/UFCA através do edital N° 05/2021/PRPI – Apoio a Projetos de Pesquisa - </w:t>
      </w:r>
      <w:r w:rsidDel="00000000" w:rsidR="00000000" w:rsidRPr="00000000">
        <w:rPr>
          <w:color w:val="212121"/>
          <w:highlight w:val="white"/>
          <w:rtl w:val="0"/>
        </w:rPr>
        <w:t xml:space="preserve">Custeio</w:t>
      </w:r>
      <w:r w:rsidDel="00000000" w:rsidR="00000000" w:rsidRPr="00000000">
        <w:rPr>
          <w:color w:val="212121"/>
          <w:highlight w:val="white"/>
          <w:rtl w:val="0"/>
        </w:rPr>
        <w:t xml:space="preserve">.</w:t>
      </w:r>
    </w:p>
    <w:p w:rsidR="00000000" w:rsidDel="00000000" w:rsidP="00000000" w:rsidRDefault="00000000" w:rsidRPr="00000000" w14:paraId="000000CF">
      <w:pPr>
        <w:spacing w:line="360" w:lineRule="auto"/>
        <w:ind w:firstLine="0"/>
        <w:rPr>
          <w:color w:val="212121"/>
          <w:highlight w:val="white"/>
        </w:rPr>
      </w:pPr>
      <w:r w:rsidDel="00000000" w:rsidR="00000000" w:rsidRPr="00000000">
        <w:rPr>
          <w:rtl w:val="0"/>
        </w:rPr>
      </w:r>
    </w:p>
    <w:p w:rsidR="00000000" w:rsidDel="00000000" w:rsidP="00000000" w:rsidRDefault="00000000" w:rsidRPr="00000000" w14:paraId="000000D0">
      <w:pPr>
        <w:widowControl w:val="1"/>
        <w:spacing w:after="0" w:line="360" w:lineRule="auto"/>
        <w:ind w:firstLine="0"/>
        <w:jc w:val="center"/>
        <w:rPr>
          <w:b w:val="1"/>
          <w:color w:val="000000"/>
          <w:highlight w:val="white"/>
        </w:rPr>
      </w:pPr>
      <w:r w:rsidDel="00000000" w:rsidR="00000000" w:rsidRPr="00000000">
        <w:rPr>
          <w:b w:val="1"/>
          <w:color w:val="000000"/>
          <w:highlight w:val="white"/>
          <w:rtl w:val="0"/>
        </w:rPr>
        <w:t xml:space="preserve"> Referências</w:t>
      </w:r>
    </w:p>
    <w:p w:rsidR="00000000" w:rsidDel="00000000" w:rsidP="00000000" w:rsidRDefault="00000000" w:rsidRPr="00000000" w14:paraId="000000D1">
      <w:pPr>
        <w:widowControl w:val="1"/>
        <w:spacing w:after="0" w:line="360" w:lineRule="auto"/>
        <w:ind w:firstLine="0"/>
        <w:jc w:val="center"/>
        <w:rPr>
          <w:b w:val="1"/>
          <w:color w:val="000000"/>
          <w:highlight w:val="white"/>
        </w:rPr>
      </w:pPr>
      <w:r w:rsidDel="00000000" w:rsidR="00000000" w:rsidRPr="00000000">
        <w:rPr>
          <w:rtl w:val="0"/>
        </w:rPr>
      </w:r>
    </w:p>
    <w:p w:rsidR="00000000" w:rsidDel="00000000" w:rsidP="00000000" w:rsidRDefault="00000000" w:rsidRPr="00000000" w14:paraId="000000D2">
      <w:pPr>
        <w:widowControl w:val="1"/>
        <w:spacing w:after="0" w:lineRule="auto"/>
        <w:ind w:firstLine="0"/>
        <w:jc w:val="left"/>
        <w:rPr>
          <w:b w:val="1"/>
          <w:color w:val="000000"/>
          <w:highlight w:val="white"/>
        </w:rPr>
      </w:pPr>
      <w:r w:rsidDel="00000000" w:rsidR="00000000" w:rsidRPr="00000000">
        <w:rPr>
          <w:color w:val="000000"/>
          <w:highlight w:val="white"/>
          <w:rtl w:val="0"/>
        </w:rPr>
        <w:t xml:space="preserve">AGUAYO, Francisco </w:t>
      </w:r>
      <w:r w:rsidDel="00000000" w:rsidR="00000000" w:rsidRPr="00000000">
        <w:rPr>
          <w:i w:val="1"/>
          <w:color w:val="000000"/>
          <w:highlight w:val="white"/>
          <w:rtl w:val="0"/>
        </w:rPr>
        <w:t xml:space="preserve">et al</w:t>
      </w:r>
      <w:r w:rsidDel="00000000" w:rsidR="00000000" w:rsidRPr="00000000">
        <w:rPr>
          <w:color w:val="000000"/>
          <w:highlight w:val="white"/>
          <w:rtl w:val="0"/>
        </w:rPr>
        <w:t xml:space="preserve">. Interplay between Epstein-Barr virus infection and environmental xenobiotic exposure in cancer. </w:t>
      </w:r>
      <w:r w:rsidDel="00000000" w:rsidR="00000000" w:rsidRPr="00000000">
        <w:rPr>
          <w:b w:val="1"/>
          <w:color w:val="000000"/>
          <w:highlight w:val="white"/>
          <w:rtl w:val="0"/>
        </w:rPr>
        <w:t xml:space="preserve">Infectious Agents and Cancer</w:t>
      </w:r>
      <w:r w:rsidDel="00000000" w:rsidR="00000000" w:rsidRPr="00000000">
        <w:rPr>
          <w:color w:val="000000"/>
          <w:highlight w:val="white"/>
          <w:rtl w:val="0"/>
        </w:rPr>
        <w:t xml:space="preserve">, v. 16, p. 1-15, 2021. Disponível em: </w:t>
      </w:r>
      <w:hyperlink r:id="rId9">
        <w:r w:rsidDel="00000000" w:rsidR="00000000" w:rsidRPr="00000000">
          <w:rPr>
            <w:color w:val="1155cc"/>
            <w:highlight w:val="white"/>
            <w:u w:val="single"/>
            <w:rtl w:val="0"/>
          </w:rPr>
          <w:t xml:space="preserve">https://www.ncbi.nlm.nih.gov/pmc/articles/PMC8243497/</w:t>
        </w:r>
      </w:hyperlink>
      <w:r w:rsidDel="00000000" w:rsidR="00000000" w:rsidRPr="00000000">
        <w:rPr>
          <w:color w:val="000000"/>
          <w:highlight w:val="white"/>
          <w:rtl w:val="0"/>
        </w:rPr>
        <w:t xml:space="preserve">.  Acesso em: 19 jul 2023.</w:t>
      </w:r>
      <w:r w:rsidDel="00000000" w:rsidR="00000000" w:rsidRPr="00000000">
        <w:rPr>
          <w:rtl w:val="0"/>
        </w:rPr>
      </w:r>
    </w:p>
    <w:p w:rsidR="00000000" w:rsidDel="00000000" w:rsidP="00000000" w:rsidRDefault="00000000" w:rsidRPr="00000000" w14:paraId="000000D3">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AL-DARAJI, Wael I.; SMITH, John HF. Infection and cervical neoplasia: facts and fiction. International journal of clinical and experimental pathology, v. 2, n. 1, p. 48, 2009. Disponível em: https://www.ncbi.nlm.nih.gov/pmc/articles/PMC2491386/. Acesso em: 17 jul 2023.</w:t>
      </w:r>
    </w:p>
    <w:p w:rsidR="00000000" w:rsidDel="00000000" w:rsidP="00000000" w:rsidRDefault="00000000" w:rsidRPr="00000000" w14:paraId="000000D4">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AROMSEREE, Sirinart et al. High levels of EBV-Encoded RNA 1 (EBER1) trigger interferon and inflammation-related genes in keratinocytes expressing HPV16 E6/E7. PloS one, v. 12, n. 1, p. e0169290, 2017. Disponível em: https://www.ncbi.nlm.nih.gov/pmc/articles/PMC5215905/. Acesso em: 17 jul 2023.</w:t>
      </w:r>
    </w:p>
    <w:p w:rsidR="00000000" w:rsidDel="00000000" w:rsidP="00000000" w:rsidRDefault="00000000" w:rsidRPr="00000000" w14:paraId="000000D5">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CHAN, Chee Kai et al. Human papillomavirus infection and cervical cancer: epidemiology, screening, and vaccination—review of current perspectives. Journal of oncology, v. 2019, 2019. Disponível em: https://www.ncbi.nlm.nih.gov/pmc/articles/PMC6811952/. Acesso em:  18 jul 2022.</w:t>
      </w:r>
    </w:p>
    <w:p w:rsidR="00000000" w:rsidDel="00000000" w:rsidP="00000000" w:rsidRDefault="00000000" w:rsidRPr="00000000" w14:paraId="000000D6">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CHANG, Cindy M. et al. The extent of genetic diversity of Epstein-Barr virus and its geographic and disease patterns: a need for reappraisal. Virus research, v. 143, n. 2, p. 209-221, 2009. Disponível em: https://www.ncbi.nlm.nih.gov/pmc/articles/PMC2731007/. Acesso em: 19 jul 2023.</w:t>
      </w:r>
    </w:p>
    <w:p w:rsidR="00000000" w:rsidDel="00000000" w:rsidP="00000000" w:rsidRDefault="00000000" w:rsidRPr="00000000" w14:paraId="000000D7">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COHEN, Paul A. et al. Cervical cancer. The Lancet, v. 393, n. 10167, p. 169-182, 2019. Disponível em: https://www.thelancet.com/journals/lancet/article/PIIS0140-6736(18)32470-X/fulltext. Acesso em: 17 jul 2023.</w:t>
      </w:r>
    </w:p>
    <w:p w:rsidR="00000000" w:rsidDel="00000000" w:rsidP="00000000" w:rsidRDefault="00000000" w:rsidRPr="00000000" w14:paraId="000000D8">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DA COSTA, Vivaldo G.; MARQUES-SILVA, Ariany C.; MORELI, Marcos L. The Epstein-Barr virus latent membrane protein-1 (LMP1) 30-bp deletion and XhoI-polymorphism in nasopharyngeal carcinoma: a meta-analysis of observational studies. Systematic reviews, v. 4, p. 1-11, 2015. Disponível em: https://www.ncbi.nlm.nih.gov/pmc/articles/PMC4404015/. Acesso em: 19 jul 2023.</w:t>
      </w:r>
    </w:p>
    <w:p w:rsidR="00000000" w:rsidDel="00000000" w:rsidP="00000000" w:rsidRDefault="00000000" w:rsidRPr="00000000" w14:paraId="000000D9">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LIMA, M. A. P. et al. Role of the latent genes of Epstein-Barr virus in the oncogenesis. Revista de Ciências Médicas e Biológicas, v. 9, n. 2, p. 163-171, 2010. Disponível em: https://periodicos.ufba.br/index.php/cmbio/article/view/4952. Acesso em: 19 jul 2023.</w:t>
      </w:r>
    </w:p>
    <w:p w:rsidR="00000000" w:rsidDel="00000000" w:rsidP="00000000" w:rsidRDefault="00000000" w:rsidRPr="00000000" w14:paraId="000000DA">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LIMA, Marcos Antonio Pereira et al. Association between Epstein-Barr virus (EBV) and cervical carcinoma: A meta-analysis. Gynecologic oncology, v. 148, n. 2, p. 317-328, 2018. Disponível em: https://www.gynecologiconcology-online.net/article/S0090-8258(17)31366-5/fulltext. Acesso em: 17 jul 2023.</w:t>
      </w:r>
    </w:p>
    <w:p w:rsidR="00000000" w:rsidDel="00000000" w:rsidP="00000000" w:rsidRDefault="00000000" w:rsidRPr="00000000" w14:paraId="000000DB">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LIMA, Marcos Antonio Pereira et al. Role of Epstein-Barr virus and human papillomavirus coinfection in oral and anogenital carcinogenesis: Potential tumorigenic pathways. Critical Reviews™ in Oncogenesis, v. 24, n. 4, 2019. Disponível em: https://www.dl.begellhouse.com/journals/439f422d0783386a,7201abfe54b9dad8,10b0ce473555f927.html. Acesso em: 17 jul 2023</w:t>
      </w:r>
    </w:p>
    <w:p w:rsidR="00000000" w:rsidDel="00000000" w:rsidP="00000000" w:rsidRDefault="00000000" w:rsidRPr="00000000" w14:paraId="000000DC">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OLIVEIRA, Deilson Elgui; MÜLLER-COAN, Bárbara G.; PAGANO, Joseph S. Viral carcinogenesis beyond malignant transformation: EBV in the progression of human cancers. Trends in microbiology, v. 24, n. 8, p. 649-664, 2016. Disponível em: https://www.ncbi.nlm.nih.gov/pmc/articles/PMC5489061/.  Acesso em: 19 jul 2023.</w:t>
      </w:r>
    </w:p>
    <w:p w:rsidR="00000000" w:rsidDel="00000000" w:rsidP="00000000" w:rsidRDefault="00000000" w:rsidRPr="00000000" w14:paraId="000000DD">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HE, Jiang et al. Paradoxical effects of DNA tumor virus oncogenes on epithelium-derived tumor cell fate during tumor progression and chemotherapy response. Signal Transduction and Targeted Therapy, v. 6, n. 1, p. 408, 2021. Disponível em: https://www.ncbi.nlm.nih.gov/pmc/articles/PMC8626493/. Acesso em: 17 jul 2023.</w:t>
      </w:r>
    </w:p>
    <w:p w:rsidR="00000000" w:rsidDel="00000000" w:rsidP="00000000" w:rsidRDefault="00000000" w:rsidRPr="00000000" w14:paraId="000000DE">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HIGA, Mayumi et al. Epstein-Barr virus (EBV) subtype in EBV related oral squamous cell carcinoma in Okinawa, a subtropical island in southern Japan, compared with Kitakyushu and Kumamoto in mainland Japan. Journal of clinical pathology, v. 55, n. 6, p. 414-423, 2002. Disponível em: </w:t>
      </w:r>
      <w:hyperlink r:id="rId10">
        <w:r w:rsidDel="00000000" w:rsidR="00000000" w:rsidRPr="00000000">
          <w:rPr>
            <w:color w:val="1155cc"/>
            <w:highlight w:val="white"/>
            <w:u w:val="single"/>
            <w:rtl w:val="0"/>
          </w:rPr>
          <w:t xml:space="preserve">https://www.ncbi.nlm.nih.gov/pmc/articles/PMC1769665/</w:t>
        </w:r>
      </w:hyperlink>
      <w:r w:rsidDel="00000000" w:rsidR="00000000" w:rsidRPr="00000000">
        <w:rPr>
          <w:color w:val="000000"/>
          <w:highlight w:val="white"/>
          <w:rtl w:val="0"/>
        </w:rPr>
        <w:t xml:space="preserve">. Acesso em: 18 jul 2023. </w:t>
      </w:r>
    </w:p>
    <w:p w:rsidR="00000000" w:rsidDel="00000000" w:rsidP="00000000" w:rsidRDefault="00000000" w:rsidRPr="00000000" w14:paraId="000000DF">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HIGA, Mayumi et al. Epstein–Barr virus (EBV)-related oral squamous cell carcinoma in Okinawa, a subtropical island, in southern Japan—simultaneously infected with human papillomavirus (HPV). Oral oncology, v. 39, n. 4, p. 405-414, 2003. Disponível em: </w:t>
      </w:r>
      <w:hyperlink r:id="rId11">
        <w:r w:rsidDel="00000000" w:rsidR="00000000" w:rsidRPr="00000000">
          <w:rPr>
            <w:color w:val="1155cc"/>
            <w:highlight w:val="white"/>
            <w:u w:val="single"/>
            <w:rtl w:val="0"/>
          </w:rPr>
          <w:t xml:space="preserve">https://pubmed.ncbi.nlm.nih.gov/12676263/</w:t>
        </w:r>
      </w:hyperlink>
      <w:r w:rsidDel="00000000" w:rsidR="00000000" w:rsidRPr="00000000">
        <w:rPr>
          <w:color w:val="000000"/>
          <w:highlight w:val="white"/>
          <w:rtl w:val="0"/>
        </w:rPr>
        <w:t xml:space="preserve">. Acesso em: 18 jul 2023</w:t>
      </w:r>
    </w:p>
    <w:p w:rsidR="00000000" w:rsidDel="00000000" w:rsidP="00000000" w:rsidRDefault="00000000" w:rsidRPr="00000000" w14:paraId="000000E0">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INSTITUTO NACIONAL DE C NCER (INCA). Dados e Números sobre o Câncer do Colo do Útero. Relatório Anual 2022. Rio de Janeiro: Inca, 2022. Disponível em: https://www.inca.gov.br/publicacoes/relatorios/dados-e-numeros-sobre-cancer-do-colo-do-utero-relatorio-anual-2022. Acesso em: 18 jul 2023.</w:t>
      </w:r>
    </w:p>
    <w:p w:rsidR="00000000" w:rsidDel="00000000" w:rsidP="00000000" w:rsidRDefault="00000000" w:rsidRPr="00000000" w14:paraId="000000E1">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KAHLA, Saloua et al. Correlation between ebv co-infection and HPV16 genome integrity in Tunisian cervical cancer patients. Brazilian Journal of Microbiology, v. 43, p. 744-753, 2012. Disponível em: https://www.ncbi.nlm.nih.gov/pmc/articles/PMC3768824/. Acesso em: 17 jul 2023.</w:t>
      </w:r>
    </w:p>
    <w:p w:rsidR="00000000" w:rsidDel="00000000" w:rsidP="00000000" w:rsidRDefault="00000000" w:rsidRPr="00000000" w14:paraId="000000E2">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KANG, Myung-Soo; KIEFF, Elliott. Epstein–Barr virus latent genes. Experimental &amp; molecular medicine, v. 47, n. 1, p. e131-e131, 2015. Disponível em: https://www.ncbi.nlm.nih.gov/pmc/articles/PMC4314583/. Acesso em: 19 jul 2023.</w:t>
      </w:r>
    </w:p>
    <w:p w:rsidR="00000000" w:rsidDel="00000000" w:rsidP="00000000" w:rsidRDefault="00000000" w:rsidRPr="00000000" w14:paraId="000000E3">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KNECHT, Hans et al. Epstein-Barr virus oncogenesis. Critical reviews in oncology/hematology, v. 26, n. 2, p. 117-135, 1997. Disponível em: https://www.sciencedirect.com/science/article/pii/S1040842897000164?casa_token=m-igjW0i6mwAAAAA:5xboRq1FNpgXio-5tx8WfDJ3yEXHu6T22smtZHRFXkjpMQy3fGpni8cc66C8PHtWhDilWEGl4kqa. Acesso em: 19 jul 2023.</w:t>
      </w:r>
    </w:p>
    <w:p w:rsidR="00000000" w:rsidDel="00000000" w:rsidP="00000000" w:rsidRDefault="00000000" w:rsidRPr="00000000" w14:paraId="000000E4">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MEKONNEN, Alemayehu Gonie; MITTIKU, Yohannes Moges. Early-onset of sexual activity as a potential risk of cervical cancer in Africa: A review of literature. PLOS Global Public Health, v. 3, n. 3, p. e0000941, 2023. Disponível em: https://www.ncbi.nlm.nih.gov/pmc/articles/PMC10032528/. Acesso em: 19 jul 2023.</w:t>
      </w:r>
    </w:p>
    <w:p w:rsidR="00000000" w:rsidDel="00000000" w:rsidP="00000000" w:rsidRDefault="00000000" w:rsidRPr="00000000" w14:paraId="000000E5">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MORALES-SÁNCHEZ, Abigail; FUENTES-PANANÁ, Ezequiel M. Human viruses and cancer. Viruses, v. 6, n. 10, p. 4047-4079, 2014. Disponível em: https://www.ncbi.nlm.nih.gov/pmc/articles/PMC4213577/. Acesso em: 17 jul 2023.</w:t>
      </w:r>
    </w:p>
    <w:p w:rsidR="00000000" w:rsidDel="00000000" w:rsidP="00000000" w:rsidRDefault="00000000" w:rsidRPr="00000000" w14:paraId="000000E6">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NILLER, Hans Helmut; WOLF, Hans; MINAROVITS, Janos. Viral hit and run-oncogenesis: genetic and epigenetic scenarios. Cancer letters, v. 305, n. 2, p. 200-217, 2011. Disponível em: https://www.sciencedirect.com/science/article/abs/pii/S0304383510003885?via%3Dihub. Acesso em: 19 jul 2023. </w:t>
      </w:r>
    </w:p>
    <w:p w:rsidR="00000000" w:rsidDel="00000000" w:rsidP="00000000" w:rsidRDefault="00000000" w:rsidRPr="00000000" w14:paraId="000000E7">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RAJU, Kalyani. Virus and cervical cancer: role and implication: a review. Biomedical Research and Therapy, v. 2, p. 1-11, 2014. Disponível em: https://link.springer.com/article/10.7603/s40730-015-0007-z.  Acesso em: 19 jul 2023.</w:t>
      </w:r>
    </w:p>
    <w:p w:rsidR="00000000" w:rsidDel="00000000" w:rsidP="00000000" w:rsidRDefault="00000000" w:rsidRPr="00000000" w14:paraId="000000E8">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ROZARIO, Suelem do et al. Caracterização de mulheres com câncer cervical atendidas no Inca por tipo histológico. Revista de saúde pública, v. 53, 2019. Disponível em: https://www.scielo.br/j/rsp/a/WM3SZJDQCbXm9cbkchJhqLq/?lang=en#. Acesso em: 19 jul 2023.</w:t>
      </w:r>
    </w:p>
    <w:p w:rsidR="00000000" w:rsidDel="00000000" w:rsidP="00000000" w:rsidRDefault="00000000" w:rsidRPr="00000000" w14:paraId="000000E9">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SCHLEE, Martin et al. Identification of Epstein-Barr virus (EBV) nuclear antigen 2 (EBNA2) target proteins by proteome analysis: activation of EBNA2 in conditionally immortalized B cells reflects early events after infection of primary B cells by EBV. Journal of virology, v. 78, n. 8, p. 3941-3952, 2004. Disponível em: https://www.ncbi.nlm.nih.gov/pmc/articles/PMC374249/.  Acesso em: 19 jul 2023.</w:t>
      </w:r>
    </w:p>
    <w:p w:rsidR="00000000" w:rsidDel="00000000" w:rsidP="00000000" w:rsidRDefault="00000000" w:rsidRPr="00000000" w14:paraId="000000EA">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SECRETARIA DE SAÚDE DO CEARÁ (Sesa). Nota Informativa: Câncer do Colo de Útero (Março Lilás). Fortaleza: Secretaria de Saúde do Ceará, 2023. Disponível em:  https://www.saude.ce.gov.br/download/notas-tecnicas/. Acesso em: 18 jul 2022.</w:t>
      </w:r>
    </w:p>
    <w:p w:rsidR="00000000" w:rsidDel="00000000" w:rsidP="00000000" w:rsidRDefault="00000000" w:rsidRPr="00000000" w14:paraId="000000EB">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SHI, Ying et al. Co-infection of Epstein-Barr virus and human papillomavirus in human tumorigenesis. Chinese journal of cancer, v. 35, p. 1-9, 2016. Disponível em: https://www.ncbi.nlm.nih.gov/pmc/articles/PMC4724123/. Acesso em: 17 jul 2023.</w:t>
      </w:r>
    </w:p>
    <w:p w:rsidR="00000000" w:rsidDel="00000000" w:rsidP="00000000" w:rsidRDefault="00000000" w:rsidRPr="00000000" w14:paraId="000000EC">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TAQUETTE, Stella R.; VILHENA, Marília Mello de; PAULA, Mariana Campos de. Doenças sexualmente transmissíveis na adolescência: estudos de fatores de risco. Rev. Soc. Bras. Med. Trop., Uberaba, v. 37, n. 3,; [online] June 2004. Disponível em: https://www.scielo.br/j/rsbmt/a/LQccsCDyqQFSx7FWjFZdN7K/?lang=pt. Acesso em: 17 jul 2023. </w:t>
      </w:r>
    </w:p>
    <w:p w:rsidR="00000000" w:rsidDel="00000000" w:rsidP="00000000" w:rsidRDefault="00000000" w:rsidRPr="00000000" w14:paraId="000000ED">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VRANIC, Semir et al. The role of epstein–barr virus in cervical cancer: a brief update. Frontiers in oncology, v. 8, p. 113, 2018. Disponível em: https://www.ncbi.nlm.nih.gov/pmc/articles/PMC5913353/. Acesso em:  18 jul 2022</w:t>
      </w:r>
    </w:p>
    <w:p w:rsidR="00000000" w:rsidDel="00000000" w:rsidP="00000000" w:rsidRDefault="00000000" w:rsidRPr="00000000" w14:paraId="000000EE">
      <w:pPr>
        <w:widowControl w:val="1"/>
        <w:spacing w:after="240" w:before="240" w:lineRule="auto"/>
        <w:ind w:firstLine="0"/>
        <w:jc w:val="left"/>
        <w:rPr>
          <w:b w:val="1"/>
          <w:color w:val="000000"/>
        </w:rPr>
      </w:pPr>
      <w:r w:rsidDel="00000000" w:rsidR="00000000" w:rsidRPr="00000000">
        <w:rPr>
          <w:color w:val="000000"/>
          <w:highlight w:val="white"/>
          <w:rtl w:val="0"/>
        </w:rPr>
        <w:t xml:space="preserve">ZUO, Yan et al. Infection pattern and immunological characteristics of Epstein‐Barr virus latent infection in cervical squamous cell carcinoma. Journal of Medical Virology, v. 95, n. 4, p. e28717, 2023. Disponível em: https://onlinelibrary.wiley.com/doi/10.1002/jmv.28717. Acesso em: 17 jul 2023</w:t>
      </w: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133.8582677165355" w:top="1700.7874015748032" w:left="1700.7874015748032" w:right="1133.8582677165355"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1">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72" name=""/>
              <a:graphic>
                <a:graphicData uri="http://schemas.microsoft.com/office/word/2010/wordprocessingShape">
                  <wps:wsp>
                    <wps:cNvSpPr/>
                    <wps:cNvPr id="4" name="Shape 4"/>
                    <wps:spPr>
                      <a:xfrm>
                        <a:off x="1485829" y="3689005"/>
                        <a:ext cx="7720343" cy="181991"/>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7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33043" cy="194691"/>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2">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70" name=""/>
              <a:graphic>
                <a:graphicData uri="http://schemas.microsoft.com/office/word/2010/wordprocessingShape">
                  <wps:wsp>
                    <wps:cNvSpPr/>
                    <wps:cNvPr id="2" name="Shape 2"/>
                    <wps:spPr>
                      <a:xfrm>
                        <a:off x="1485835" y="3689195"/>
                        <a:ext cx="7720330" cy="181610"/>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7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33030" cy="19431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F3">
      <w:pPr>
        <w:spacing w:after="0" w:lineRule="auto"/>
        <w:rPr>
          <w:sz w:val="20"/>
          <w:szCs w:val="20"/>
          <w:vertAlign w:val="superscript"/>
        </w:rPr>
      </w:pPr>
      <w:r w:rsidDel="00000000" w:rsidR="00000000" w:rsidRPr="00000000">
        <w:rPr>
          <w:rStyle w:val="FootnoteReference"/>
          <w:vertAlign w:val="superscript"/>
        </w:rPr>
        <w:footnoteRef/>
      </w:r>
      <w:r w:rsidDel="00000000" w:rsidR="00000000" w:rsidRPr="00000000">
        <w:rPr>
          <w:sz w:val="20"/>
          <w:szCs w:val="20"/>
          <w:vertAlign w:val="superscript"/>
          <w:rtl w:val="0"/>
        </w:rPr>
        <w:t xml:space="preserve"> Universidade Federal do Cariri, </w:t>
      </w:r>
      <w:hyperlink r:id="rId1">
        <w:r w:rsidDel="00000000" w:rsidR="00000000" w:rsidRPr="00000000">
          <w:rPr>
            <w:color w:val="1155cc"/>
            <w:sz w:val="20"/>
            <w:szCs w:val="20"/>
            <w:u w:val="single"/>
            <w:vertAlign w:val="superscript"/>
            <w:rtl w:val="0"/>
          </w:rPr>
          <w:t xml:space="preserve">maria.willaira@aluno.ufca.edu.br</w:t>
        </w:r>
      </w:hyperlink>
      <w:r w:rsidDel="00000000" w:rsidR="00000000" w:rsidRPr="00000000">
        <w:rPr>
          <w:sz w:val="20"/>
          <w:szCs w:val="20"/>
          <w:vertAlign w:val="superscript"/>
          <w:rtl w:val="0"/>
        </w:rPr>
        <w:t xml:space="preserve">, FUNCAP e PRPI/UFCA</w:t>
      </w:r>
    </w:p>
  </w:footnote>
  <w:footnote w:id="1">
    <w:p w:rsidR="00000000" w:rsidDel="00000000" w:rsidP="00000000" w:rsidRDefault="00000000" w:rsidRPr="00000000" w14:paraId="000000F4">
      <w:pPr>
        <w:spacing w:after="0" w:lineRule="auto"/>
        <w:rPr>
          <w:sz w:val="20"/>
          <w:szCs w:val="20"/>
          <w:vertAlign w:val="superscript"/>
        </w:rPr>
      </w:pPr>
      <w:r w:rsidDel="00000000" w:rsidR="00000000" w:rsidRPr="00000000">
        <w:rPr>
          <w:rStyle w:val="FootnoteReference"/>
          <w:vertAlign w:val="superscript"/>
        </w:rPr>
        <w:footnoteRef/>
      </w:r>
      <w:r w:rsidDel="00000000" w:rsidR="00000000" w:rsidRPr="00000000">
        <w:rPr>
          <w:sz w:val="20"/>
          <w:szCs w:val="20"/>
          <w:vertAlign w:val="superscript"/>
          <w:rtl w:val="0"/>
        </w:rPr>
        <w:t xml:space="preserve"> Universidade Federal do Cariri, </w:t>
      </w:r>
      <w:hyperlink r:id="rId2">
        <w:r w:rsidDel="00000000" w:rsidR="00000000" w:rsidRPr="00000000">
          <w:rPr>
            <w:color w:val="1155cc"/>
            <w:sz w:val="20"/>
            <w:szCs w:val="20"/>
            <w:u w:val="single"/>
            <w:vertAlign w:val="superscript"/>
            <w:rtl w:val="0"/>
          </w:rPr>
          <w:t xml:space="preserve">cecilia.paz@aluno.ufca.edu.br</w:t>
        </w:r>
      </w:hyperlink>
      <w:r w:rsidDel="00000000" w:rsidR="00000000" w:rsidRPr="00000000">
        <w:rPr>
          <w:sz w:val="20"/>
          <w:szCs w:val="20"/>
          <w:vertAlign w:val="superscript"/>
          <w:rtl w:val="0"/>
        </w:rPr>
        <w:t xml:space="preserve">, FUNCAP e PRPI/UFCA</w:t>
      </w:r>
    </w:p>
  </w:footnote>
  <w:footnote w:id="2">
    <w:p w:rsidR="00000000" w:rsidDel="00000000" w:rsidP="00000000" w:rsidRDefault="00000000" w:rsidRPr="00000000" w14:paraId="000000F5">
      <w:pPr>
        <w:spacing w:after="0" w:lineRule="auto"/>
        <w:rPr>
          <w:sz w:val="20"/>
          <w:szCs w:val="20"/>
          <w:vertAlign w:val="superscript"/>
        </w:rPr>
      </w:pPr>
      <w:r w:rsidDel="00000000" w:rsidR="00000000" w:rsidRPr="00000000">
        <w:rPr>
          <w:rStyle w:val="FootnoteReference"/>
          <w:vertAlign w:val="superscript"/>
        </w:rPr>
        <w:footnoteRef/>
      </w:r>
      <w:r w:rsidDel="00000000" w:rsidR="00000000" w:rsidRPr="00000000">
        <w:rPr>
          <w:sz w:val="20"/>
          <w:szCs w:val="20"/>
          <w:vertAlign w:val="superscript"/>
          <w:rtl w:val="0"/>
        </w:rPr>
        <w:t xml:space="preserve"> Universidade Federal do Cariri, </w:t>
      </w:r>
      <w:hyperlink r:id="rId3">
        <w:r w:rsidDel="00000000" w:rsidR="00000000" w:rsidRPr="00000000">
          <w:rPr>
            <w:color w:val="1155cc"/>
            <w:sz w:val="20"/>
            <w:szCs w:val="20"/>
            <w:u w:val="single"/>
            <w:vertAlign w:val="superscript"/>
            <w:rtl w:val="0"/>
          </w:rPr>
          <w:t xml:space="preserve">myrella.tavares@aluno.ufca.edu.br</w:t>
        </w:r>
      </w:hyperlink>
      <w:r w:rsidDel="00000000" w:rsidR="00000000" w:rsidRPr="00000000">
        <w:rPr>
          <w:sz w:val="20"/>
          <w:szCs w:val="20"/>
          <w:vertAlign w:val="superscript"/>
          <w:rtl w:val="0"/>
        </w:rPr>
        <w:t xml:space="preserve">, FUNCAP e PRPI/UFCA</w:t>
      </w:r>
    </w:p>
  </w:footnote>
  <w:footnote w:id="3">
    <w:p w:rsidR="00000000" w:rsidDel="00000000" w:rsidP="00000000" w:rsidRDefault="00000000" w:rsidRPr="00000000" w14:paraId="000000F6">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vertAlign w:val="superscript"/>
          <w:rtl w:val="0"/>
        </w:rPr>
        <w:t xml:space="preserve">Universidade Federal do Cariri, </w:t>
      </w:r>
      <w:hyperlink r:id="rId4">
        <w:r w:rsidDel="00000000" w:rsidR="00000000" w:rsidRPr="00000000">
          <w:rPr>
            <w:color w:val="1155cc"/>
            <w:sz w:val="20"/>
            <w:szCs w:val="20"/>
            <w:u w:val="single"/>
            <w:vertAlign w:val="superscript"/>
            <w:rtl w:val="0"/>
          </w:rPr>
          <w:t xml:space="preserve">marcos.lima@ufca.edu.br</w:t>
        </w:r>
      </w:hyperlink>
      <w:r w:rsidDel="00000000" w:rsidR="00000000" w:rsidRPr="00000000">
        <w:rPr>
          <w:sz w:val="20"/>
          <w:szCs w:val="20"/>
          <w:vertAlign w:val="superscript"/>
          <w:rtl w:val="0"/>
        </w:rPr>
        <w:t xml:space="preserve">, FUNCAP e PRPI/UFCA</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3856648" cy="978113"/>
          <wp:effectExtent b="0" l="0" r="0" t="0"/>
          <wp:docPr id="74" name="image2.png"/>
          <a:graphic>
            <a:graphicData uri="http://schemas.openxmlformats.org/drawingml/2006/picture">
              <pic:pic>
                <pic:nvPicPr>
                  <pic:cNvPr id="0" name="image2.png"/>
                  <pic:cNvPicPr preferRelativeResize="0"/>
                </pic:nvPicPr>
                <pic:blipFill>
                  <a:blip r:embed="rId1"/>
                  <a:srcRect b="24567" l="21795" r="22046" t="18604"/>
                  <a:stretch>
                    <a:fillRect/>
                  </a:stretch>
                </pic:blipFill>
                <pic:spPr>
                  <a:xfrm>
                    <a:off x="0" y="0"/>
                    <a:ext cx="3856648" cy="978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71" name=""/>
              <a:graphic>
                <a:graphicData uri="http://schemas.microsoft.com/office/word/2010/wordprocessingShape">
                  <wps:wsp>
                    <wps:cNvSpPr/>
                    <wps:cNvPr id="3" name="Shape 3"/>
                    <wps:spPr>
                      <a:xfrm rot="5400000">
                        <a:off x="4622764" y="-6132"/>
                        <a:ext cx="1446472" cy="7572263"/>
                      </a:xfrm>
                      <a:prstGeom prst="flowChartDelay">
                        <a:avLst/>
                      </a:prstGeom>
                      <a:blipFill rotWithShape="0">
                        <a:blip r:embed="rId2">
                          <a:alphaModFix/>
                        </a:blip>
                        <a:stretch>
                          <a:fillRect b="-80" l="80" r="80" t="-8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7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581788" cy="1458342"/>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2182177" cy="553438"/>
          <wp:effectExtent b="0" l="0" r="0" t="0"/>
          <wp:docPr descr="Texto&#10;&#10;Descrição gerada automaticamente com confiança média" id="75" name="image2.png"/>
          <a:graphic>
            <a:graphicData uri="http://schemas.openxmlformats.org/drawingml/2006/picture">
              <pic:pic>
                <pic:nvPicPr>
                  <pic:cNvPr descr="Texto&#10;&#10;Descrição gerada automaticamente com confiança média" id="0" name="image2.png"/>
                  <pic:cNvPicPr preferRelativeResize="0"/>
                </pic:nvPicPr>
                <pic:blipFill>
                  <a:blip r:embed="rId1"/>
                  <a:srcRect b="24567" l="21795" r="22046" t="18604"/>
                  <a:stretch>
                    <a:fillRect/>
                  </a:stretch>
                </pic:blipFill>
                <pic:spPr>
                  <a:xfrm>
                    <a:off x="0" y="0"/>
                    <a:ext cx="2182177" cy="55343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2790441</wp:posOffset>
          </wp:positionH>
          <wp:positionV relativeFrom="paragraph">
            <wp:posOffset>132833</wp:posOffset>
          </wp:positionV>
          <wp:extent cx="991240" cy="210495"/>
          <wp:effectExtent b="0" l="0" r="0" t="0"/>
          <wp:wrapNone/>
          <wp:docPr id="7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91240" cy="2104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4"/>
        <w:szCs w:val="24"/>
        <w:lang w:val="pt-BR"/>
      </w:rPr>
    </w:rPrDefault>
    <w:pPrDefault>
      <w:pPr>
        <w:widowControl w:val="0"/>
        <w:spacing w:after="12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before="480" w:line="360" w:lineRule="auto"/>
      <w:ind w:firstLine="0"/>
    </w:pPr>
    <w:rPr>
      <w:b w:val="1"/>
      <w:smallCaps w:val="1"/>
      <w:color w:val="000000"/>
    </w:rPr>
  </w:style>
  <w:style w:type="paragraph" w:styleId="Heading2">
    <w:name w:val="heading 2"/>
    <w:basedOn w:val="Normal"/>
    <w:next w:val="Normal"/>
    <w:pPr>
      <w:widowControl w:val="1"/>
      <w:spacing w:after="240" w:before="480" w:line="360" w:lineRule="auto"/>
      <w:ind w:firstLine="0"/>
    </w:pPr>
    <w:rPr>
      <w:b w:val="1"/>
      <w:color w:val="000000"/>
    </w:rPr>
  </w:style>
  <w:style w:type="paragraph" w:styleId="Heading3">
    <w:name w:val="heading 3"/>
    <w:basedOn w:val="Normal"/>
    <w:next w:val="Normal"/>
    <w:pPr>
      <w:widowControl w:val="1"/>
      <w:spacing w:after="240" w:before="480" w:line="360" w:lineRule="auto"/>
      <w:ind w:left="624" w:hanging="624"/>
    </w:pPr>
    <w:rPr>
      <w:color w:val="000000"/>
    </w:rPr>
  </w:style>
  <w:style w:type="paragraph" w:styleId="Heading4">
    <w:name w:val="heading 4"/>
    <w:basedOn w:val="Normal"/>
    <w:next w:val="Normal"/>
    <w:pPr>
      <w:widowControl w:val="1"/>
      <w:spacing w:after="240" w:before="480" w:line="360" w:lineRule="auto"/>
      <w:ind w:left="851" w:hanging="851"/>
      <w:jc w:val="left"/>
    </w:pPr>
    <w:rPr>
      <w:i w:val="1"/>
      <w:color w:val="000000"/>
    </w:rPr>
  </w:style>
  <w:style w:type="paragraph" w:styleId="Heading5">
    <w:name w:val="heading 5"/>
    <w:basedOn w:val="Normal"/>
    <w:next w:val="Normal"/>
    <w:pPr>
      <w:widowControl w:val="1"/>
      <w:spacing w:before="40" w:line="360" w:lineRule="auto"/>
      <w:ind w:left="0" w:firstLine="0"/>
      <w:jc w:val="left"/>
    </w:pPr>
    <w:rPr>
      <w:i w:val="1"/>
      <w:color w:val="000000"/>
      <w:sz w:val="22"/>
      <w:szCs w:val="22"/>
    </w:rPr>
  </w:style>
  <w:style w:type="paragraph" w:styleId="Heading6">
    <w:name w:val="heading 6"/>
    <w:basedOn w:val="Normal"/>
    <w:next w:val="Normal"/>
    <w:pPr>
      <w:widowControl w:val="1"/>
      <w:spacing w:after="60" w:before="240" w:line="360" w:lineRule="auto"/>
      <w:ind w:left="1152" w:hanging="1152"/>
    </w:pPr>
    <w:rPr>
      <w:i w:val="1"/>
      <w:color w:val="000000"/>
      <w:sz w:val="22"/>
      <w:szCs w:val="22"/>
    </w:rPr>
  </w:style>
  <w:style w:type="paragraph" w:styleId="Title">
    <w:name w:val="Title"/>
    <w:basedOn w:val="Normal"/>
    <w:next w:val="Normal"/>
    <w:pPr>
      <w:spacing w:after="60" w:before="240" w:lineRule="auto"/>
      <w:jc w:val="center"/>
    </w:pPr>
    <w:rPr>
      <w:b w:val="1"/>
      <w:smallCaps w:val="1"/>
      <w:sz w:val="28"/>
      <w:szCs w:val="28"/>
    </w:rPr>
  </w:style>
  <w:style w:type="paragraph" w:styleId="Normal" w:default="1">
    <w:name w:val="Normal"/>
    <w:qFormat w:val="1"/>
    <w:rsid w:val="00CA3EB6"/>
    <w:pPr>
      <w:widowControl w:val="0"/>
      <w:suppressAutoHyphens w:val="1"/>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val="1"/>
    <w:rsid w:val="00775CAF"/>
    <w:pPr>
      <w:keepNext w:val="1"/>
      <w:widowControl w:val="1"/>
      <w:spacing w:before="480" w:line="360" w:lineRule="auto"/>
      <w:ind w:firstLine="0"/>
      <w:outlineLvl w:val="0"/>
    </w:pPr>
    <w:rPr>
      <w:rFonts w:eastAsia="Times New Roman"/>
      <w:b w:val="1"/>
      <w:caps w:val="1"/>
      <w:color w:val="auto"/>
      <w:szCs w:val="20"/>
      <w:lang w:eastAsia="ar-SA"/>
    </w:rPr>
  </w:style>
  <w:style w:type="paragraph" w:styleId="Ttulo2">
    <w:name w:val="heading 2"/>
    <w:basedOn w:val="Normal"/>
    <w:next w:val="Normal"/>
    <w:link w:val="Ttulo2Char"/>
    <w:qFormat w:val="1"/>
    <w:rsid w:val="00DA61FA"/>
    <w:pPr>
      <w:widowControl w:val="1"/>
      <w:spacing w:after="240" w:before="480" w:line="360" w:lineRule="auto"/>
      <w:ind w:firstLine="0"/>
      <w:outlineLvl w:val="1"/>
    </w:pPr>
    <w:rPr>
      <w:rFonts w:eastAsia="Times New Roman"/>
      <w:b w:val="1"/>
      <w:bCs w:val="1"/>
      <w:color w:val="auto"/>
      <w:szCs w:val="20"/>
      <w:lang w:eastAsia="ar-SA"/>
    </w:rPr>
  </w:style>
  <w:style w:type="paragraph" w:styleId="Ttulo3">
    <w:name w:val="heading 3"/>
    <w:basedOn w:val="Normal"/>
    <w:next w:val="Normal"/>
    <w:link w:val="Ttulo3Char"/>
    <w:qFormat w:val="1"/>
    <w:rsid w:val="009C0CF9"/>
    <w:pPr>
      <w:widowControl w:val="1"/>
      <w:numPr>
        <w:ilvl w:val="2"/>
        <w:numId w:val="1"/>
      </w:numPr>
      <w:spacing w:after="240" w:before="480" w:line="360" w:lineRule="auto"/>
      <w:ind w:left="624" w:hanging="624"/>
      <w:outlineLvl w:val="2"/>
    </w:pPr>
    <w:rPr>
      <w:rFonts w:cs="Arial" w:eastAsia="Times New Roman"/>
      <w:color w:val="auto"/>
      <w:szCs w:val="20"/>
      <w:lang w:eastAsia="ar-SA"/>
    </w:rPr>
  </w:style>
  <w:style w:type="paragraph" w:styleId="Ttulo4">
    <w:name w:val="heading 4"/>
    <w:basedOn w:val="Ttulo3"/>
    <w:next w:val="Normal"/>
    <w:link w:val="Ttulo4Char"/>
    <w:qFormat w:val="1"/>
    <w:rsid w:val="009C0CF9"/>
    <w:pPr>
      <w:numPr>
        <w:ilvl w:val="3"/>
      </w:numPr>
      <w:ind w:left="851" w:hanging="851"/>
      <w:jc w:val="left"/>
      <w:outlineLvl w:val="3"/>
    </w:pPr>
    <w:rPr>
      <w:i w:val="1"/>
    </w:rPr>
  </w:style>
  <w:style w:type="paragraph" w:styleId="Ttulo5">
    <w:name w:val="heading 5"/>
    <w:basedOn w:val="Normal"/>
    <w:next w:val="Normal"/>
    <w:link w:val="Ttulo5Char"/>
    <w:qFormat w:val="1"/>
    <w:rsid w:val="009C0CF9"/>
    <w:pPr>
      <w:widowControl w:val="1"/>
      <w:numPr>
        <w:ilvl w:val="4"/>
        <w:numId w:val="1"/>
      </w:numPr>
      <w:spacing w:before="40" w:line="360" w:lineRule="auto"/>
      <w:ind w:left="0" w:firstLine="0"/>
      <w:jc w:val="left"/>
      <w:outlineLvl w:val="4"/>
    </w:pPr>
    <w:rPr>
      <w:rFonts w:eastAsia="Times New Roman"/>
      <w:i w:val="1"/>
      <w:iCs w:val="1"/>
      <w:color w:val="auto"/>
      <w:sz w:val="22"/>
      <w:szCs w:val="22"/>
      <w:lang w:eastAsia="ar-SA" w:val="pt-PT"/>
    </w:rPr>
  </w:style>
  <w:style w:type="paragraph" w:styleId="Ttulo6">
    <w:name w:val="heading 6"/>
    <w:basedOn w:val="Normal"/>
    <w:next w:val="Normal"/>
    <w:link w:val="Ttulo6Char"/>
    <w:qFormat w:val="1"/>
    <w:rsid w:val="009C0CF9"/>
    <w:pPr>
      <w:widowControl w:val="1"/>
      <w:numPr>
        <w:ilvl w:val="5"/>
        <w:numId w:val="1"/>
      </w:numPr>
      <w:spacing w:after="60" w:before="240" w:line="360" w:lineRule="auto"/>
      <w:outlineLvl w:val="5"/>
    </w:pPr>
    <w:rPr>
      <w:rFonts w:cs="Arial" w:eastAsia="Times New Roman"/>
      <w:i w:val="1"/>
      <w:iCs w:val="1"/>
      <w:color w:val="auto"/>
      <w:sz w:val="22"/>
      <w:szCs w:val="22"/>
      <w:lang w:eastAsia="ar-SA" w:val="pt-PT"/>
    </w:rPr>
  </w:style>
  <w:style w:type="paragraph" w:styleId="Ttulo7">
    <w:name w:val="heading 7"/>
    <w:basedOn w:val="Normal"/>
    <w:next w:val="Normal"/>
    <w:link w:val="Ttulo7Char"/>
    <w:qFormat w:val="1"/>
    <w:rsid w:val="009C0CF9"/>
    <w:pPr>
      <w:widowControl w:val="1"/>
      <w:numPr>
        <w:ilvl w:val="6"/>
        <w:numId w:val="1"/>
      </w:numPr>
      <w:spacing w:after="60" w:before="240" w:line="360" w:lineRule="auto"/>
      <w:outlineLvl w:val="6"/>
    </w:pPr>
    <w:rPr>
      <w:rFonts w:cs="Arial" w:eastAsia="Times New Roman"/>
      <w:color w:val="auto"/>
      <w:szCs w:val="20"/>
      <w:lang w:eastAsia="ar-SA" w:val="pt-PT"/>
    </w:rPr>
  </w:style>
  <w:style w:type="paragraph" w:styleId="Ttulo8">
    <w:name w:val="heading 8"/>
    <w:basedOn w:val="Normal"/>
    <w:next w:val="Normal"/>
    <w:link w:val="Ttulo8Char"/>
    <w:qFormat w:val="1"/>
    <w:rsid w:val="009C0CF9"/>
    <w:pPr>
      <w:widowControl w:val="1"/>
      <w:numPr>
        <w:ilvl w:val="7"/>
        <w:numId w:val="1"/>
      </w:numPr>
      <w:spacing w:after="60" w:before="240" w:line="360" w:lineRule="auto"/>
      <w:outlineLvl w:val="7"/>
    </w:pPr>
    <w:rPr>
      <w:rFonts w:cs="Arial" w:eastAsia="Times New Roman"/>
      <w:i w:val="1"/>
      <w:iCs w:val="1"/>
      <w:color w:val="auto"/>
      <w:szCs w:val="20"/>
      <w:lang w:eastAsia="ar-SA" w:val="pt-PT"/>
    </w:rPr>
  </w:style>
  <w:style w:type="paragraph" w:styleId="Ttulo9">
    <w:name w:val="heading 9"/>
    <w:basedOn w:val="Normal"/>
    <w:next w:val="Normal"/>
    <w:link w:val="Ttulo9Char"/>
    <w:qFormat w:val="1"/>
    <w:rsid w:val="009C0CF9"/>
    <w:pPr>
      <w:widowControl w:val="1"/>
      <w:numPr>
        <w:ilvl w:val="8"/>
        <w:numId w:val="1"/>
      </w:numPr>
      <w:spacing w:after="60" w:before="240" w:line="360" w:lineRule="auto"/>
      <w:outlineLvl w:val="8"/>
    </w:pPr>
    <w:rPr>
      <w:rFonts w:cs="Arial" w:eastAsia="Times New Roman"/>
      <w:i w:val="1"/>
      <w:iCs w:val="1"/>
      <w:color w:val="auto"/>
      <w:sz w:val="18"/>
      <w:szCs w:val="18"/>
      <w:lang w:eastAsia="ar-SA" w:val="pt-PT"/>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extodebaloChar" w:customStyle="1">
    <w:name w:val="Texto de balão Char"/>
    <w:qFormat w:val="1"/>
    <w:rPr>
      <w:rFonts w:ascii="Tahoma" w:cs="Tahoma" w:hAnsi="Tahoma"/>
      <w:sz w:val="16"/>
      <w:szCs w:val="16"/>
    </w:rPr>
  </w:style>
  <w:style w:type="character" w:styleId="CorpodetextoChar" w:customStyle="1">
    <w:name w:val="Corpo de texto Char"/>
    <w:qFormat w:val="1"/>
    <w:rPr>
      <w:rFonts w:ascii="Arial" w:cs="Times New Roman" w:eastAsia="Arial Unicode MS" w:hAnsi="Arial"/>
      <w:sz w:val="24"/>
      <w:szCs w:val="24"/>
      <w:lang w:eastAsia="pt-BR"/>
    </w:rPr>
  </w:style>
  <w:style w:type="character" w:styleId="TtuloChar" w:customStyle="1">
    <w:name w:val="Título Char"/>
    <w:qFormat w:val="1"/>
    <w:rPr>
      <w:rFonts w:ascii="Arial" w:cs="Times New Roman" w:eastAsia="Times New Roman" w:hAnsi="Arial"/>
      <w:b w:val="1"/>
      <w:bCs w:val="1"/>
      <w:caps w:val="1"/>
      <w:sz w:val="28"/>
      <w:szCs w:val="32"/>
      <w:lang w:eastAsia="pt-BR"/>
    </w:rPr>
  </w:style>
  <w:style w:type="character" w:styleId="InternetLink" w:customStyle="1">
    <w:name w:val="Internet Link"/>
    <w:qFormat w:val="1"/>
    <w:rPr>
      <w:color w:val="0000ff"/>
      <w:u w:val="single"/>
    </w:rPr>
  </w:style>
  <w:style w:type="character" w:styleId="CabealhoChar" w:customStyle="1">
    <w:name w:val="Cabeçalho Char"/>
    <w:uiPriority w:val="99"/>
    <w:qFormat w:val="1"/>
    <w:rPr>
      <w:rFonts w:ascii="Arial" w:cs="Times New Roman" w:eastAsia="Arial Unicode MS" w:hAnsi="Arial"/>
      <w:sz w:val="24"/>
      <w:szCs w:val="24"/>
      <w:lang w:eastAsia="pt-BR"/>
    </w:rPr>
  </w:style>
  <w:style w:type="character" w:styleId="RodapChar" w:customStyle="1">
    <w:name w:val="Rodapé Char"/>
    <w:uiPriority w:val="99"/>
    <w:qFormat w:val="1"/>
    <w:rPr>
      <w:rFonts w:ascii="Arial" w:cs="Times New Roman" w:eastAsia="Arial Unicode MS" w:hAnsi="Arial"/>
      <w:sz w:val="24"/>
      <w:szCs w:val="24"/>
      <w:lang w:eastAsia="pt-BR"/>
    </w:rPr>
  </w:style>
  <w:style w:type="character" w:styleId="Forte">
    <w:name w:val="Strong"/>
    <w:uiPriority w:val="22"/>
    <w:qFormat w:val="1"/>
    <w:rPr>
      <w:b w:val="1"/>
      <w:bCs w:val="1"/>
    </w:rPr>
  </w:style>
  <w:style w:type="character" w:styleId="TextodenotadefimChar" w:customStyle="1">
    <w:name w:val="Texto de nota de fim Char"/>
    <w:qFormat w:val="1"/>
    <w:rPr>
      <w:rFonts w:ascii="Arial" w:eastAsia="Arial Unicode MS" w:hAnsi="Arial"/>
    </w:rPr>
  </w:style>
  <w:style w:type="character" w:styleId="ncoradanotadefim" w:customStyle="1">
    <w:name w:val="Âncora da nota de fim"/>
    <w:rPr>
      <w:vertAlign w:val="superscript"/>
    </w:rPr>
  </w:style>
  <w:style w:type="character" w:styleId="EndnoteCharacters" w:customStyle="1">
    <w:name w:val="Endnote Characters"/>
    <w:qFormat w:val="1"/>
  </w:style>
  <w:style w:type="character" w:styleId="TextodenotaderodapChar" w:customStyle="1">
    <w:name w:val="Texto de nota de rodapé Char"/>
    <w:qFormat w:val="1"/>
    <w:rPr>
      <w:rFonts w:ascii="Arial" w:eastAsia="Arial Unicode MS" w:hAnsi="Arial"/>
    </w:rPr>
  </w:style>
  <w:style w:type="character" w:styleId="ncoradanotaderodap" w:customStyle="1">
    <w:name w:val="Âncora da nota de rodapé"/>
    <w:rPr>
      <w:vertAlign w:val="superscript"/>
    </w:rPr>
  </w:style>
  <w:style w:type="character" w:styleId="FootnoteCharacters" w:customStyle="1">
    <w:name w:val="Footnote Characters"/>
    <w:qFormat w:val="1"/>
  </w:style>
  <w:style w:type="character" w:styleId="FootnoteAnchor" w:customStyle="1">
    <w:name w:val="Footnote Anchor"/>
    <w:qFormat w:val="1"/>
    <w:rPr>
      <w:vertAlign w:val="superscript"/>
    </w:rPr>
  </w:style>
  <w:style w:type="character" w:styleId="EndnoteAnchor" w:customStyle="1">
    <w:name w:val="Endnote Anchor"/>
    <w:qFormat w:val="1"/>
    <w:rPr>
      <w:vertAlign w:val="superscript"/>
    </w:rPr>
  </w:style>
  <w:style w:type="character" w:styleId="LinkdaInternet" w:customStyle="1">
    <w:name w:val="Link da Internet"/>
    <w:rPr>
      <w:color w:val="000080"/>
      <w:u w:val="single"/>
    </w:rPr>
  </w:style>
  <w:style w:type="character" w:styleId="Caracteresdenotaderodap" w:customStyle="1">
    <w:name w:val="Caracteres de nota de rodapé"/>
    <w:qFormat w:val="1"/>
  </w:style>
  <w:style w:type="character" w:styleId="Caracteresdenotadefim" w:customStyle="1">
    <w:name w:val="Caracteres de nota de fim"/>
    <w:qFormat w:val="1"/>
  </w:style>
  <w:style w:type="character" w:styleId="Smbolosdenumerao" w:customStyle="1">
    <w:name w:val="Símbolos de numeração"/>
    <w:qFormat w:val="1"/>
  </w:style>
  <w:style w:type="character" w:styleId="ListLabel1" w:customStyle="1">
    <w:name w:val="ListLabel 1"/>
    <w:qFormat w:val="1"/>
    <w:rPr>
      <w:rFonts w:ascii="Times New Roman" w:hAnsi="Times New Roman"/>
      <w:sz w:val="20"/>
      <w:szCs w:val="20"/>
    </w:rPr>
  </w:style>
  <w:style w:type="character" w:styleId="ListLabel2" w:customStyle="1">
    <w:name w:val="ListLabel 2"/>
    <w:qFormat w:val="1"/>
    <w:rPr>
      <w:rFonts w:ascii="Times New Roman" w:hAnsi="Times New Roman"/>
      <w:sz w:val="20"/>
      <w:szCs w:val="20"/>
    </w:rPr>
  </w:style>
  <w:style w:type="paragraph" w:styleId="Ttulo">
    <w:name w:val="Title"/>
    <w:basedOn w:val="Normal"/>
    <w:next w:val="Corpodetexto"/>
    <w:uiPriority w:val="10"/>
    <w:qFormat w:val="1"/>
    <w:pPr>
      <w:spacing w:after="60" w:before="240"/>
      <w:jc w:val="center"/>
      <w:outlineLvl w:val="0"/>
    </w:pPr>
    <w:rPr>
      <w:rFonts w:eastAsia="Times New Roman"/>
      <w:b w:val="1"/>
      <w:bCs w:val="1"/>
      <w:caps w:val="1"/>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val="1"/>
    <w:pPr>
      <w:suppressLineNumbers w:val="1"/>
      <w:spacing w:before="120"/>
    </w:pPr>
    <w:rPr>
      <w:rFonts w:cs="Lohit Devanagari"/>
      <w:i w:val="1"/>
      <w:iCs w:val="1"/>
    </w:rPr>
  </w:style>
  <w:style w:type="paragraph" w:styleId="ndice" w:customStyle="1">
    <w:name w:val="Índice"/>
    <w:basedOn w:val="Normal"/>
    <w:qFormat w:val="1"/>
    <w:pPr>
      <w:suppressLineNumbers w:val="1"/>
    </w:pPr>
    <w:rPr>
      <w:rFonts w:cs="Lohit Devanagari"/>
    </w:rPr>
  </w:style>
  <w:style w:type="paragraph" w:styleId="Textodebalo">
    <w:name w:val="Balloon Text"/>
    <w:basedOn w:val="Normal"/>
    <w:qFormat w:val="1"/>
    <w:pPr>
      <w:widowControl w:val="1"/>
      <w:suppressAutoHyphens w:val="0"/>
      <w:ind w:firstLine="0"/>
      <w:jc w:val="left"/>
    </w:pPr>
    <w:rPr>
      <w:rFonts w:ascii="Tahoma" w:eastAsia="Calibri" w:hAnsi="Tahoma"/>
      <w:sz w:val="16"/>
      <w:szCs w:val="16"/>
    </w:rPr>
  </w:style>
  <w:style w:type="paragraph" w:styleId="Ttulodaseoprimria" w:customStyle="1">
    <w:name w:val="Título da seção primária"/>
    <w:basedOn w:val="Normal"/>
    <w:link w:val="TtulodaseoprimriaChar"/>
    <w:qFormat w:val="1"/>
    <w:pPr>
      <w:ind w:firstLine="0"/>
    </w:pPr>
    <w:rPr>
      <w:b w:val="1"/>
      <w:sz w:val="26"/>
    </w:rPr>
  </w:style>
  <w:style w:type="paragraph" w:styleId="Referncias" w:customStyle="1">
    <w:name w:val="Referências"/>
    <w:basedOn w:val="Normal"/>
    <w:qFormat w:val="1"/>
    <w:pPr>
      <w:spacing w:before="120"/>
      <w:ind w:firstLine="0"/>
      <w:jc w:val="left"/>
    </w:pPr>
    <w:rPr>
      <w:rFonts w:cs="Arial"/>
    </w:rPr>
  </w:style>
  <w:style w:type="paragraph" w:styleId="Leyendadefiguraotabla" w:customStyle="1">
    <w:name w:val="Leyenda de figura o tabla"/>
    <w:basedOn w:val="Normal"/>
    <w:qFormat w:val="1"/>
    <w:pPr>
      <w:widowControl w:val="1"/>
      <w:spacing w:after="360" w:before="120"/>
      <w:jc w:val="center"/>
    </w:pPr>
    <w:rPr>
      <w:rFonts w:eastAsia="Times New Roman"/>
      <w:i w:val="1"/>
      <w:sz w:val="18"/>
      <w:lang w:eastAsia="en-US" w:val="en-US"/>
    </w:rPr>
  </w:style>
  <w:style w:type="paragraph" w:styleId="Tabla-Texto" w:customStyle="1">
    <w:name w:val="Tabla-Texto"/>
    <w:basedOn w:val="Normal"/>
    <w:qFormat w:val="1"/>
    <w:pPr>
      <w:widowControl w:val="1"/>
      <w:spacing w:after="20" w:before="20"/>
    </w:pPr>
    <w:rPr>
      <w:rFonts w:eastAsia="Times New Roman"/>
      <w:sz w:val="18"/>
      <w:lang w:eastAsia="en-US" w:val="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val="1"/>
    <w:rPr>
      <w:sz w:val="20"/>
      <w:szCs w:val="20"/>
    </w:rPr>
  </w:style>
  <w:style w:type="paragraph" w:styleId="Textodenotaderodap">
    <w:name w:val="footnote text"/>
    <w:basedOn w:val="Normal"/>
    <w:qFormat w:val="1"/>
    <w:pPr>
      <w:ind w:firstLine="0"/>
      <w:jc w:val="left"/>
    </w:pPr>
    <w:rPr>
      <w:sz w:val="20"/>
    </w:rPr>
  </w:style>
  <w:style w:type="paragraph" w:styleId="FrameContents" w:customStyle="1">
    <w:name w:val="Frame Contents"/>
    <w:basedOn w:val="Normal"/>
    <w:qFormat w:val="1"/>
  </w:style>
  <w:style w:type="paragraph" w:styleId="Linhahorizontal" w:customStyle="1">
    <w:name w:val="Linha horizontal"/>
    <w:basedOn w:val="Normal"/>
    <w:qFormat w:val="1"/>
    <w:pPr>
      <w:suppressLineNumbers w:val="1"/>
      <w:pBdr>
        <w:bottom w:color="808080" w:space="0" w:sz="2" w:val="double"/>
      </w:pBdr>
      <w:spacing w:after="283"/>
      <w:jc w:val="left"/>
    </w:pPr>
    <w:rPr>
      <w:sz w:val="12"/>
      <w:szCs w:val="12"/>
    </w:rPr>
  </w:style>
  <w:style w:type="paragraph" w:styleId="Contedodatabela" w:customStyle="1">
    <w:name w:val="Conteúdo da tabela"/>
    <w:basedOn w:val="Normal"/>
    <w:qFormat w:val="1"/>
    <w:pPr>
      <w:suppressLineNumbers w:val="1"/>
    </w:pPr>
  </w:style>
  <w:style w:type="paragraph" w:styleId="EndnoteSymbol" w:customStyle="1">
    <w:name w:val="Endnote Symbol"/>
    <w:basedOn w:val="Normal"/>
    <w:qFormat w:val="1"/>
    <w:pPr>
      <w:suppressLineNumbers w:val="1"/>
      <w:ind w:left="339" w:hanging="339"/>
      <w:jc w:val="left"/>
    </w:pPr>
    <w:rPr>
      <w:sz w:val="20"/>
      <w:szCs w:val="20"/>
    </w:rPr>
  </w:style>
  <w:style w:type="paragraph" w:styleId="Ttulodetabela" w:customStyle="1">
    <w:name w:val="Título de tabela"/>
    <w:basedOn w:val="Contedodatabela"/>
    <w:qFormat w:val="1"/>
  </w:style>
  <w:style w:type="paragraph" w:styleId="Resumosepalavras-chaves" w:customStyle="1">
    <w:name w:val="Resumos e palavras-chaves"/>
    <w:basedOn w:val="Normal"/>
    <w:link w:val="Resumosepalavras-chavesChar"/>
    <w:qFormat w:val="1"/>
    <w:rsid w:val="0073502A"/>
    <w:pPr>
      <w:spacing w:after="240" w:before="240"/>
      <w:ind w:firstLine="0"/>
    </w:pPr>
    <w:rPr>
      <w:sz w:val="22"/>
    </w:rPr>
  </w:style>
  <w:style w:type="character" w:styleId="Ttulo1Char" w:customStyle="1">
    <w:name w:val="Título 1 Char"/>
    <w:basedOn w:val="Fontepargpadro"/>
    <w:link w:val="Ttulo1"/>
    <w:rsid w:val="00775CAF"/>
    <w:rPr>
      <w:rFonts w:ascii="Times New Roman" w:eastAsia="Times New Roman" w:hAnsi="Times New Roman"/>
      <w:b w:val="1"/>
      <w:caps w:val="1"/>
      <w:sz w:val="24"/>
      <w:lang w:eastAsia="ar-SA"/>
    </w:rPr>
  </w:style>
  <w:style w:type="character" w:styleId="Ttulo2Char" w:customStyle="1">
    <w:name w:val="Título 2 Char"/>
    <w:basedOn w:val="Fontepargpadro"/>
    <w:link w:val="Ttulo2"/>
    <w:rsid w:val="00DA61FA"/>
    <w:rPr>
      <w:rFonts w:ascii="Times New Roman" w:eastAsia="Times New Roman" w:hAnsi="Times New Roman"/>
      <w:b w:val="1"/>
      <w:bCs w:val="1"/>
      <w:sz w:val="24"/>
      <w:lang w:eastAsia="ar-SA"/>
    </w:rPr>
  </w:style>
  <w:style w:type="character" w:styleId="Ttulo3Char" w:customStyle="1">
    <w:name w:val="Título 3 Char"/>
    <w:basedOn w:val="Fontepargpadro"/>
    <w:link w:val="Ttulo3"/>
    <w:rsid w:val="009C0CF9"/>
    <w:rPr>
      <w:rFonts w:ascii="Times New Roman" w:cs="Arial" w:eastAsia="Times New Roman" w:hAnsi="Times New Roman"/>
      <w:sz w:val="24"/>
      <w:lang w:eastAsia="ar-SA"/>
    </w:rPr>
  </w:style>
  <w:style w:type="character" w:styleId="Ttulo4Char" w:customStyle="1">
    <w:name w:val="Título 4 Char"/>
    <w:basedOn w:val="Fontepargpadro"/>
    <w:link w:val="Ttulo4"/>
    <w:rsid w:val="009C0CF9"/>
    <w:rPr>
      <w:rFonts w:ascii="Times New Roman" w:cs="Arial" w:eastAsia="Times New Roman" w:hAnsi="Times New Roman"/>
      <w:i w:val="1"/>
      <w:sz w:val="24"/>
      <w:lang w:eastAsia="ar-SA"/>
    </w:rPr>
  </w:style>
  <w:style w:type="character" w:styleId="Ttulo5Char" w:customStyle="1">
    <w:name w:val="Título 5 Char"/>
    <w:basedOn w:val="Fontepargpadro"/>
    <w:link w:val="Ttulo5"/>
    <w:rsid w:val="009C0CF9"/>
    <w:rPr>
      <w:rFonts w:ascii="Times New Roman" w:eastAsia="Times New Roman" w:hAnsi="Times New Roman"/>
      <w:i w:val="1"/>
      <w:iCs w:val="1"/>
      <w:sz w:val="22"/>
      <w:szCs w:val="22"/>
      <w:lang w:eastAsia="ar-SA" w:val="pt-PT"/>
    </w:rPr>
  </w:style>
  <w:style w:type="character" w:styleId="Ttulo6Char" w:customStyle="1">
    <w:name w:val="Título 6 Char"/>
    <w:basedOn w:val="Fontepargpadro"/>
    <w:link w:val="Ttulo6"/>
    <w:rsid w:val="009C0CF9"/>
    <w:rPr>
      <w:rFonts w:ascii="Arial" w:cs="Arial" w:eastAsia="Times New Roman" w:hAnsi="Arial"/>
      <w:i w:val="1"/>
      <w:iCs w:val="1"/>
      <w:sz w:val="22"/>
      <w:szCs w:val="22"/>
      <w:lang w:eastAsia="ar-SA" w:val="pt-PT"/>
    </w:rPr>
  </w:style>
  <w:style w:type="character" w:styleId="Ttulo7Char" w:customStyle="1">
    <w:name w:val="Título 7 Char"/>
    <w:basedOn w:val="Fontepargpadro"/>
    <w:link w:val="Ttulo7"/>
    <w:rsid w:val="009C0CF9"/>
    <w:rPr>
      <w:rFonts w:ascii="Arial" w:cs="Arial" w:eastAsia="Times New Roman" w:hAnsi="Arial"/>
      <w:sz w:val="24"/>
      <w:lang w:eastAsia="ar-SA" w:val="pt-PT"/>
    </w:rPr>
  </w:style>
  <w:style w:type="character" w:styleId="Ttulo8Char" w:customStyle="1">
    <w:name w:val="Título 8 Char"/>
    <w:basedOn w:val="Fontepargpadro"/>
    <w:link w:val="Ttulo8"/>
    <w:rsid w:val="009C0CF9"/>
    <w:rPr>
      <w:rFonts w:ascii="Arial" w:cs="Arial" w:eastAsia="Times New Roman" w:hAnsi="Arial"/>
      <w:i w:val="1"/>
      <w:iCs w:val="1"/>
      <w:sz w:val="24"/>
      <w:lang w:eastAsia="ar-SA" w:val="pt-PT"/>
    </w:rPr>
  </w:style>
  <w:style w:type="character" w:styleId="Ttulo9Char" w:customStyle="1">
    <w:name w:val="Título 9 Char"/>
    <w:basedOn w:val="Fontepargpadro"/>
    <w:link w:val="Ttulo9"/>
    <w:rsid w:val="009C0CF9"/>
    <w:rPr>
      <w:rFonts w:ascii="Arial" w:cs="Arial" w:eastAsia="Times New Roman" w:hAnsi="Arial"/>
      <w:i w:val="1"/>
      <w:iCs w:val="1"/>
      <w:sz w:val="18"/>
      <w:szCs w:val="18"/>
      <w:lang w:eastAsia="ar-SA" w:val="pt-PT"/>
    </w:rPr>
  </w:style>
  <w:style w:type="paragraph" w:styleId="Referncia" w:customStyle="1">
    <w:name w:val="Referência"/>
    <w:basedOn w:val="Normal"/>
    <w:link w:val="RefernciaChar"/>
    <w:qFormat w:val="1"/>
    <w:rsid w:val="009C0CF9"/>
    <w:pPr>
      <w:widowControl w:val="1"/>
      <w:spacing w:after="240" w:line="360" w:lineRule="auto"/>
      <w:ind w:firstLine="0"/>
      <w:jc w:val="left"/>
    </w:pPr>
    <w:rPr>
      <w:rFonts w:eastAsia="Times New Roman"/>
      <w:color w:val="000000"/>
      <w:lang w:eastAsia="ar-SA" w:val="pt-PT"/>
    </w:rPr>
  </w:style>
  <w:style w:type="character" w:styleId="RefernciaChar" w:customStyle="1">
    <w:name w:val="Referência Char"/>
    <w:link w:val="Referncia"/>
    <w:rsid w:val="009C0CF9"/>
    <w:rPr>
      <w:rFonts w:ascii="Times New Roman" w:eastAsia="Times New Roman" w:hAnsi="Times New Roman"/>
      <w:color w:val="000000"/>
      <w:sz w:val="24"/>
      <w:szCs w:val="24"/>
      <w:lang w:eastAsia="ar-SA" w:val="pt-PT"/>
    </w:rPr>
  </w:style>
  <w:style w:type="character" w:styleId="Hyperlink">
    <w:name w:val="Hyperlink"/>
    <w:basedOn w:val="Fontepargpadro"/>
    <w:uiPriority w:val="99"/>
    <w:unhideWhenUsed w:val="1"/>
    <w:rsid w:val="009C0CF9"/>
    <w:rPr>
      <w:color w:val="0563c1" w:themeColor="hyperlink"/>
      <w:u w:val="single"/>
    </w:rPr>
  </w:style>
  <w:style w:type="character" w:styleId="HiperlinkVisitado">
    <w:name w:val="FollowedHyperlink"/>
    <w:basedOn w:val="Fontepargpadro"/>
    <w:uiPriority w:val="99"/>
    <w:semiHidden w:val="1"/>
    <w:unhideWhenUsed w:val="1"/>
    <w:rsid w:val="00EC10C1"/>
    <w:rPr>
      <w:color w:val="954f72" w:themeColor="followedHyperlink"/>
      <w:u w:val="single"/>
    </w:rPr>
  </w:style>
  <w:style w:type="character" w:styleId="Resumosepalavras-chavesChar" w:customStyle="1">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val="1"/>
    <w:unhideWhenUsed w:val="1"/>
    <w:rsid w:val="00EC10C1"/>
    <w:rPr>
      <w:color w:val="605e5c"/>
      <w:shd w:color="auto" w:fill="e1dfdd" w:val="clear"/>
    </w:rPr>
  </w:style>
  <w:style w:type="character" w:styleId="Refdenotaderodap">
    <w:name w:val="footnote reference"/>
    <w:basedOn w:val="Fontepargpadro"/>
    <w:uiPriority w:val="99"/>
    <w:semiHidden w:val="1"/>
    <w:unhideWhenUsed w:val="1"/>
    <w:rsid w:val="00B2226D"/>
    <w:rPr>
      <w:vertAlign w:val="superscript"/>
    </w:rPr>
  </w:style>
  <w:style w:type="paragraph" w:styleId="SeoTerciria" w:customStyle="1">
    <w:name w:val="Seção Terciária"/>
    <w:basedOn w:val="Ttulo3"/>
    <w:link w:val="SeoTerciriaChar"/>
    <w:qFormat w:val="1"/>
    <w:rsid w:val="00DA61FA"/>
    <w:pPr>
      <w:numPr>
        <w:ilvl w:val="0"/>
        <w:numId w:val="0"/>
      </w:numPr>
    </w:pPr>
    <w:rPr>
      <w:b w:val="1"/>
      <w:i w:val="1"/>
    </w:rPr>
  </w:style>
  <w:style w:type="paragraph" w:styleId="PargrafodaLista">
    <w:name w:val="List Paragraph"/>
    <w:basedOn w:val="Normal"/>
    <w:uiPriority w:val="34"/>
    <w:qFormat w:val="1"/>
    <w:rsid w:val="006166F9"/>
    <w:pPr>
      <w:ind w:left="720"/>
      <w:contextualSpacing w:val="1"/>
    </w:pPr>
  </w:style>
  <w:style w:type="character" w:styleId="SeoTerciriaChar" w:customStyle="1">
    <w:name w:val="Seção Terciária Char"/>
    <w:basedOn w:val="Ttulo3Char"/>
    <w:link w:val="SeoTerciria"/>
    <w:rsid w:val="00DA61FA"/>
    <w:rPr>
      <w:rFonts w:ascii="Times New Roman" w:cs="Arial" w:eastAsia="Times New Roman" w:hAnsi="Times New Roman"/>
      <w:b w:val="1"/>
      <w:i w:val="1"/>
      <w:sz w:val="24"/>
      <w:lang w:eastAsia="ar-SA"/>
    </w:rPr>
  </w:style>
  <w:style w:type="character" w:styleId="Refdecomentrio">
    <w:name w:val="annotation reference"/>
    <w:basedOn w:val="Fontepargpadro"/>
    <w:uiPriority w:val="99"/>
    <w:semiHidden w:val="1"/>
    <w:unhideWhenUsed w:val="1"/>
    <w:rsid w:val="0002130F"/>
    <w:rPr>
      <w:sz w:val="16"/>
      <w:szCs w:val="16"/>
    </w:rPr>
  </w:style>
  <w:style w:type="paragraph" w:styleId="Textodecomentrio">
    <w:name w:val="annotation text"/>
    <w:basedOn w:val="Normal"/>
    <w:link w:val="TextodecomentrioChar"/>
    <w:uiPriority w:val="99"/>
    <w:unhideWhenUsed w:val="1"/>
    <w:rsid w:val="0002130F"/>
    <w:rPr>
      <w:sz w:val="20"/>
      <w:szCs w:val="20"/>
    </w:rPr>
  </w:style>
  <w:style w:type="character" w:styleId="TextodecomentrioChar" w:customStyle="1">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val="1"/>
    <w:unhideWhenUsed w:val="1"/>
    <w:rsid w:val="0002130F"/>
    <w:rPr>
      <w:b w:val="1"/>
      <w:bCs w:val="1"/>
    </w:rPr>
  </w:style>
  <w:style w:type="character" w:styleId="AssuntodocomentrioChar" w:customStyle="1">
    <w:name w:val="Assunto do comentário Char"/>
    <w:basedOn w:val="TextodecomentrioChar"/>
    <w:link w:val="Assuntodocomentrio"/>
    <w:uiPriority w:val="99"/>
    <w:semiHidden w:val="1"/>
    <w:rsid w:val="0002130F"/>
    <w:rPr>
      <w:rFonts w:ascii="Arial" w:eastAsia="Arial Unicode MS" w:hAnsi="Arial"/>
      <w:b w:val="1"/>
      <w:bCs w:val="1"/>
      <w:color w:val="00000a"/>
    </w:rPr>
  </w:style>
  <w:style w:type="table" w:styleId="Tabelacomgrade">
    <w:name w:val="Table Grid"/>
    <w:basedOn w:val="Tabelanormal"/>
    <w:uiPriority w:val="39"/>
    <w:rsid w:val="00E359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cuodecorpodetexto">
    <w:name w:val="Body Text Indent"/>
    <w:basedOn w:val="Normal"/>
    <w:link w:val="RecuodecorpodetextoChar"/>
    <w:uiPriority w:val="99"/>
    <w:semiHidden w:val="1"/>
    <w:unhideWhenUsed w:val="1"/>
    <w:rsid w:val="00E11178"/>
    <w:pPr>
      <w:ind w:left="283"/>
    </w:pPr>
  </w:style>
  <w:style w:type="character" w:styleId="RecuodecorpodetextoChar" w:customStyle="1">
    <w:name w:val="Recuo de corpo de texto Char"/>
    <w:basedOn w:val="Fontepargpadro"/>
    <w:link w:val="Recuodecorpodetexto"/>
    <w:uiPriority w:val="99"/>
    <w:semiHidden w:val="1"/>
    <w:rsid w:val="00E11178"/>
    <w:rPr>
      <w:rFonts w:ascii="Arial" w:eastAsia="Arial Unicode MS" w:hAnsi="Arial"/>
      <w:color w:val="00000a"/>
      <w:sz w:val="24"/>
      <w:szCs w:val="24"/>
    </w:rPr>
  </w:style>
  <w:style w:type="paragraph" w:styleId="SeoPrimria" w:customStyle="1">
    <w:name w:val="Seção Primária"/>
    <w:basedOn w:val="Ttulodaseoprimria"/>
    <w:link w:val="SeoPrimriaChar"/>
    <w:qFormat w:val="1"/>
    <w:rsid w:val="001079C2"/>
    <w:pPr>
      <w:spacing w:after="280" w:before="480" w:line="360" w:lineRule="auto"/>
    </w:pPr>
    <w:rPr>
      <w:caps w:val="1"/>
      <w:sz w:val="24"/>
    </w:rPr>
  </w:style>
  <w:style w:type="character" w:styleId="TtulodaseoprimriaChar" w:customStyle="1">
    <w:name w:val="Título da seção primária Char"/>
    <w:basedOn w:val="Fontepargpadro"/>
    <w:link w:val="Ttulodaseoprimria"/>
    <w:rsid w:val="00F109AC"/>
    <w:rPr>
      <w:rFonts w:ascii="Arial" w:eastAsia="Arial Unicode MS" w:hAnsi="Arial"/>
      <w:b w:val="1"/>
      <w:color w:val="00000a"/>
      <w:sz w:val="26"/>
      <w:szCs w:val="24"/>
    </w:rPr>
  </w:style>
  <w:style w:type="character" w:styleId="SeoPrimriaChar" w:customStyle="1">
    <w:name w:val="Seção Primária Char"/>
    <w:basedOn w:val="TtulodaseoprimriaChar"/>
    <w:link w:val="SeoPrimria"/>
    <w:rsid w:val="001079C2"/>
    <w:rPr>
      <w:rFonts w:ascii="Times New Roman" w:eastAsia="Arial Unicode MS" w:hAnsi="Times New Roman"/>
      <w:b w:val="1"/>
      <w:caps w:val="1"/>
      <w:color w:val="00000a"/>
      <w:sz w:val="24"/>
      <w:szCs w:val="24"/>
    </w:rPr>
  </w:style>
  <w:style w:type="paragraph" w:styleId="Subseo2XVIIIENANCIB" w:customStyle="1">
    <w:name w:val="Subseção2_XVIII_ENANCIB"/>
    <w:basedOn w:val="Ttulo3"/>
    <w:qFormat w:val="1"/>
    <w:rsid w:val="0045311E"/>
    <w:pPr>
      <w:keepNext w:val="1"/>
      <w:numPr>
        <w:ilvl w:val="0"/>
        <w:numId w:val="0"/>
      </w:numPr>
      <w:suppressAutoHyphens w:val="0"/>
      <w:spacing w:after="120" w:before="120" w:line="240" w:lineRule="auto"/>
      <w:jc w:val="left"/>
    </w:pPr>
    <w:rPr>
      <w:rFonts w:ascii="Calibri" w:cs="Calibri" w:hAnsi="Calibri"/>
      <w:bCs w:val="1"/>
      <w:i w:val="1"/>
      <w:szCs w:val="26"/>
      <w:lang w:eastAsia="en-US" w:val="en-US"/>
    </w:rPr>
  </w:style>
  <w:style w:type="character" w:styleId="fontstyle01" w:customStyle="1">
    <w:name w:val="fontstyle01"/>
    <w:basedOn w:val="Fontepargpadro"/>
    <w:rsid w:val="00925F03"/>
    <w:rPr>
      <w:rFonts w:ascii="Calibri" w:hAnsi="Calibri" w:hint="default"/>
      <w:b w:val="0"/>
      <w:bCs w:val="0"/>
      <w:i w:val="0"/>
      <w:iCs w:val="0"/>
      <w:color w:val="663300"/>
      <w:sz w:val="96"/>
      <w:szCs w:val="96"/>
    </w:rPr>
  </w:style>
  <w:style w:type="character" w:styleId="fontstyle21" w:customStyle="1">
    <w:name w:val="fontstyle21"/>
    <w:basedOn w:val="Fontepargpadro"/>
    <w:rsid w:val="00925F03"/>
    <w:rPr>
      <w:rFonts w:ascii="Calibri-Bold" w:hAnsi="Calibri-Bold" w:hint="default"/>
      <w:b w:val="1"/>
      <w:bCs w:val="1"/>
      <w:i w:val="0"/>
      <w:iCs w:val="0"/>
      <w:color w:val="411c11"/>
      <w:sz w:val="50"/>
      <w:szCs w:val="50"/>
    </w:rPr>
  </w:style>
  <w:style w:type="character" w:styleId="fontstyle31" w:customStyle="1">
    <w:name w:val="fontstyle31"/>
    <w:basedOn w:val="Fontepargpadro"/>
    <w:rsid w:val="00925F03"/>
    <w:rPr>
      <w:rFonts w:ascii="Calibri-Italic" w:hAnsi="Calibri-Italic" w:hint="default"/>
      <w:b w:val="0"/>
      <w:bCs w:val="0"/>
      <w:i w:val="1"/>
      <w:iCs w:val="1"/>
      <w:color w:val="411c1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bmed.ncbi.nlm.nih.gov/12676263/" TargetMode="External"/><Relationship Id="rId10" Type="http://schemas.openxmlformats.org/officeDocument/2006/relationships/hyperlink" Target="https://www.ncbi.nlm.nih.gov/pmc/articles/PMC1769665/"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ncbi.nlm.nih.gov/pmc/articles/PMC8243497/"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mailto:maria.willaira@aluno.ufca.edu.br" TargetMode="External"/><Relationship Id="rId2" Type="http://schemas.openxmlformats.org/officeDocument/2006/relationships/hyperlink" Target="mailto:cecilia.paz@aluno.ufca.edu.br" TargetMode="External"/><Relationship Id="rId3" Type="http://schemas.openxmlformats.org/officeDocument/2006/relationships/hyperlink" Target="mailto:myrella.tavares@aluno.ufca.edu.br" TargetMode="External"/><Relationship Id="rId4" Type="http://schemas.openxmlformats.org/officeDocument/2006/relationships/hyperlink" Target="mailto:marcos.lima@ufca.edu.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oAFTkKz9O1dbyl+TyOIvhCahXQ==">CgMxLjA4AHIhMUxKc2xpbWYzVnFNN0pLQTJQYVlHTkJ3N2NaZXJQbUUz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2022-07-19T13:04:00Z</dcterms:created>
  <dc:creator>DGI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