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480" w:before="72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TRIAGEM FOTOQUÍMICA E TOXICIDADE AGUDA DE </w:t>
      </w:r>
      <w:r w:rsidDel="00000000" w:rsidR="00000000" w:rsidRPr="00000000">
        <w:rPr>
          <w:b w:val="1"/>
          <w:i w:val="1"/>
          <w:sz w:val="32"/>
          <w:szCs w:val="32"/>
          <w:rtl w:val="0"/>
        </w:rPr>
        <w:t xml:space="preserve">Paullinia cupana</w:t>
      </w:r>
      <w:r w:rsidDel="00000000" w:rsidR="00000000" w:rsidRPr="00000000">
        <w:rPr>
          <w:b w:val="1"/>
          <w:sz w:val="32"/>
          <w:szCs w:val="32"/>
          <w:rtl w:val="0"/>
        </w:rPr>
        <w:t xml:space="preserve"> NO MODELO </w:t>
      </w:r>
      <w:r w:rsidDel="00000000" w:rsidR="00000000" w:rsidRPr="00000000">
        <w:rPr>
          <w:b w:val="1"/>
          <w:i w:val="1"/>
          <w:sz w:val="32"/>
          <w:szCs w:val="32"/>
          <w:rtl w:val="0"/>
        </w:rPr>
        <w:t xml:space="preserve">Artemia salina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Rule="auto"/>
        <w:ind w:firstLine="0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Carey Melissa Ferreira da Silva, Carlos Alonso Leite dos Santos; Amanda Maria Tavares Moreira; Jailson Renato de Lima Silva; Thalyta Julyanne Silva de Oliveira; Luiz Marivando Barros; Antonia Eliene Duarte</w:t>
      </w:r>
    </w:p>
    <w:p w:rsidR="00000000" w:rsidDel="00000000" w:rsidP="00000000" w:rsidRDefault="00000000" w:rsidRPr="00000000" w14:paraId="00000003">
      <w:pPr>
        <w:spacing w:after="0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1 Introdução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O extrato natural de guaraná (</w:t>
      </w:r>
      <w:r w:rsidDel="00000000" w:rsidR="00000000" w:rsidRPr="00000000">
        <w:rPr>
          <w:i w:val="1"/>
          <w:rtl w:val="0"/>
        </w:rPr>
        <w:t xml:space="preserve">Paullinia cupana </w:t>
      </w:r>
      <w:r w:rsidDel="00000000" w:rsidR="00000000" w:rsidRPr="00000000">
        <w:rPr>
          <w:rtl w:val="0"/>
        </w:rPr>
        <w:t xml:space="preserve">Kunth.) é originário da região amazônica da América do Sul, e tem sido utilizado ao longo dos séculos pelas comunidades indígenas locais devido às suas propriedades estimulantes e medicinais (SCHIMPL </w:t>
      </w:r>
      <w:r w:rsidDel="00000000" w:rsidR="00000000" w:rsidRPr="00000000">
        <w:rPr>
          <w:i w:val="1"/>
          <w:rtl w:val="0"/>
        </w:rPr>
        <w:t xml:space="preserve">et al</w:t>
      </w:r>
      <w:r w:rsidDel="00000000" w:rsidR="00000000" w:rsidRPr="00000000">
        <w:rPr>
          <w:rtl w:val="0"/>
        </w:rPr>
        <w:t xml:space="preserve">., 2013).  O guaraná puro pode conter uma concentração de cafeína de até 5,3% (TORRES </w:t>
      </w:r>
      <w:r w:rsidDel="00000000" w:rsidR="00000000" w:rsidRPr="00000000">
        <w:rPr>
          <w:i w:val="1"/>
          <w:rtl w:val="0"/>
        </w:rPr>
        <w:t xml:space="preserve">et al</w:t>
      </w:r>
      <w:r w:rsidDel="00000000" w:rsidR="00000000" w:rsidRPr="00000000">
        <w:rPr>
          <w:rtl w:val="0"/>
        </w:rPr>
        <w:t xml:space="preserve">., 2022), enquanto fontes mais comuns de cafeína, como café expresso e chocolate amargo, apresentam consideravelmente menores (aproximadamente 0,21% e 0 ,08% de cafeína, respectivamente) (HACK </w:t>
      </w:r>
      <w:r w:rsidDel="00000000" w:rsidR="00000000" w:rsidRPr="00000000">
        <w:rPr>
          <w:i w:val="1"/>
          <w:rtl w:val="0"/>
        </w:rPr>
        <w:t xml:space="preserve">et al</w:t>
      </w:r>
      <w:r w:rsidDel="00000000" w:rsidR="00000000" w:rsidRPr="00000000">
        <w:rPr>
          <w:rtl w:val="0"/>
        </w:rPr>
        <w:t xml:space="preserve">., 2023). 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  <w:t xml:space="preserve">Além disso, o guaraná possui uma composição química que vai além da sua alta concentração e biodisponibilidade de metilxantinas. Tal composto também contém flavonoides, como catequinas e epicatequinas, e pró-antocianidinas, que têm o potencial de causar outros efeitos positivos na saúde humana (TORRES </w:t>
      </w:r>
      <w:r w:rsidDel="00000000" w:rsidR="00000000" w:rsidRPr="00000000">
        <w:rPr>
          <w:i w:val="1"/>
          <w:rtl w:val="0"/>
        </w:rPr>
        <w:t xml:space="preserve">et al</w:t>
      </w:r>
      <w:r w:rsidDel="00000000" w:rsidR="00000000" w:rsidRPr="00000000">
        <w:rPr>
          <w:rtl w:val="0"/>
        </w:rPr>
        <w:t xml:space="preserve">., 2022). 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  <w:t xml:space="preserve">A procura por tratamentos terapêuticos através das espécies vegetais remonta desde a origem da humanidade no âmbito medicinal, ritualístico e religioso do conhecimento popular (SOARES et al., 2022). Em vista disso, é possível evidenciar a aplicação e uso do guaraná no tratamento de enfermidades (TFOUNI et al., 2007; MARQUES et al., 2016).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  <w:t xml:space="preserve">A espécie P. cupana é distribuída para a população em forma de pó, semente torrada, bastão ou extratos a serem utilizados como fármacos, bebidas energéticas, produtos de beleza, sorvetes, artesanatos, entre outros usos (CAMPOS, 2018; SEBRAE, 2020).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A. salina Leach, um microcrustáceo de água salgada amplamente distribuído, conhecido por sua capacidade de reprodução fácil, o que o torna ideal para ensaios de toxicidade. Além disso, a Artemia salina também pode indicar possíveis atividades biológicas, como propriedades anticancerígenas, inseticidas, moluscicidas e antifúngicos (LUNA et al., 2005).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Sendo assim, o objetivo deste estudo foi analisar a composição química e avaliar a toxicidade aguda do extrato vegetal de guaraná frente ao modelo </w:t>
      </w:r>
      <w:r w:rsidDel="00000000" w:rsidR="00000000" w:rsidRPr="00000000">
        <w:rPr>
          <w:i w:val="1"/>
          <w:rtl w:val="0"/>
        </w:rPr>
        <w:t xml:space="preserve">Artemia salina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2 material e mÉtodo</w:t>
      </w:r>
    </w:p>
    <w:p w:rsidR="00000000" w:rsidDel="00000000" w:rsidP="00000000" w:rsidRDefault="00000000" w:rsidRPr="00000000" w14:paraId="0000000C">
      <w:pPr>
        <w:spacing w:line="360" w:lineRule="auto"/>
        <w:ind w:firstLine="0"/>
        <w:rPr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rtl w:val="0"/>
        </w:rPr>
        <w:t xml:space="preserve">Triagem fitoquímica 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Realizou-se a triagem fitoquímica preliminar do extrato para identificar as principais classes de metabólitos secundários presentes. Neste teste, utilizaram-se métodos colorimétricos para avaliar a presença das classes, no qual a presença de um determinado constituinte pode mascarar a cor característica de outro (DE BESSA </w:t>
      </w:r>
      <w:r w:rsidDel="00000000" w:rsidR="00000000" w:rsidRPr="00000000">
        <w:rPr>
          <w:i w:val="1"/>
          <w:rtl w:val="0"/>
        </w:rPr>
        <w:t xml:space="preserve">et al</w:t>
      </w:r>
      <w:r w:rsidDel="00000000" w:rsidR="00000000" w:rsidRPr="00000000">
        <w:rPr>
          <w:rtl w:val="0"/>
        </w:rPr>
        <w:t xml:space="preserve">., 2013).</w:t>
      </w:r>
    </w:p>
    <w:p w:rsidR="00000000" w:rsidDel="00000000" w:rsidP="00000000" w:rsidRDefault="00000000" w:rsidRPr="00000000" w14:paraId="0000000E">
      <w:pPr>
        <w:spacing w:after="0" w:line="360" w:lineRule="auto"/>
        <w:ind w:firstLine="0"/>
        <w:jc w:val="center"/>
        <w:rPr>
          <w:sz w:val="20"/>
          <w:szCs w:val="20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8" w:w="11906" w:orient="portrait"/>
          <w:pgMar w:bottom="1417" w:top="1417" w:left="1701" w:right="1417" w:header="454" w:footer="454"/>
          <w:pgNumType w:start="1"/>
          <w:titlePg w:val="1"/>
        </w:sectPr>
      </w:pPr>
      <w:r w:rsidDel="00000000" w:rsidR="00000000" w:rsidRPr="00000000">
        <w:rPr>
          <w:sz w:val="20"/>
          <w:szCs w:val="20"/>
          <w:rtl w:val="0"/>
        </w:rPr>
        <w:t xml:space="preserve">Tabela 1: Métodos de determinação fitoquímica qualitativa para o pó de </w:t>
      </w:r>
      <w:r w:rsidDel="00000000" w:rsidR="00000000" w:rsidRPr="00000000">
        <w:rPr>
          <w:i w:val="1"/>
          <w:sz w:val="20"/>
          <w:szCs w:val="20"/>
          <w:rtl w:val="0"/>
        </w:rPr>
        <w:t xml:space="preserve">Paullinia cupana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034.0" w:type="dxa"/>
        <w:jc w:val="left"/>
        <w:tblBorders>
          <w:top w:color="7f7f7f" w:space="0" w:sz="4" w:val="single"/>
          <w:left w:color="000000" w:space="0" w:sz="4" w:val="single"/>
          <w:bottom w:color="7f7f7f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1695"/>
        <w:gridCol w:w="1094"/>
        <w:gridCol w:w="1245"/>
        <w:tblGridChange w:id="0">
          <w:tblGrid>
            <w:gridCol w:w="1695"/>
            <w:gridCol w:w="1094"/>
            <w:gridCol w:w="1245"/>
          </w:tblGrid>
        </w:tblGridChange>
      </w:tblGrid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Classes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Método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Citação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Taninos hidrolisáveis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Reação de FeCl</w:t>
            </w:r>
            <w:r w:rsidDel="00000000" w:rsidR="00000000" w:rsidRPr="00000000">
              <w:rPr>
                <w:sz w:val="16"/>
                <w:szCs w:val="16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BARBOSA et al., 2004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Taninos flababênicas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Reação de FeCl</w:t>
            </w:r>
            <w:r w:rsidDel="00000000" w:rsidR="00000000" w:rsidRPr="00000000">
              <w:rPr>
                <w:sz w:val="16"/>
                <w:szCs w:val="16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BARBOSA et al., 2004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Antocianinas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Reação ácida e alcalina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720"/>
              </w:tabs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BARBOSA et al., 2004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Antocianidinas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Reação ácida e alcalina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BARBOSA et al., 2004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Flavonas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Reação alcalina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BARBOSA et al., 2004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Flavonóis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Reação alcalina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BARBOSA et al., 2004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Xantonas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Reação alcalina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BARBOSA et al., 2004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Chalconas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Reação ácida e alcalina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BARBOSA et al., 2004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Auronas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Reação ácida e alcalina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BARBOSA et al., 2004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Flavanonóis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Reação alcalina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BARBOSA et al., 2004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Leucoantocianidinas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Reação ácida e alcalina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BARBOSA et al., 2004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Catequinas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Reação ácida e alcalina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BARBOSA et al., 2004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Flavononas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Reação ácida e alcalina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BARBOSA et al., 2004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Saponinas espumídicas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Tempo de espuma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BRAGA et al., 2019</w:t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center"/>
        <w:rPr>
          <w:sz w:val="20"/>
          <w:szCs w:val="20"/>
        </w:rPr>
        <w:sectPr>
          <w:type w:val="continuous"/>
          <w:pgSz w:h="16838" w:w="11906" w:orient="portrait"/>
          <w:pgMar w:bottom="1417" w:top="1417" w:left="1701" w:right="1417" w:header="454" w:footer="454"/>
          <w:cols w:equalWidth="0" w:num="2">
            <w:col w:space="720" w:w="4034"/>
            <w:col w:space="0" w:w="4034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 da pesquisa tabulada: DE MENEZES FILHO &amp; SANTOS., 2021</w:t>
      </w:r>
    </w:p>
    <w:p w:rsidR="00000000" w:rsidDel="00000000" w:rsidP="00000000" w:rsidRDefault="00000000" w:rsidRPr="00000000" w14:paraId="0000003F">
      <w:pPr>
        <w:spacing w:line="360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Avaliação da mortalidade em </w:t>
      </w:r>
      <w:r w:rsidDel="00000000" w:rsidR="00000000" w:rsidRPr="00000000">
        <w:rPr>
          <w:b w:val="1"/>
          <w:i w:val="1"/>
          <w:rtl w:val="0"/>
        </w:rPr>
        <w:t xml:space="preserve">Artemia salina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O teste de toxicidade foi realizado como descrito por Meyer (1982), com algumas modificações. Em uma água artificial, foram adicionados cistos de </w:t>
      </w:r>
      <w:r w:rsidDel="00000000" w:rsidR="00000000" w:rsidRPr="00000000">
        <w:rPr>
          <w:i w:val="1"/>
          <w:rtl w:val="0"/>
        </w:rPr>
        <w:t xml:space="preserve">A. salina</w:t>
      </w:r>
      <w:r w:rsidDel="00000000" w:rsidR="00000000" w:rsidRPr="00000000">
        <w:rPr>
          <w:rtl w:val="0"/>
        </w:rPr>
        <w:t xml:space="preserve">, que foram submetidos a constante aeração por 24 h, então foram preparadas diferentes concentrações de 1000, 500, 250, 100, 50, 10, 5 μg/mL do extrato de guaraná, e posteriormente foram adicionadas dez larvas em cada concentração. </w:t>
      </w:r>
    </w:p>
    <w:p w:rsidR="00000000" w:rsidDel="00000000" w:rsidP="00000000" w:rsidRDefault="00000000" w:rsidRPr="00000000" w14:paraId="00000041">
      <w:pPr>
        <w:spacing w:line="360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Elaboração e análise de gráfica</w:t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  <w:t xml:space="preserve">Para as construções e análise dos gráficos demonstrando na secção de resultados e discussão, utilizou-se o software </w:t>
      </w:r>
      <w:r w:rsidDel="00000000" w:rsidR="00000000" w:rsidRPr="00000000">
        <w:rPr>
          <w:i w:val="1"/>
          <w:rtl w:val="0"/>
        </w:rPr>
        <w:t xml:space="preserve">Graphpad Prism</w:t>
      </w:r>
      <w:r w:rsidDel="00000000" w:rsidR="00000000" w:rsidRPr="00000000">
        <w:rPr>
          <w:rtl w:val="0"/>
        </w:rPr>
        <w:t xml:space="preserve"> versão 8.0.1. por ser um método de análise que permite uma leitura mais dinâmica dos dados.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mallCap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resultados e discussão</w:t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  <w:t xml:space="preserve">Foram realizados testes para identificar a presença de diferentes compostos químicos em termos de classes fitoquímicas. Os resultados obtidos na Tabela 2, por meio de reações colorimétricas. Foi constatada a ocorrência de taninos fenólicos, taninos flavanônicos, antocianinas, antocianidinas, flavonas, flavanóis, xantonas, chalconas, auronas, flavanonóis, catequinas, flavononas e saponinas espumídicas como os grupos mais representativos. </w:t>
      </w:r>
    </w:p>
    <w:p w:rsidR="00000000" w:rsidDel="00000000" w:rsidP="00000000" w:rsidRDefault="00000000" w:rsidRPr="00000000" w14:paraId="00000045">
      <w:pPr>
        <w:spacing w:after="0" w:line="360" w:lineRule="auto"/>
        <w:jc w:val="center"/>
        <w:rPr>
          <w:sz w:val="20"/>
          <w:szCs w:val="20"/>
        </w:rPr>
        <w:sectPr>
          <w:type w:val="continuous"/>
          <w:pgSz w:h="16838" w:w="11906" w:orient="portrait"/>
          <w:pgMar w:bottom="1417" w:top="1417" w:left="1701" w:right="1417" w:header="454" w:footer="454"/>
          <w:titlePg w:val="1"/>
        </w:sectPr>
      </w:pPr>
      <w:r w:rsidDel="00000000" w:rsidR="00000000" w:rsidRPr="00000000">
        <w:rPr>
          <w:sz w:val="20"/>
          <w:szCs w:val="20"/>
          <w:rtl w:val="0"/>
        </w:rPr>
        <w:t xml:space="preserve">Tabela 2: Prospecção fitoquímica do pó de </w:t>
      </w:r>
      <w:r w:rsidDel="00000000" w:rsidR="00000000" w:rsidRPr="00000000">
        <w:rPr>
          <w:i w:val="1"/>
          <w:sz w:val="20"/>
          <w:szCs w:val="20"/>
          <w:rtl w:val="0"/>
        </w:rPr>
        <w:t xml:space="preserve">Paullinia cupana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034.0" w:type="dxa"/>
        <w:jc w:val="center"/>
        <w:tblBorders>
          <w:top w:color="7f7f7f" w:space="0" w:sz="4" w:val="single"/>
          <w:left w:color="000000" w:space="0" w:sz="4" w:val="single"/>
          <w:bottom w:color="7f7f7f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448"/>
        <w:gridCol w:w="1586"/>
        <w:tblGridChange w:id="0">
          <w:tblGrid>
            <w:gridCol w:w="2448"/>
            <w:gridCol w:w="1586"/>
          </w:tblGrid>
        </w:tblGridChange>
      </w:tblGrid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Classes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Resultados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Fenóis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Taninos hidrolisáveis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Taninos flababênicas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Antocianinas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Antocianidinas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Flavonas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Flavonóis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Xantonas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Chalconas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Auronas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Flavanonóis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Leucoantocianidinas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Catequinas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Flavononas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360" w:lineRule="auto"/>
              <w:ind w:left="-2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saponinas   espumídicas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67">
      <w:pPr>
        <w:spacing w:after="0" w:line="360" w:lineRule="auto"/>
        <w:jc w:val="center"/>
        <w:rPr>
          <w:sz w:val="20"/>
          <w:szCs w:val="20"/>
        </w:rPr>
        <w:sectPr>
          <w:type w:val="continuous"/>
          <w:pgSz w:h="16838" w:w="11906" w:orient="portrait"/>
          <w:pgMar w:bottom="1417" w:top="1417" w:left="1701" w:right="1417" w:header="454" w:footer="454"/>
          <w:cols w:equalWidth="0" w:num="2">
            <w:col w:space="720" w:w="4034"/>
            <w:col w:space="0" w:w="4034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mudança (0); presença de mudança (+)</w:t>
      </w:r>
    </w:p>
    <w:p w:rsidR="00000000" w:rsidDel="00000000" w:rsidP="00000000" w:rsidRDefault="00000000" w:rsidRPr="00000000" w14:paraId="00000069">
      <w:pPr>
        <w:spacing w:after="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Autores, 2023. </w:t>
      </w:r>
    </w:p>
    <w:p w:rsidR="00000000" w:rsidDel="00000000" w:rsidP="00000000" w:rsidRDefault="00000000" w:rsidRPr="00000000" w14:paraId="0000006A">
      <w:pPr>
        <w:spacing w:line="360" w:lineRule="auto"/>
        <w:rPr/>
      </w:pPr>
      <w:r w:rsidDel="00000000" w:rsidR="00000000" w:rsidRPr="00000000">
        <w:rPr>
          <w:rtl w:val="0"/>
        </w:rPr>
        <w:t xml:space="preserve">Após um período de 24 horas, realizou-se a análise da toxicidade aguda do pó da espécie </w:t>
      </w:r>
      <w:r w:rsidDel="00000000" w:rsidR="00000000" w:rsidRPr="00000000">
        <w:rPr>
          <w:i w:val="1"/>
          <w:rtl w:val="0"/>
        </w:rPr>
        <w:t xml:space="preserve">P. cupana</w:t>
      </w:r>
      <w:r w:rsidDel="00000000" w:rsidR="00000000" w:rsidRPr="00000000">
        <w:rPr>
          <w:rtl w:val="0"/>
        </w:rPr>
        <w:t xml:space="preserve">. Os resultados obtidos indicaram que, em uma concentração de 1000 µg/ml, o extrato apresentou uma leve toxicidade. Essa descoberta é relevante, pois a toxicidade aguda é um parâmetro importante para avaliar a segurança e os possíveis efeitos adversos de uma substância.</w:t>
      </w:r>
    </w:p>
    <w:p w:rsidR="00000000" w:rsidDel="00000000" w:rsidP="00000000" w:rsidRDefault="00000000" w:rsidRPr="00000000" w14:paraId="0000006B">
      <w:pPr>
        <w:spacing w:after="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Gráfico 1: Toxicidade aguda do pó de </w:t>
      </w:r>
      <w:r w:rsidDel="00000000" w:rsidR="00000000" w:rsidRPr="00000000">
        <w:rPr>
          <w:i w:val="1"/>
          <w:sz w:val="20"/>
          <w:szCs w:val="20"/>
          <w:rtl w:val="0"/>
        </w:rPr>
        <w:t xml:space="preserve">Paullinia cupana</w:t>
      </w:r>
      <w:r w:rsidDel="00000000" w:rsidR="00000000" w:rsidRPr="00000000">
        <w:rPr>
          <w:sz w:val="20"/>
          <w:szCs w:val="20"/>
          <w:rtl w:val="0"/>
        </w:rPr>
        <w:t xml:space="preserve"> no modelo </w:t>
      </w:r>
      <w:r w:rsidDel="00000000" w:rsidR="00000000" w:rsidRPr="00000000">
        <w:rPr>
          <w:i w:val="1"/>
          <w:sz w:val="20"/>
          <w:szCs w:val="20"/>
          <w:rtl w:val="0"/>
        </w:rPr>
        <w:t xml:space="preserve">Artemia salina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00000" cy="236750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6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Autores, 2023.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mallCap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conclusão</w:t>
      </w:r>
    </w:p>
    <w:p w:rsidR="00000000" w:rsidDel="00000000" w:rsidP="00000000" w:rsidRDefault="00000000" w:rsidRPr="00000000" w14:paraId="0000006F">
      <w:pPr>
        <w:spacing w:line="360" w:lineRule="auto"/>
        <w:rPr/>
      </w:pPr>
      <w:r w:rsidDel="00000000" w:rsidR="00000000" w:rsidRPr="00000000">
        <w:rPr>
          <w:rtl w:val="0"/>
        </w:rPr>
        <w:t xml:space="preserve">É importante ressaltar que, embora o extrato de guaraná tenha mostrado um nível de toxicidade em uma concentração de 1000 µg/ml, é necessário considerar que a toxicidade pode variar dependendo da concentração e do tempo de exposição. Estudos adicionais são necessários para compreender melhor os efeitos do guaraná em diferentes doses e condições de uso, visando determinar sua segurança e eficácia.</w:t>
      </w:r>
    </w:p>
    <w:p w:rsidR="00000000" w:rsidDel="00000000" w:rsidP="00000000" w:rsidRDefault="00000000" w:rsidRPr="00000000" w14:paraId="00000070">
      <w:pPr>
        <w:pStyle w:val="Heading1"/>
        <w:spacing w:after="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Agradecimentos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tl w:val="0"/>
        </w:rPr>
        <w:t xml:space="preserve">Agradeço aos laboratórios BIOTOX (laboratório de Biologia e Toxicologia) e LECOV (laboratório de Ecofisiologia Vegetal) por sua colaboração neste estudo. Em segundo lugar, gostaria de expressar minha gratidão à URCA, ao programa FUNCAP e a CAPES, por fornecerem esta experiência. Sem eles, nada disso teria sido possível de ser concretizado.</w:t>
      </w:r>
    </w:p>
    <w:p w:rsidR="00000000" w:rsidDel="00000000" w:rsidP="00000000" w:rsidRDefault="00000000" w:rsidRPr="00000000" w14:paraId="00000073">
      <w:pPr>
        <w:pStyle w:val="Heading1"/>
        <w:spacing w:after="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74">
      <w:pPr>
        <w:spacing w:after="240" w:before="240" w:lineRule="auto"/>
        <w:ind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BARBOSA, W. L. R.; QUIGNARD, E.; TAVARES, I. C. C.; PINTO, L. N.; OLIVEIRA, F. Q.; &amp; OLIVEIRA, R. M. Manual para análise fitoquímica e cromatográfica de extratos vegetais. </w:t>
      </w:r>
      <w:r w:rsidDel="00000000" w:rsidR="00000000" w:rsidRPr="00000000">
        <w:rPr>
          <w:b w:val="1"/>
          <w:color w:val="000000"/>
          <w:rtl w:val="0"/>
        </w:rPr>
        <w:t xml:space="preserve">Revista Científica da UFPA</w:t>
      </w:r>
      <w:r w:rsidDel="00000000" w:rsidR="00000000" w:rsidRPr="00000000">
        <w:rPr>
          <w:color w:val="000000"/>
          <w:rtl w:val="0"/>
        </w:rPr>
        <w:t xml:space="preserve">, v. 4, 2004.</w:t>
      </w:r>
    </w:p>
    <w:p w:rsidR="00000000" w:rsidDel="00000000" w:rsidP="00000000" w:rsidRDefault="00000000" w:rsidRPr="00000000" w14:paraId="00000075">
      <w:pPr>
        <w:spacing w:after="240" w:before="240" w:lineRule="auto"/>
        <w:ind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BRAGA, P. M. S.; BARCELOS, I. B.; CALAZANS, R. S. P.; BULIAN, A. L. S.; GABLER, J. C. R.; SOBRAL, F. O. S.; &amp; SALVI, J. O. Análise fitoquímica, toxicidade, potencial antioxidante e atividade antibacteriana da </w:t>
      </w:r>
      <w:r w:rsidDel="00000000" w:rsidR="00000000" w:rsidRPr="00000000">
        <w:rPr>
          <w:i w:val="1"/>
          <w:color w:val="000000"/>
          <w:rtl w:val="0"/>
        </w:rPr>
        <w:t xml:space="preserve">Ceiba speciosa</w:t>
      </w:r>
      <w:r w:rsidDel="00000000" w:rsidR="00000000" w:rsidRPr="00000000">
        <w:rPr>
          <w:color w:val="000000"/>
          <w:rtl w:val="0"/>
        </w:rPr>
        <w:t xml:space="preserve"> (A. ST. –Hil.) Ravenna. </w:t>
      </w:r>
      <w:r w:rsidDel="00000000" w:rsidR="00000000" w:rsidRPr="00000000">
        <w:rPr>
          <w:b w:val="1"/>
          <w:color w:val="000000"/>
          <w:rtl w:val="0"/>
        </w:rPr>
        <w:t xml:space="preserve">Revista Fitos</w:t>
      </w:r>
      <w:r w:rsidDel="00000000" w:rsidR="00000000" w:rsidRPr="00000000">
        <w:rPr>
          <w:color w:val="000000"/>
          <w:rtl w:val="0"/>
        </w:rPr>
        <w:t xml:space="preserve">, v. 13, n. 1, p. 9-21, 2019.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CAMPOS, Andressa Ferreira. Efeitos do guaraná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Paullinia cupana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na saúde cardiovascular: uma revisão sistemática. 2018. 98 f. Dissertação (Mestrado) - Curso de Nutrição, Universidade de São Paulo Faculdade de Saúde Pública, São Paulo, 2018. Disponível em: &lt;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https://www.teses.usp.br/teses/disponiveis/6/6138/tde-27082018- 120729/publico/AndressaFerreiraCampos_MTR_REVISADA.pdf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widowControl w:val="1"/>
        <w:shd w:fill="ffffff" w:val="clear"/>
        <w:spacing w:after="240" w:before="240" w:lineRule="auto"/>
        <w:ind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Costa  CR, Olivi  P,  Botta  CMR,  Espindola  ELG.  A  toxicidade  em  ambientes  aquáticos: discussão e métodos de avaliação. </w:t>
      </w:r>
      <w:r w:rsidDel="00000000" w:rsidR="00000000" w:rsidRPr="00000000">
        <w:rPr>
          <w:b w:val="1"/>
          <w:color w:val="000000"/>
          <w:rtl w:val="0"/>
        </w:rPr>
        <w:t xml:space="preserve">Quím. Nova</w:t>
      </w:r>
      <w:r w:rsidDel="00000000" w:rsidR="00000000" w:rsidRPr="00000000">
        <w:rPr>
          <w:color w:val="000000"/>
          <w:rtl w:val="0"/>
        </w:rPr>
        <w:t xml:space="preserve">.2008;31(7);1820-1830.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 BESSA, N. G. F. et al. Prospecção fitoquímica preliminar de plantas nativas do cerrado de uso popular medicinal pela comunidade rural do assentamento vale verde-Tocantins.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Revista Brasileira de Plantas Medicinais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v. 15, p. 692-707, 2013.</w:t>
      </w:r>
    </w:p>
    <w:p w:rsidR="00000000" w:rsidDel="00000000" w:rsidP="00000000" w:rsidRDefault="00000000" w:rsidRPr="00000000" w14:paraId="00000079">
      <w:pPr>
        <w:spacing w:after="240" w:before="240" w:lineRule="auto"/>
        <w:ind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 MENEZES FILHO, Antonio Carlos Pereira; SANTOS, Mariana Chaves. Prospecção fitoquímica, físico-química e biológica do extrato hidroetanólico floral de [Tabebuia impetiginosa (Mart. ex DC.) Standl.]. </w:t>
      </w:r>
      <w:r w:rsidDel="00000000" w:rsidR="00000000" w:rsidRPr="00000000">
        <w:rPr>
          <w:b w:val="1"/>
          <w:color w:val="000000"/>
          <w:rtl w:val="0"/>
        </w:rPr>
        <w:t xml:space="preserve">Biológicas &amp; Saúde</w:t>
      </w:r>
      <w:r w:rsidDel="00000000" w:rsidR="00000000" w:rsidRPr="00000000">
        <w:rPr>
          <w:color w:val="000000"/>
          <w:rtl w:val="0"/>
        </w:rPr>
        <w:t xml:space="preserve">, v. 11, n. 36, p. 1-25, 2021.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Hack, B., Penna, E. M., Talik, T., Chandrashekhar, R., &amp; Millard-Stafford, M. Effect of Guarana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Paullinia cupana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) on Cognitive Performance: A Systematic Review and Meta-Analysis.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Nutrients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v. 15, n. 2, p. 434,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HERNÁNDEZ, A. R. F.; DUARTE, T. M.; DEL TORO, M. T.; &amp; FERRER, M. E. A. Estudio de los compuestos esteroidales de las hojas y frutos de </w:t>
      </w:r>
      <w:r w:rsidDel="00000000" w:rsidR="00000000" w:rsidRPr="00000000">
        <w:rPr>
          <w:i w:val="1"/>
          <w:color w:val="000000"/>
          <w:rtl w:val="0"/>
        </w:rPr>
        <w:t xml:space="preserve">Solanum sisymbriifolium</w:t>
      </w:r>
      <w:r w:rsidDel="00000000" w:rsidR="00000000" w:rsidRPr="00000000">
        <w:rPr>
          <w:color w:val="000000"/>
          <w:rtl w:val="0"/>
        </w:rPr>
        <w:t xml:space="preserve"> Lam (Joá, Juá, Jurubeba), Solanaceae. </w:t>
      </w:r>
      <w:r w:rsidDel="00000000" w:rsidR="00000000" w:rsidRPr="00000000">
        <w:rPr>
          <w:b w:val="1"/>
          <w:color w:val="000000"/>
          <w:rtl w:val="0"/>
        </w:rPr>
        <w:t xml:space="preserve">Revista Cubana de Plantas Medicinales</w:t>
      </w:r>
      <w:r w:rsidDel="00000000" w:rsidR="00000000" w:rsidRPr="00000000">
        <w:rPr>
          <w:color w:val="000000"/>
          <w:rtl w:val="0"/>
        </w:rPr>
        <w:t xml:space="preserve">, v. 24, n. 3, p. e793, 2019.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LUNA, J.S. et al., A study of the larvicidal and molluscicidal activities of some medicinal plants from northeast Brazil.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Ethnopharmacology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v.97, n.2, p.199-206, 2005.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MARQUES, Leila Larisa Medeiros et al. Guaraná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Paullinia cupana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seeds: selectivesupercriticalextraction of phenoliccompounds.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Food Chemistry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[S.L.], v. 212, p. 703-711, dez. 2016. Elsevier BV. </w:t>
      </w:r>
    </w:p>
    <w:p w:rsidR="00000000" w:rsidDel="00000000" w:rsidP="00000000" w:rsidRDefault="00000000" w:rsidRPr="00000000" w14:paraId="0000007E">
      <w:pPr>
        <w:spacing w:after="240" w:before="240" w:lineRule="auto"/>
        <w:ind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MEYER, B.N. et al. A convenient general bioassay for active plant constituents. </w:t>
      </w:r>
      <w:r w:rsidDel="00000000" w:rsidR="00000000" w:rsidRPr="00000000">
        <w:rPr>
          <w:b w:val="1"/>
          <w:color w:val="000000"/>
          <w:rtl w:val="0"/>
        </w:rPr>
        <w:t xml:space="preserve">Planta Medica</w:t>
      </w:r>
      <w:r w:rsidDel="00000000" w:rsidR="00000000" w:rsidRPr="00000000">
        <w:rPr>
          <w:color w:val="000000"/>
          <w:rtl w:val="0"/>
        </w:rPr>
        <w:t xml:space="preserve">, v.45, p.31-34, 1982.</w:t>
      </w:r>
    </w:p>
    <w:p w:rsidR="00000000" w:rsidDel="00000000" w:rsidP="00000000" w:rsidRDefault="00000000" w:rsidRPr="00000000" w14:paraId="0000007F">
      <w:pPr>
        <w:spacing w:after="240" w:before="240" w:lineRule="auto"/>
        <w:ind w:firstLine="0"/>
        <w:rPr>
          <w:color w:val="000000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Schimpl, F. C., da Silva, J. F., de Carvalho Gonçalves, J. F., &amp; Mazzafera, P. Guarana: revisiting a highly caffeinated plant from the Amazon. </w:t>
      </w:r>
      <w:r w:rsidDel="00000000" w:rsidR="00000000" w:rsidRPr="00000000">
        <w:rPr>
          <w:b w:val="1"/>
          <w:color w:val="000000"/>
          <w:highlight w:val="white"/>
          <w:rtl w:val="0"/>
        </w:rPr>
        <w:t xml:space="preserve">Journal of ethnopharmacology</w:t>
      </w:r>
      <w:r w:rsidDel="00000000" w:rsidR="00000000" w:rsidRPr="00000000">
        <w:rPr>
          <w:color w:val="000000"/>
          <w:highlight w:val="white"/>
          <w:rtl w:val="0"/>
        </w:rPr>
        <w:t xml:space="preserve">, v. 150, n. 1, p. 14-31, 2013.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SEBRAE. O cultivo e o mercado do guaraná: as propriedades estimulantes e os diversos usos comerciais ampliam os negócios com esta fruta da amazônia brasileira. As propriedades estimulantes e os diversos usos comerciais ampliam os negócios com esta fruta da Amazônia brasileira.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SOARES, Regina Flávia Sausmikat; FILHO, Afrânio de Amorim Francisco Soares; DA SILVA VEIGA, Rogério. Uso in natura do guaraná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Paullinia cupana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kunth): estudo quantitativo no município de Maués (AM) Brasil. 2022.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Tfouni, S. A., Camargo, M. C., Vitorino, S. H., Menegário, T. F., &amp; Toledo, M. C. (jan./fev. de 2007). Contribuição do Guaraná em Pó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Paullinia cupana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como Fonte de Cafeína na Dieta.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Revista de Nutrição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20(1), pp. 63-68. doi:10.1590/S1415- 52732007000100007.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Torres, E. A., Pinaffi‐Langley, A. C. D. C., Figueira, M. D. S., Cordeiro, K. S., Negrão, L. D., Soares, M. J., ... &amp; de Camargo, A. C.  Effects of the consumption of guarana on human health: A narrative review.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Comprehensive Reviews in Food Science and Food Safety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v. 21, n. 1, p. 272-295, 2022.</w:t>
      </w:r>
    </w:p>
    <w:sectPr>
      <w:type w:val="continuous"/>
      <w:pgSz w:h="16838" w:w="11906" w:orient="portrait"/>
      <w:pgMar w:bottom="1417" w:top="1417" w:left="1701" w:right="1417" w:header="454" w:footer="454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6">
    <w:pPr>
      <w:ind w:firstLine="0"/>
      <w:jc w:val="center"/>
      <w:rPr/>
    </w:pPr>
    <w:r w:rsidDel="00000000" w:rsidR="00000000" w:rsidRPr="00000000">
      <w:rPr>
        <w:color w:val="001836"/>
        <w:rtl w:val="0"/>
      </w:rPr>
      <w:t xml:space="preserve">© IV CONPESQ, 3, 4 e 5 de outubro de 2023, Juazeiro do Norte, CE, Brasil.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-1244599</wp:posOffset>
              </wp:positionH>
              <wp:positionV relativeFrom="paragraph">
                <wp:posOffset>330200</wp:posOffset>
              </wp:positionV>
              <wp:extent cx="7745743" cy="207391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85829" y="3689005"/>
                        <a:ext cx="7720343" cy="181991"/>
                      </a:xfrm>
                      <a:prstGeom prst="rect">
                        <a:avLst/>
                      </a:prstGeom>
                      <a:solidFill>
                        <a:srgbClr val="001836"/>
                      </a:solidFill>
                      <a:ln cap="flat" cmpd="sng" w="25400">
                        <a:solidFill>
                          <a:srgbClr val="395E89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-1244599</wp:posOffset>
              </wp:positionH>
              <wp:positionV relativeFrom="paragraph">
                <wp:posOffset>330200</wp:posOffset>
              </wp:positionV>
              <wp:extent cx="7745743" cy="207391"/>
              <wp:effectExtent b="0" l="0" r="0" t="0"/>
              <wp:wrapNone/>
              <wp:docPr id="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45743" cy="20739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7">
    <w:pPr>
      <w:ind w:firstLine="0"/>
      <w:jc w:val="center"/>
      <w:rPr/>
    </w:pPr>
    <w:r w:rsidDel="00000000" w:rsidR="00000000" w:rsidRPr="00000000">
      <w:rPr>
        <w:color w:val="001836"/>
        <w:rtl w:val="0"/>
      </w:rPr>
      <w:t xml:space="preserve">© IV CONPESQ, 3, 4 e 5 de outubro de 2023, Juazeiro do Norte, CE, Brasil.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-1244599</wp:posOffset>
              </wp:positionH>
              <wp:positionV relativeFrom="paragraph">
                <wp:posOffset>342900</wp:posOffset>
              </wp:positionV>
              <wp:extent cx="7745730" cy="20701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1485835" y="3689195"/>
                        <a:ext cx="7720330" cy="181610"/>
                      </a:xfrm>
                      <a:prstGeom prst="rect">
                        <a:avLst/>
                      </a:prstGeom>
                      <a:solidFill>
                        <a:srgbClr val="001836"/>
                      </a:solidFill>
                      <a:ln cap="flat" cmpd="sng" w="25400">
                        <a:solidFill>
                          <a:srgbClr val="395E89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-1244599</wp:posOffset>
              </wp:positionH>
              <wp:positionV relativeFrom="paragraph">
                <wp:posOffset>342900</wp:posOffset>
              </wp:positionV>
              <wp:extent cx="7745730" cy="207010"/>
              <wp:effectExtent b="0" l="0" r="0" t="0"/>
              <wp:wrapNone/>
              <wp:docPr id="1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45730" cy="2070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3856648" cy="978113"/>
          <wp:effectExtent b="0" l="0" r="0" t="0"/>
          <wp:docPr id="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567" l="21795" r="22046" t="18604"/>
                  <a:stretch>
                    <a:fillRect/>
                  </a:stretch>
                </pic:blipFill>
                <pic:spPr>
                  <a:xfrm>
                    <a:off x="0" y="0"/>
                    <a:ext cx="3856648" cy="9781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-1092199</wp:posOffset>
              </wp:positionH>
              <wp:positionV relativeFrom="paragraph">
                <wp:posOffset>-266699</wp:posOffset>
              </wp:positionV>
              <wp:extent cx="7581788" cy="1458342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 rot="5400000">
                        <a:off x="4622764" y="-6132"/>
                        <a:ext cx="1446472" cy="7572263"/>
                      </a:xfrm>
                      <a:prstGeom prst="flowChartDelay">
                        <a:avLst/>
                      </a:prstGeom>
                      <a:blipFill rotWithShape="0">
                        <a:blip r:embed="rId2">
                          <a:alphaModFix/>
                        </a:blip>
                        <a:stretch>
                          <a:fillRect b="-80" l="80" r="80" t="-80"/>
                        </a:stretch>
                      </a:blip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-1092199</wp:posOffset>
              </wp:positionH>
              <wp:positionV relativeFrom="paragraph">
                <wp:posOffset>-266699</wp:posOffset>
              </wp:positionV>
              <wp:extent cx="7581788" cy="1458342"/>
              <wp:effectExtent b="0" l="0" r="0" t="0"/>
              <wp:wrapNone/>
              <wp:docPr id="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81788" cy="145834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4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182177" cy="553438"/>
          <wp:effectExtent b="0" l="0" r="0" t="0"/>
          <wp:docPr descr="Texto&#10;&#10;Descrição gerada automaticamente com confiança média" id="13" name="image1.png"/>
          <a:graphic>
            <a:graphicData uri="http://schemas.openxmlformats.org/drawingml/2006/picture">
              <pic:pic>
                <pic:nvPicPr>
                  <pic:cNvPr descr="Texto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24567" l="21795" r="22046" t="18604"/>
                  <a:stretch>
                    <a:fillRect/>
                  </a:stretch>
                </pic:blipFill>
                <pic:spPr>
                  <a:xfrm>
                    <a:off x="0" y="0"/>
                    <a:ext cx="2182177" cy="5534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2790441</wp:posOffset>
          </wp:positionH>
          <wp:positionV relativeFrom="paragraph">
            <wp:posOffset>132833</wp:posOffset>
          </wp:positionV>
          <wp:extent cx="991240" cy="210495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1240" cy="21049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color w:val="00000a"/>
        <w:sz w:val="24"/>
        <w:szCs w:val="24"/>
        <w:lang w:val="pt-BR"/>
      </w:rPr>
    </w:rPrDefault>
    <w:pPrDefault>
      <w:pPr>
        <w:widowControl w:val="0"/>
        <w:spacing w:after="12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1"/>
      <w:spacing w:before="480" w:line="360" w:lineRule="auto"/>
      <w:ind w:firstLine="0"/>
    </w:pPr>
    <w:rPr>
      <w:b w:val="1"/>
      <w:smallCaps w:val="1"/>
      <w:color w:val="000000"/>
    </w:rPr>
  </w:style>
  <w:style w:type="paragraph" w:styleId="Heading2">
    <w:name w:val="heading 2"/>
    <w:basedOn w:val="Normal"/>
    <w:next w:val="Normal"/>
    <w:pPr>
      <w:widowControl w:val="1"/>
      <w:spacing w:after="240" w:before="480" w:line="360" w:lineRule="auto"/>
      <w:ind w:firstLine="0"/>
    </w:pPr>
    <w:rPr>
      <w:b w:val="1"/>
      <w:color w:val="000000"/>
    </w:rPr>
  </w:style>
  <w:style w:type="paragraph" w:styleId="Heading3">
    <w:name w:val="heading 3"/>
    <w:basedOn w:val="Normal"/>
    <w:next w:val="Normal"/>
    <w:pPr>
      <w:widowControl w:val="1"/>
      <w:spacing w:after="240" w:before="480" w:line="360" w:lineRule="auto"/>
      <w:ind w:left="624" w:hanging="624"/>
    </w:pPr>
    <w:rPr>
      <w:color w:val="000000"/>
    </w:rPr>
  </w:style>
  <w:style w:type="paragraph" w:styleId="Heading4">
    <w:name w:val="heading 4"/>
    <w:basedOn w:val="Normal"/>
    <w:next w:val="Normal"/>
    <w:pPr>
      <w:widowControl w:val="1"/>
      <w:spacing w:after="240" w:before="480" w:line="360" w:lineRule="auto"/>
      <w:ind w:left="851" w:hanging="851"/>
      <w:jc w:val="left"/>
    </w:pPr>
    <w:rPr>
      <w:i w:val="1"/>
      <w:color w:val="000000"/>
    </w:rPr>
  </w:style>
  <w:style w:type="paragraph" w:styleId="Heading5">
    <w:name w:val="heading 5"/>
    <w:basedOn w:val="Normal"/>
    <w:next w:val="Normal"/>
    <w:pPr>
      <w:widowControl w:val="1"/>
      <w:spacing w:before="40" w:line="360" w:lineRule="auto"/>
      <w:ind w:left="0" w:firstLine="0"/>
      <w:jc w:val="left"/>
    </w:pPr>
    <w:rPr>
      <w:i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widowControl w:val="1"/>
      <w:spacing w:after="60" w:before="240" w:line="360" w:lineRule="auto"/>
      <w:ind w:left="1152" w:hanging="1152"/>
    </w:pPr>
    <w:rPr>
      <w:i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b w:val="1"/>
      <w:smallCaps w:val="1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1"/>
      <w:spacing w:before="480" w:line="360" w:lineRule="auto"/>
      <w:ind w:firstLine="0"/>
    </w:pPr>
    <w:rPr>
      <w:b w:val="1"/>
      <w:smallCaps w:val="1"/>
      <w:color w:val="000000"/>
    </w:rPr>
  </w:style>
  <w:style w:type="paragraph" w:styleId="Heading2">
    <w:name w:val="heading 2"/>
    <w:basedOn w:val="Normal"/>
    <w:next w:val="Normal"/>
    <w:pPr>
      <w:widowControl w:val="1"/>
      <w:spacing w:after="240" w:before="480" w:line="360" w:lineRule="auto"/>
      <w:ind w:firstLine="0"/>
    </w:pPr>
    <w:rPr>
      <w:b w:val="1"/>
      <w:color w:val="000000"/>
    </w:rPr>
  </w:style>
  <w:style w:type="paragraph" w:styleId="Heading3">
    <w:name w:val="heading 3"/>
    <w:basedOn w:val="Normal"/>
    <w:next w:val="Normal"/>
    <w:pPr>
      <w:widowControl w:val="1"/>
      <w:spacing w:after="240" w:before="480" w:line="360" w:lineRule="auto"/>
      <w:ind w:left="624" w:hanging="624"/>
    </w:pPr>
    <w:rPr>
      <w:color w:val="000000"/>
    </w:rPr>
  </w:style>
  <w:style w:type="paragraph" w:styleId="Heading4">
    <w:name w:val="heading 4"/>
    <w:basedOn w:val="Normal"/>
    <w:next w:val="Normal"/>
    <w:pPr>
      <w:widowControl w:val="1"/>
      <w:spacing w:after="240" w:before="480" w:line="360" w:lineRule="auto"/>
      <w:ind w:left="851" w:hanging="851"/>
      <w:jc w:val="left"/>
    </w:pPr>
    <w:rPr>
      <w:i w:val="1"/>
      <w:color w:val="000000"/>
    </w:rPr>
  </w:style>
  <w:style w:type="paragraph" w:styleId="Heading5">
    <w:name w:val="heading 5"/>
    <w:basedOn w:val="Normal"/>
    <w:next w:val="Normal"/>
    <w:pPr>
      <w:widowControl w:val="1"/>
      <w:spacing w:before="40" w:line="360" w:lineRule="auto"/>
      <w:ind w:left="0" w:firstLine="0"/>
      <w:jc w:val="left"/>
    </w:pPr>
    <w:rPr>
      <w:i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widowControl w:val="1"/>
      <w:spacing w:after="60" w:before="240" w:line="360" w:lineRule="auto"/>
      <w:ind w:left="1152" w:hanging="1152"/>
    </w:pPr>
    <w:rPr>
      <w:i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b w:val="1"/>
      <w:smallCap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f7f7f" w:space="0" w:sz="4" w:val="single"/>
        </w:tcBorders>
      </w:tcPr>
    </w:tblStyle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f7f7f" w:space="0" w:sz="4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f7f7f" w:space="0" w:sz="4" w:val="single"/>
        </w:tcBorders>
      </w:tcPr>
    </w:tblStyle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f7f7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footer" Target="footer1.xml"/><Relationship Id="rId12" Type="http://schemas.openxmlformats.org/officeDocument/2006/relationships/hyperlink" Target="https://www.teses.usp.br/teses/disponiveis/6/6138/tde-27082018-%20120729/publico/AndressaFerreiraCampos_MTR_REVISADA.pdf" TargetMode="Externa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7.png"/><Relationship Id="rId3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2lEazjYd4CZUOywHN5V5EylE0Q==">CgMxLjAyCGguZ2pkZ3hzMgloLjMwajB6bGw4AHIhMUtteFVHRm15UzJKMWloNDNyR3NKSENWak9PUzhuaDZR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