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480" w:before="720" w:lineRule="auto"/>
        <w:ind w:firstLine="0"/>
        <w:jc w:val="center"/>
        <w:rPr>
          <w:sz w:val="32"/>
          <w:szCs w:val="32"/>
        </w:rPr>
      </w:pPr>
      <w:r w:rsidDel="00000000" w:rsidR="00000000" w:rsidRPr="00000000">
        <w:rPr>
          <w:rFonts w:ascii="Arial" w:cs="Arial" w:eastAsia="Arial" w:hAnsi="Arial"/>
          <w:b w:val="1"/>
          <w:color w:val="000000"/>
          <w:rtl w:val="0"/>
        </w:rPr>
        <w:t xml:space="preserve">A construção da masculinidade como universal a partir do espetáculo Cabras</w:t>
      </w:r>
      <w:r w:rsidDel="00000000" w:rsidR="00000000" w:rsidRPr="00000000">
        <w:rPr>
          <w:rtl w:val="0"/>
        </w:rPr>
      </w:r>
    </w:p>
    <w:p w:rsidR="00000000" w:rsidDel="00000000" w:rsidP="00000000" w:rsidRDefault="00000000" w:rsidRPr="00000000" w14:paraId="00000002">
      <w:pPr>
        <w:spacing w:before="120" w:lineRule="auto"/>
        <w:ind w:firstLine="0"/>
        <w:jc w:val="right"/>
        <w:rPr/>
      </w:pPr>
      <w:r w:rsidDel="00000000" w:rsidR="00000000" w:rsidRPr="00000000">
        <w:rPr>
          <w:b w:val="1"/>
          <w:rtl w:val="0"/>
        </w:rPr>
        <w:t xml:space="preserve">João Heuler Agostinho de Sá</w:t>
      </w:r>
      <w:r w:rsidDel="00000000" w:rsidR="00000000" w:rsidRPr="00000000">
        <w:rPr>
          <w:b w:val="1"/>
          <w:vertAlign w:val="superscript"/>
        </w:rPr>
        <w:footnoteReference w:customMarkFollows="0" w:id="0"/>
      </w:r>
      <w:r w:rsidDel="00000000" w:rsidR="00000000" w:rsidRPr="00000000">
        <w:rPr>
          <w:rtl w:val="0"/>
        </w:rPr>
      </w:r>
    </w:p>
    <w:p w:rsidR="00000000" w:rsidDel="00000000" w:rsidP="00000000" w:rsidRDefault="00000000" w:rsidRPr="00000000" w14:paraId="00000003">
      <w:pPr>
        <w:spacing w:before="120" w:lineRule="auto"/>
        <w:ind w:firstLine="0"/>
        <w:jc w:val="right"/>
        <w:rPr/>
      </w:pPr>
      <w:r w:rsidDel="00000000" w:rsidR="00000000" w:rsidRPr="00000000">
        <w:rPr>
          <w:b w:val="1"/>
          <w:rtl w:val="0"/>
        </w:rPr>
        <w:t xml:space="preserve">Francisco das Chagas Alexandre Nunes de Sousa</w:t>
      </w:r>
      <w:r w:rsidDel="00000000" w:rsidR="00000000" w:rsidRPr="00000000">
        <w:rPr>
          <w:b w:val="1"/>
          <w:vertAlign w:val="superscript"/>
        </w:rPr>
        <w:footnoteReference w:customMarkFollows="0" w:id="1"/>
      </w:r>
      <w:r w:rsidDel="00000000" w:rsidR="00000000" w:rsidRPr="00000000">
        <w:rPr>
          <w:rtl w:val="0"/>
        </w:rPr>
      </w:r>
    </w:p>
    <w:p w:rsidR="00000000" w:rsidDel="00000000" w:rsidP="00000000" w:rsidRDefault="00000000" w:rsidRPr="00000000" w14:paraId="00000004">
      <w:pPr>
        <w:spacing w:after="0" w:lineRule="auto"/>
        <w:ind w:firstLine="0"/>
        <w:jc w:val="right"/>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ind w:firstLine="0"/>
        <w:rPr>
          <w:color w:val="000000"/>
        </w:rPr>
      </w:pPr>
      <w:r w:rsidDel="00000000" w:rsidR="00000000" w:rsidRPr="00000000">
        <w:rPr>
          <w:b w:val="1"/>
          <w:smallCaps w:val="1"/>
          <w:rtl w:val="0"/>
        </w:rPr>
        <w:t xml:space="preserve">1 </w:t>
      </w:r>
      <w:r w:rsidDel="00000000" w:rsidR="00000000" w:rsidRPr="00000000">
        <w:rPr>
          <w:b w:val="1"/>
          <w:smallCaps w:val="1"/>
          <w:u w:val="single"/>
          <w:rtl w:val="0"/>
        </w:rPr>
        <w:t xml:space="preserve">Introdução </w:t>
      </w:r>
      <w:r w:rsidDel="00000000" w:rsidR="00000000" w:rsidRPr="00000000">
        <w:rPr>
          <w:rtl w:val="0"/>
        </w:rPr>
      </w:r>
    </w:p>
    <w:p w:rsidR="00000000" w:rsidDel="00000000" w:rsidP="00000000" w:rsidRDefault="00000000" w:rsidRPr="00000000" w14:paraId="00000006">
      <w:pPr>
        <w:widowControl w:val="1"/>
        <w:spacing w:after="0" w:line="360" w:lineRule="auto"/>
        <w:ind w:firstLine="720"/>
        <w:rPr>
          <w:color w:val="000000"/>
        </w:rPr>
      </w:pPr>
      <w:r w:rsidDel="00000000" w:rsidR="00000000" w:rsidRPr="00000000">
        <w:rPr>
          <w:color w:val="000000"/>
          <w:rtl w:val="0"/>
        </w:rPr>
        <w:t xml:space="preserve">O espetáculo Cabras (2022), do grupo Ninho de Teatro, sediado em Crato - CE, apresenta a construção da figura masculina a partir da visão dos atores, fazendo uma relação de como a masculinidade e suas referências os formaram enquanto pessoas e como essa experiência pode apresentar pontos em comum com os demais espectadores. </w:t>
      </w:r>
    </w:p>
    <w:p w:rsidR="00000000" w:rsidDel="00000000" w:rsidP="00000000" w:rsidRDefault="00000000" w:rsidRPr="00000000" w14:paraId="00000007">
      <w:pPr>
        <w:widowControl w:val="1"/>
        <w:spacing w:after="0" w:line="360" w:lineRule="auto"/>
        <w:ind w:firstLine="720"/>
        <w:rPr>
          <w:color w:val="000000"/>
        </w:rPr>
      </w:pPr>
      <w:r w:rsidDel="00000000" w:rsidR="00000000" w:rsidRPr="00000000">
        <w:rPr>
          <w:color w:val="000000"/>
          <w:rtl w:val="0"/>
        </w:rPr>
        <w:t xml:space="preserve">Utilizando este modelo que é apresentado como teatro autobiográfico (Leite, 2018), que trata do teatro como uma atividade que extrapola a encenação de papéis, como comumente era associado à figura dos atores,  este estudo discorre sobre o espaço necessário para que os performers relatem as suas narrativas de vida no palco, misturando-as com realidade assim aproximando aquele que atua do público. </w:t>
      </w:r>
    </w:p>
    <w:p w:rsidR="00000000" w:rsidDel="00000000" w:rsidP="00000000" w:rsidRDefault="00000000" w:rsidRPr="00000000" w14:paraId="00000008">
      <w:pPr>
        <w:widowControl w:val="1"/>
        <w:spacing w:after="0" w:line="360" w:lineRule="auto"/>
        <w:ind w:firstLine="720"/>
        <w:rPr>
          <w:color w:val="000000"/>
        </w:rPr>
      </w:pPr>
      <w:r w:rsidDel="00000000" w:rsidR="00000000" w:rsidRPr="00000000">
        <w:rPr>
          <w:color w:val="000000"/>
          <w:rtl w:val="0"/>
        </w:rPr>
        <w:t xml:space="preserve">Como enunciamos, a construção do espetáculo Cabras é focada em mostrar a figura de um homem popularmente conhecido como cabra, que é um corpo subalterno, não ocupando as posições de poder na sociedade, constituindo-se dessa forma, como um corpo precário (BUTLER, 2020). </w:t>
      </w:r>
    </w:p>
    <w:p w:rsidR="00000000" w:rsidDel="00000000" w:rsidP="00000000" w:rsidRDefault="00000000" w:rsidRPr="00000000" w14:paraId="00000009">
      <w:pPr>
        <w:widowControl w:val="1"/>
        <w:spacing w:after="0" w:line="360" w:lineRule="auto"/>
        <w:ind w:firstLine="720"/>
        <w:rPr>
          <w:color w:val="000000"/>
        </w:rPr>
      </w:pPr>
      <w:r w:rsidDel="00000000" w:rsidR="00000000" w:rsidRPr="00000000">
        <w:rPr>
          <w:color w:val="000000"/>
          <w:rtl w:val="0"/>
        </w:rPr>
        <w:t xml:space="preserve">Assim sendo, este trabalho busca estudar como a construção do masculino e da masculinidade no espetáculo Cabras será retratado como universal (BUTLER, 2022) </w:t>
      </w:r>
      <w:r w:rsidDel="00000000" w:rsidR="00000000" w:rsidRPr="00000000">
        <w:rPr>
          <w:color w:val="000000"/>
          <w:rtl w:val="0"/>
        </w:rPr>
        <w:t xml:space="preserve">,</w:t>
      </w:r>
      <w:r w:rsidDel="00000000" w:rsidR="00000000" w:rsidRPr="00000000">
        <w:rPr>
          <w:color w:val="000000"/>
          <w:rtl w:val="0"/>
        </w:rPr>
        <w:t xml:space="preserve"> já que homens de diferentes idades, raças, sexualidades e que apresentaram diferenças naquilo denominado de normatividade de gênero estão submetidos a determinados dispositivos de controle</w:t>
      </w:r>
      <w:r w:rsidDel="00000000" w:rsidR="00000000" w:rsidRPr="00000000">
        <w:rPr>
          <w:color w:val="000000"/>
          <w:rtl w:val="0"/>
        </w:rPr>
        <w:t xml:space="preserve"> (FOUCAULT, 2022)</w:t>
      </w:r>
      <w:r w:rsidDel="00000000" w:rsidR="00000000" w:rsidRPr="00000000">
        <w:rPr>
          <w:color w:val="000000"/>
          <w:rtl w:val="0"/>
        </w:rPr>
        <w:t xml:space="preserve">  dos corpos que vão definir o masculino e, por consequência. o que também é cabra. </w:t>
      </w:r>
    </w:p>
    <w:p w:rsidR="00000000" w:rsidDel="00000000" w:rsidP="00000000" w:rsidRDefault="00000000" w:rsidRPr="00000000" w14:paraId="0000000A">
      <w:pPr>
        <w:widowControl w:val="1"/>
        <w:spacing w:after="0" w:line="360" w:lineRule="auto"/>
        <w:ind w:firstLine="720"/>
        <w:rPr>
          <w:color w:val="000000"/>
        </w:rPr>
      </w:pPr>
      <w:r w:rsidDel="00000000" w:rsidR="00000000" w:rsidRPr="00000000">
        <w:rPr>
          <w:color w:val="000000"/>
          <w:rtl w:val="0"/>
        </w:rPr>
        <w:t xml:space="preserve">A partir dessa leitura buscamos estudar como as relações de sexualidade e gênero estão intrincadas nesse processo e como essas são formadas por esse conceito de masculinidade, pois essa categoria pode ser usada como ferramenta de violência quando é aplicada nos corpos que fogem da normatividade.</w:t>
      </w:r>
    </w:p>
    <w:p w:rsidR="00000000" w:rsidDel="00000000" w:rsidP="00000000" w:rsidRDefault="00000000" w:rsidRPr="00000000" w14:paraId="0000000B">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0C">
      <w:pPr>
        <w:widowControl w:val="1"/>
        <w:spacing w:after="0" w:line="360" w:lineRule="auto"/>
        <w:ind w:firstLine="0"/>
        <w:rPr>
          <w:b w:val="1"/>
          <w:color w:val="000000"/>
          <w:u w:val="single"/>
        </w:rPr>
      </w:pPr>
      <w:r w:rsidDel="00000000" w:rsidR="00000000" w:rsidRPr="00000000">
        <w:rPr>
          <w:b w:val="1"/>
          <w:color w:val="000000"/>
          <w:rtl w:val="0"/>
        </w:rPr>
        <w:t xml:space="preserve">2 </w:t>
      </w:r>
      <w:r w:rsidDel="00000000" w:rsidR="00000000" w:rsidRPr="00000000">
        <w:rPr>
          <w:b w:val="1"/>
          <w:color w:val="000000"/>
          <w:u w:val="single"/>
          <w:rtl w:val="0"/>
        </w:rPr>
        <w:t xml:space="preserve">Procedimentos metodológicos </w:t>
      </w:r>
    </w:p>
    <w:p w:rsidR="00000000" w:rsidDel="00000000" w:rsidP="00000000" w:rsidRDefault="00000000" w:rsidRPr="00000000" w14:paraId="0000000D">
      <w:pPr>
        <w:widowControl w:val="1"/>
        <w:spacing w:after="0" w:line="360" w:lineRule="auto"/>
        <w:ind w:firstLine="0"/>
        <w:rPr>
          <w:color w:val="000000"/>
        </w:rPr>
      </w:pPr>
      <w:r w:rsidDel="00000000" w:rsidR="00000000" w:rsidRPr="00000000">
        <w:rPr>
          <w:color w:val="000000"/>
          <w:rtl w:val="0"/>
        </w:rPr>
        <w:tab/>
        <w:t xml:space="preserve">No processo de estudo do espetáculo e elaboração deste trabalho, as ferramentas de pesquisa estão fundadas nos momentos de observação do espetáculo através de vídeo disponibilizado no site </w:t>
      </w:r>
      <w:r w:rsidDel="00000000" w:rsidR="00000000" w:rsidRPr="00000000">
        <w:rPr>
          <w:i w:val="1"/>
          <w:color w:val="000000"/>
          <w:rtl w:val="0"/>
        </w:rPr>
        <w:t xml:space="preserve">youtube</w:t>
      </w:r>
      <w:r w:rsidDel="00000000" w:rsidR="00000000" w:rsidRPr="00000000">
        <w:rPr>
          <w:color w:val="000000"/>
          <w:rtl w:val="0"/>
        </w:rPr>
        <w:t xml:space="preserve">; nas entrevistas realizados com os atores e o diretor durante o mês de maio de 2023; e, por fim, no estudo da fundamentação teórica que circunda os pontos que aqui enunciamos. Dessa forma, como primeira forma de análise, buscamos conversar com os performers para entender quais linhas de pensamento esses seguiram para montar a construção do espetáculo e como essas construções os constituem enquanto sujeitos. </w:t>
      </w:r>
    </w:p>
    <w:p w:rsidR="00000000" w:rsidDel="00000000" w:rsidP="00000000" w:rsidRDefault="00000000" w:rsidRPr="00000000" w14:paraId="0000000E">
      <w:pPr>
        <w:widowControl w:val="1"/>
        <w:spacing w:after="0" w:line="360" w:lineRule="auto"/>
        <w:ind w:firstLine="0"/>
        <w:rPr>
          <w:color w:val="000000"/>
        </w:rPr>
      </w:pPr>
      <w:r w:rsidDel="00000000" w:rsidR="00000000" w:rsidRPr="00000000">
        <w:rPr>
          <w:rtl w:val="0"/>
        </w:rPr>
      </w:r>
    </w:p>
    <w:p w:rsidR="00000000" w:rsidDel="00000000" w:rsidP="00000000" w:rsidRDefault="00000000" w:rsidRPr="00000000" w14:paraId="0000000F">
      <w:pPr>
        <w:widowControl w:val="1"/>
        <w:spacing w:after="0" w:line="360" w:lineRule="auto"/>
        <w:ind w:firstLine="0"/>
        <w:rPr>
          <w:color w:val="000000"/>
        </w:rPr>
      </w:pPr>
      <w:r w:rsidDel="00000000" w:rsidR="00000000" w:rsidRPr="00000000">
        <w:rPr>
          <w:b w:val="1"/>
          <w:color w:val="000000"/>
          <w:rtl w:val="0"/>
        </w:rPr>
        <w:t xml:space="preserve">3</w:t>
      </w:r>
      <w:r w:rsidDel="00000000" w:rsidR="00000000" w:rsidRPr="00000000">
        <w:rPr>
          <w:b w:val="1"/>
          <w:color w:val="000000"/>
          <w:u w:val="single"/>
          <w:rtl w:val="0"/>
        </w:rPr>
        <w:t xml:space="preserve"> Apresentação e discussão de resultados </w:t>
      </w:r>
      <w:r w:rsidDel="00000000" w:rsidR="00000000" w:rsidRPr="00000000">
        <w:rPr>
          <w:rtl w:val="0"/>
        </w:rPr>
      </w:r>
    </w:p>
    <w:p w:rsidR="00000000" w:rsidDel="00000000" w:rsidP="00000000" w:rsidRDefault="00000000" w:rsidRPr="00000000" w14:paraId="00000010">
      <w:pPr>
        <w:widowControl w:val="1"/>
        <w:spacing w:after="0" w:line="360" w:lineRule="auto"/>
        <w:ind w:firstLine="720"/>
        <w:rPr>
          <w:color w:val="000000"/>
        </w:rPr>
      </w:pPr>
      <w:r w:rsidDel="00000000" w:rsidR="00000000" w:rsidRPr="00000000">
        <w:rPr>
          <w:color w:val="000000"/>
          <w:rtl w:val="0"/>
        </w:rPr>
        <w:t xml:space="preserve">Convém ressaltar que a principal referência utilizada neste estudo foi a experiência dos próprios atores e como esses representaram no palco a sua construção enquanto sujeitos. Utilizando da ferramenta do “Teatro autobiográfico” (LEITE, 2018) esses puderam não só contar suas histórias, mas também apresentá-las ao público. </w:t>
      </w:r>
    </w:p>
    <w:p w:rsidR="00000000" w:rsidDel="00000000" w:rsidP="00000000" w:rsidRDefault="00000000" w:rsidRPr="00000000" w14:paraId="00000011">
      <w:pPr>
        <w:widowControl w:val="1"/>
        <w:spacing w:after="0" w:line="360" w:lineRule="auto"/>
        <w:ind w:firstLine="720"/>
        <w:rPr>
          <w:color w:val="000000"/>
        </w:rPr>
      </w:pPr>
      <w:r w:rsidDel="00000000" w:rsidR="00000000" w:rsidRPr="00000000">
        <w:rPr>
          <w:color w:val="000000"/>
          <w:rtl w:val="0"/>
        </w:rPr>
        <w:t xml:space="preserve">A partir de rodas de conversa e trocas de experiências, a equipe que pensava na peça começou a montagem do espetáculo, entendendo que alguns fatores eram fundantes quando se falava na construção do que é o masculino, sendo muitos deles influenciados pela presença da figura paterna, ou não, e como essas relações formam aquele que futuramente estaria contando sua história no espetáculo. </w:t>
      </w:r>
    </w:p>
    <w:p w:rsidR="00000000" w:rsidDel="00000000" w:rsidP="00000000" w:rsidRDefault="00000000" w:rsidRPr="00000000" w14:paraId="00000012">
      <w:pPr>
        <w:widowControl w:val="1"/>
        <w:spacing w:after="0" w:line="360" w:lineRule="auto"/>
        <w:ind w:firstLine="720"/>
        <w:rPr>
          <w:color w:val="000000"/>
        </w:rPr>
      </w:pPr>
      <w:r w:rsidDel="00000000" w:rsidR="00000000" w:rsidRPr="00000000">
        <w:rPr>
          <w:color w:val="000000"/>
          <w:rtl w:val="0"/>
        </w:rPr>
        <w:t xml:space="preserve">A partir desse processo, eles começaram a pensar na estruturação da peça, que apresenta cenas que são conhecidas por muitos sujeitos, pois essa construção do que é o masculino como gênero é uma performance social que é compartilhada. Então entender que há uma possível identificação quando é cobrado um sujeito “Seja homem”, é uma construção familiar para aqueles que assistem ao espetáculo. </w:t>
      </w:r>
    </w:p>
    <w:p w:rsidR="00000000" w:rsidDel="00000000" w:rsidP="00000000" w:rsidRDefault="00000000" w:rsidRPr="00000000" w14:paraId="00000013">
      <w:pPr>
        <w:widowControl w:val="1"/>
        <w:spacing w:after="0" w:line="360" w:lineRule="auto"/>
        <w:ind w:firstLine="720"/>
        <w:rPr>
          <w:color w:val="000000"/>
        </w:rPr>
      </w:pPr>
      <w:r w:rsidDel="00000000" w:rsidR="00000000" w:rsidRPr="00000000">
        <w:rPr>
          <w:color w:val="000000"/>
          <w:rtl w:val="0"/>
        </w:rPr>
        <w:t xml:space="preserve">Como primeiro destaque, tratamos do relato da cena de abertura da peça em análise em que um dos performers coloca vários sacos plásticos, um seguido do outro, dando-nos uma sensação de sufocamento. Entendemos que essa cena pode representar como a construção do que é o masculino pode ser sufocante para alguns sujeitos, aqui não falamos de um todo, já que parte dos sujeitos vão entender essa construção do que é ser homem e irão obedecê-la, mas outros sujeitos sofrem violências físicas, psicológicas e éticas por não conseguirem se encaixar e seguir um ideal de masculinidade.</w:t>
      </w:r>
    </w:p>
    <w:p w:rsidR="00000000" w:rsidDel="00000000" w:rsidP="00000000" w:rsidRDefault="00000000" w:rsidRPr="00000000" w14:paraId="00000014">
      <w:pPr>
        <w:widowControl w:val="1"/>
        <w:spacing w:after="0" w:line="360" w:lineRule="auto"/>
        <w:ind w:firstLine="720"/>
        <w:rPr>
          <w:color w:val="000000"/>
        </w:rPr>
      </w:pPr>
      <w:r w:rsidDel="00000000" w:rsidR="00000000" w:rsidRPr="00000000">
        <w:rPr>
          <w:color w:val="000000"/>
          <w:rtl w:val="0"/>
        </w:rPr>
        <w:t xml:space="preserve">Assim, um dos pontos que nos provoca a fazer este estudo é que identificamos que mesmo apresentando diferentes sexualidades, raças, classes e faixa etária, aqui nos referimos aos atores que participam da construção do espetáculo, a edificação que define o masculino é universal. Esse fator se destaca quando pensamos na entrevista com um dos performers, </w:t>
      </w:r>
      <w:r w:rsidDel="00000000" w:rsidR="00000000" w:rsidRPr="00000000">
        <w:rPr>
          <w:color w:val="000000"/>
          <w:rtl w:val="0"/>
        </w:rPr>
        <w:t xml:space="preserve">Elizielton</w:t>
      </w:r>
      <w:r w:rsidDel="00000000" w:rsidR="00000000" w:rsidRPr="00000000">
        <w:rPr>
          <w:color w:val="000000"/>
          <w:rtl w:val="0"/>
        </w:rPr>
        <w:t xml:space="preserve"> Dantas, que relata que, mesmo alterando a sexualidade, o masculino apresenta-se como um ideal regulador, configurando-se como um conceito partilhado por todo aquele conjunto que vai definir o que é ser homem, por consequência, a masculinidade que abarca o corpo cabra. </w:t>
      </w:r>
    </w:p>
    <w:p w:rsidR="00000000" w:rsidDel="00000000" w:rsidP="00000000" w:rsidRDefault="00000000" w:rsidRPr="00000000" w14:paraId="00000015">
      <w:pPr>
        <w:widowControl w:val="1"/>
        <w:spacing w:after="0" w:line="360" w:lineRule="auto"/>
        <w:ind w:firstLine="720"/>
        <w:rPr>
          <w:color w:val="000000"/>
        </w:rPr>
      </w:pPr>
      <w:r w:rsidDel="00000000" w:rsidR="00000000" w:rsidRPr="00000000">
        <w:rPr>
          <w:color w:val="000000"/>
          <w:rtl w:val="0"/>
        </w:rPr>
        <w:t xml:space="preserve">Essa é uma visão que pode causar inúmeras formas de violência, pois como há formas de controle e repressão dos corpos masculinos héteros, essas são numericamente maiores, quando pensamos em corpos que não são classificados como héteros, não sendo dessa forma, vistos como aptos. </w:t>
      </w:r>
    </w:p>
    <w:p w:rsidR="00000000" w:rsidDel="00000000" w:rsidP="00000000" w:rsidRDefault="00000000" w:rsidRPr="00000000" w14:paraId="00000016">
      <w:pPr>
        <w:widowControl w:val="1"/>
        <w:spacing w:after="0" w:line="360" w:lineRule="auto"/>
        <w:ind w:firstLine="720"/>
        <w:rPr>
          <w:color w:val="000000"/>
        </w:rPr>
      </w:pPr>
      <w:r w:rsidDel="00000000" w:rsidR="00000000" w:rsidRPr="00000000">
        <w:rPr>
          <w:color w:val="000000"/>
          <w:rtl w:val="0"/>
        </w:rPr>
        <w:t xml:space="preserve">Para formular o porquê dessa visão do masculino como universal propomos a categoria de análise, presente na tese defendida por Judith Butler (2022), em seu artigo “ O parentesco ainda é heterossexual ?”, no qual a autora defende a posição de que nosso conceito de família é sempre  heterossexual, pois tudo aquilo que escapa do padrão hétero não é considerado como família. </w:t>
      </w:r>
    </w:p>
    <w:p w:rsidR="00000000" w:rsidDel="00000000" w:rsidP="00000000" w:rsidRDefault="00000000" w:rsidRPr="00000000" w14:paraId="00000017">
      <w:pPr>
        <w:widowControl w:val="1"/>
        <w:spacing w:after="0" w:line="360" w:lineRule="auto"/>
        <w:ind w:firstLine="720"/>
        <w:rPr>
          <w:color w:val="000000"/>
        </w:rPr>
      </w:pPr>
      <w:r w:rsidDel="00000000" w:rsidR="00000000" w:rsidRPr="00000000">
        <w:rPr>
          <w:color w:val="000000"/>
          <w:rtl w:val="0"/>
        </w:rPr>
        <w:t xml:space="preserve">Essa ferramenta funciona como uma forma de não garantir validade a outras formas de família e institui como padrão de comportamento para que chamemos de família aquilo que é unicamente heterocentrado, configurando-se como um mecanismo muito eficaz, já que um dos primeiros contatos do sujeito é com sua família, de modo que se dominar esse núcleo é defini-lo como hétero, todas as experiências do sujeito vão sendo pensadas como unicamente héteras. </w:t>
      </w:r>
    </w:p>
    <w:p w:rsidR="00000000" w:rsidDel="00000000" w:rsidP="00000000" w:rsidRDefault="00000000" w:rsidRPr="00000000" w14:paraId="00000018">
      <w:pPr>
        <w:widowControl w:val="1"/>
        <w:spacing w:after="0" w:line="360" w:lineRule="auto"/>
        <w:ind w:firstLine="720"/>
        <w:rPr>
          <w:color w:val="000000"/>
        </w:rPr>
      </w:pPr>
      <w:r w:rsidDel="00000000" w:rsidR="00000000" w:rsidRPr="00000000">
        <w:rPr>
          <w:color w:val="000000"/>
          <w:rtl w:val="0"/>
        </w:rPr>
        <w:t xml:space="preserve">Dessa forma, observa-se que há um dispositivo de controle (FOUCAULT, 2022) porque os corpos </w:t>
      </w:r>
      <w:r w:rsidDel="00000000" w:rsidR="00000000" w:rsidRPr="00000000">
        <w:rPr>
          <w:i w:val="1"/>
          <w:color w:val="000000"/>
          <w:rtl w:val="0"/>
        </w:rPr>
        <w:t xml:space="preserve">queers</w:t>
      </w:r>
      <w:r w:rsidDel="00000000" w:rsidR="00000000" w:rsidRPr="00000000">
        <w:rPr>
          <w:color w:val="000000"/>
          <w:rtl w:val="0"/>
        </w:rPr>
        <w:t xml:space="preserve"> não vão ser entendidos e até mesmo repreendidos para se encaixarem no padrão de comportamento hétero. Então, até mesmo para um indivíduo do gênero masculino que não é heterossexual, o seu ideal de gênero é sempre um padrão hétero e esse mecanismo é uma forma de violência, pois o nega enquanto sujeito. </w:t>
      </w:r>
    </w:p>
    <w:p w:rsidR="00000000" w:rsidDel="00000000" w:rsidP="00000000" w:rsidRDefault="00000000" w:rsidRPr="00000000" w14:paraId="00000019">
      <w:pPr>
        <w:widowControl w:val="1"/>
        <w:spacing w:after="0" w:line="360" w:lineRule="auto"/>
        <w:ind w:firstLine="720"/>
        <w:rPr>
          <w:color w:val="000000"/>
        </w:rPr>
      </w:pPr>
      <w:r w:rsidDel="00000000" w:rsidR="00000000" w:rsidRPr="00000000">
        <w:rPr>
          <w:color w:val="000000"/>
          <w:rtl w:val="0"/>
        </w:rPr>
        <w:t xml:space="preserve">Seguindo esse raciocínio, observamos que nos relatos dos atores relacionados à montagem do espetáculo, essa é uma tese que pode ser corroborada. Quando os performers formulam o espetáculo pensando que sua construção enquanto homem é muito delimitada por sua relação com suas famílias, especialmente a partir do contato ou não com seus pais, esse pode ser um fator fundante. </w:t>
      </w:r>
    </w:p>
    <w:p w:rsidR="00000000" w:rsidDel="00000000" w:rsidP="00000000" w:rsidRDefault="00000000" w:rsidRPr="00000000" w14:paraId="0000001A">
      <w:pPr>
        <w:widowControl w:val="1"/>
        <w:spacing w:after="0" w:line="360" w:lineRule="auto"/>
        <w:ind w:firstLine="720"/>
        <w:rPr>
          <w:color w:val="000000"/>
        </w:rPr>
      </w:pPr>
      <w:r w:rsidDel="00000000" w:rsidR="00000000" w:rsidRPr="00000000">
        <w:rPr>
          <w:color w:val="000000"/>
          <w:rtl w:val="0"/>
        </w:rPr>
        <w:t xml:space="preserve">Como defendemos, esse núcleo familiar hétero vai orientar a construção do sujeito, mesmo esse tendo uma sexualidade diferente daquela dominante, sendo ele orientado a pensar e a se comportar como se só houvesse essa possibilidade de ser, pois esse é o universal. </w:t>
      </w:r>
    </w:p>
    <w:p w:rsidR="00000000" w:rsidDel="00000000" w:rsidP="00000000" w:rsidRDefault="00000000" w:rsidRPr="00000000" w14:paraId="0000001B">
      <w:pPr>
        <w:widowControl w:val="1"/>
        <w:spacing w:after="0" w:line="360" w:lineRule="auto"/>
        <w:ind w:firstLine="720"/>
        <w:rPr>
          <w:color w:val="000000"/>
        </w:rPr>
      </w:pPr>
      <w:r w:rsidDel="00000000" w:rsidR="00000000" w:rsidRPr="00000000">
        <w:rPr>
          <w:color w:val="000000"/>
          <w:rtl w:val="0"/>
        </w:rPr>
        <w:t xml:space="preserve">O espetáculo segue relatando como esse dispositivo de controle é violento e opressivo para as diversas categorias de </w:t>
      </w:r>
      <w:r w:rsidDel="00000000" w:rsidR="00000000" w:rsidRPr="00000000">
        <w:rPr>
          <w:color w:val="000000"/>
          <w:rtl w:val="0"/>
        </w:rPr>
        <w:t xml:space="preserve">homem</w:t>
      </w:r>
      <w:r w:rsidDel="00000000" w:rsidR="00000000" w:rsidRPr="00000000">
        <w:rPr>
          <w:color w:val="000000"/>
          <w:rtl w:val="0"/>
        </w:rPr>
        <w:t xml:space="preserve">. Outra cena que vamos relatar é a de que está um pai e um filho, e o filho tenta subir no colo do pai, mas esse não oferece espaço, de modo que esse movimento continua por diversos ciclos e o filho nunca encontra essa abertura para ser segurado pelo pai. Essa cena vai nos causando cada vez mais desconforto, pois esse contato é importante, mas não acontece. Na finalização da cena o filho desiste de encontrar conforto no colo do pai e passa a oferecer ao pai o seu colo. Dessa forma, o pai sobe no colo do filho e encontra conforto. Essa cena é um excelente relato de como muitas vezes essa relação de pai e filho é interrompida por padrões de comportamento que não aceitam tal atitude como sendo de homens que deixam aqueles incomodados, mas que não falam do assunto e essa forma de controle segue sendo eficiente, causando violências de diversas formas, contribuindo com a manutenção das estruturas de poder dentro da sociedade. </w:t>
      </w:r>
    </w:p>
    <w:p w:rsidR="00000000" w:rsidDel="00000000" w:rsidP="00000000" w:rsidRDefault="00000000" w:rsidRPr="00000000" w14:paraId="0000001C">
      <w:pPr>
        <w:widowControl w:val="1"/>
        <w:spacing w:after="0" w:line="360" w:lineRule="auto"/>
        <w:ind w:firstLine="720"/>
        <w:rPr>
          <w:color w:val="000000"/>
        </w:rPr>
      </w:pPr>
      <w:r w:rsidDel="00000000" w:rsidR="00000000" w:rsidRPr="00000000">
        <w:rPr>
          <w:color w:val="000000"/>
          <w:rtl w:val="0"/>
        </w:rPr>
        <w:t xml:space="preserve">Essa construção da masculinidade do caso do espetáculo Cabras está fundamentada em torno do corpo cabra, que seguindo a construção de Cortez (2008) o define como aquele que não é branco, logo não ocupa uma posição de poder dentro da sociedade. Esse termo é cunhado no período colonial, referindo-se a posição do sertanejo, aquele que não era o senhor da propriedade e não era ao menos tratado como sujeito, recebendo o tratamento como cabra, pois esse o aproximava ainda mais do animal, já que esse não devia ter nome de gente. </w:t>
      </w:r>
    </w:p>
    <w:p w:rsidR="00000000" w:rsidDel="00000000" w:rsidP="00000000" w:rsidRDefault="00000000" w:rsidRPr="00000000" w14:paraId="0000001D">
      <w:pPr>
        <w:widowControl w:val="1"/>
        <w:spacing w:after="0" w:line="360" w:lineRule="auto"/>
        <w:ind w:firstLine="720"/>
        <w:rPr>
          <w:color w:val="000000"/>
        </w:rPr>
      </w:pPr>
      <w:r w:rsidDel="00000000" w:rsidR="00000000" w:rsidRPr="00000000">
        <w:rPr>
          <w:color w:val="000000"/>
          <w:rtl w:val="0"/>
        </w:rPr>
        <w:t xml:space="preserve">A construção desses corpos subalternos como brutos e animalizados reflete muito na construção dessa figura que será definida como o masculino, representando esse ideal a ser seguido. Seguindo essa análise do espetáculo, a última cena apresenta os atores que antes estavam conversando e esses começam a se transformar em animais, ou seja, em cabras, e como consequência param de usar a voz, começam a emitir berros, saem das cadeiras, passando a andar de quatro e começam barulhos de chocalho. Dessa forma, o processo de se transformar em cabra é representado nessa cena como tornar-se animal. </w:t>
      </w:r>
    </w:p>
    <w:p w:rsidR="00000000" w:rsidDel="00000000" w:rsidP="00000000" w:rsidRDefault="00000000" w:rsidRPr="00000000" w14:paraId="0000001E">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1F">
      <w:pPr>
        <w:widowControl w:val="1"/>
        <w:spacing w:after="0" w:line="360" w:lineRule="auto"/>
        <w:ind w:firstLine="0"/>
        <w:rPr>
          <w:b w:val="1"/>
          <w:color w:val="000000"/>
          <w:u w:val="single"/>
        </w:rPr>
      </w:pPr>
      <w:r w:rsidDel="00000000" w:rsidR="00000000" w:rsidRPr="00000000">
        <w:rPr>
          <w:b w:val="1"/>
          <w:color w:val="000000"/>
          <w:rtl w:val="0"/>
        </w:rPr>
        <w:t xml:space="preserve">4 </w:t>
      </w:r>
      <w:r w:rsidDel="00000000" w:rsidR="00000000" w:rsidRPr="00000000">
        <w:rPr>
          <w:b w:val="1"/>
          <w:color w:val="000000"/>
          <w:u w:val="single"/>
          <w:rtl w:val="0"/>
        </w:rPr>
        <w:t xml:space="preserve">Conclusão </w:t>
      </w:r>
    </w:p>
    <w:p w:rsidR="00000000" w:rsidDel="00000000" w:rsidP="00000000" w:rsidRDefault="00000000" w:rsidRPr="00000000" w14:paraId="00000020">
      <w:pPr>
        <w:widowControl w:val="1"/>
        <w:spacing w:after="0" w:line="360" w:lineRule="auto"/>
        <w:ind w:firstLine="720"/>
        <w:rPr>
          <w:color w:val="000000"/>
        </w:rPr>
      </w:pPr>
      <w:r w:rsidDel="00000000" w:rsidR="00000000" w:rsidRPr="00000000">
        <w:rPr>
          <w:color w:val="000000"/>
          <w:rtl w:val="0"/>
        </w:rPr>
        <w:t xml:space="preserve">A encenação funciona como uma denúncia do modo como a nossa sociedade vem formando a construção do que chamamos de masculino e como essa construção também é um dispositivo causador de violência dentro de determinadas situações, pois elas não abarcam o diferente e buscam eliminá-lo, já que esse apresenta uma ameaça a hegemonia do todo. </w:t>
      </w:r>
    </w:p>
    <w:p w:rsidR="00000000" w:rsidDel="00000000" w:rsidP="00000000" w:rsidRDefault="00000000" w:rsidRPr="00000000" w14:paraId="00000021">
      <w:pPr>
        <w:widowControl w:val="1"/>
        <w:spacing w:after="0" w:line="360" w:lineRule="auto"/>
        <w:ind w:firstLine="720"/>
        <w:rPr>
          <w:color w:val="000000"/>
        </w:rPr>
      </w:pPr>
      <w:r w:rsidDel="00000000" w:rsidR="00000000" w:rsidRPr="00000000">
        <w:rPr>
          <w:color w:val="000000"/>
          <w:rtl w:val="0"/>
        </w:rPr>
        <w:t xml:space="preserve">Além de usar da ferramenta do teatro autobiográfico (LEITE, 2018) abrindo espaço para que os artistas contem suas histórias, o espetáculo Cabras funciona como espaço de aparecimento (BUTLER, 2022), oferecendo uma visão pública de corpos diversos e não padronizados, para que esses </w:t>
      </w:r>
      <w:r w:rsidDel="00000000" w:rsidR="00000000" w:rsidRPr="00000000">
        <w:rPr>
          <w:color w:val="000000"/>
          <w:rtl w:val="0"/>
        </w:rPr>
        <w:t xml:space="preserve">contem</w:t>
      </w:r>
      <w:r w:rsidDel="00000000" w:rsidR="00000000" w:rsidRPr="00000000">
        <w:rPr>
          <w:color w:val="000000"/>
          <w:rtl w:val="0"/>
        </w:rPr>
        <w:t xml:space="preserve"> suas formas de vida e assim possam contestar as estruturas de poder que vigoram em nossa sociedade. </w:t>
      </w:r>
    </w:p>
    <w:p w:rsidR="00000000" w:rsidDel="00000000" w:rsidP="00000000" w:rsidRDefault="00000000" w:rsidRPr="00000000" w14:paraId="00000022">
      <w:pPr>
        <w:widowControl w:val="1"/>
        <w:spacing w:after="0" w:line="360" w:lineRule="auto"/>
        <w:ind w:firstLine="720"/>
        <w:rPr>
          <w:color w:val="000000"/>
        </w:rPr>
      </w:pPr>
      <w:r w:rsidDel="00000000" w:rsidR="00000000" w:rsidRPr="00000000">
        <w:rPr>
          <w:color w:val="000000"/>
          <w:rtl w:val="0"/>
        </w:rPr>
        <w:t xml:space="preserve">Portanto, o espetáculo é esse contexto de problematização, que nos provoca a pensarmos nessas diversas formas de ser do sujeito, pois estamos falando daquilo que é o diferente, o que não está em conformidade e aquilo que tenta escapar das estruturas e dispositivos que buscam regular a normatividade dentro da sociedade. </w:t>
      </w:r>
    </w:p>
    <w:p w:rsidR="00000000" w:rsidDel="00000000" w:rsidP="00000000" w:rsidRDefault="00000000" w:rsidRPr="00000000" w14:paraId="00000023">
      <w:pPr>
        <w:widowControl w:val="1"/>
        <w:spacing w:after="0" w:line="360" w:lineRule="auto"/>
        <w:ind w:firstLine="0"/>
        <w:rPr>
          <w:color w:val="000000"/>
        </w:rPr>
      </w:pPr>
      <w:r w:rsidDel="00000000" w:rsidR="00000000" w:rsidRPr="00000000">
        <w:rPr>
          <w:rtl w:val="0"/>
        </w:rPr>
      </w:r>
    </w:p>
    <w:p w:rsidR="00000000" w:rsidDel="00000000" w:rsidP="00000000" w:rsidRDefault="00000000" w:rsidRPr="00000000" w14:paraId="00000024">
      <w:pPr>
        <w:widowControl w:val="1"/>
        <w:spacing w:after="0" w:line="360" w:lineRule="auto"/>
        <w:ind w:firstLine="0"/>
        <w:rPr>
          <w:color w:val="000000"/>
        </w:rPr>
      </w:pPr>
      <w:r w:rsidDel="00000000" w:rsidR="00000000" w:rsidRPr="00000000">
        <w:rPr>
          <w:rtl w:val="0"/>
        </w:rPr>
      </w:r>
    </w:p>
    <w:p w:rsidR="00000000" w:rsidDel="00000000" w:rsidP="00000000" w:rsidRDefault="00000000" w:rsidRPr="00000000" w14:paraId="00000025">
      <w:pPr>
        <w:widowControl w:val="1"/>
        <w:spacing w:after="0" w:line="360" w:lineRule="auto"/>
        <w:ind w:firstLine="0"/>
        <w:jc w:val="center"/>
        <w:rPr>
          <w:b w:val="1"/>
          <w:color w:val="000000"/>
        </w:rPr>
      </w:pPr>
      <w:r w:rsidDel="00000000" w:rsidR="00000000" w:rsidRPr="00000000">
        <w:rPr>
          <w:b w:val="1"/>
          <w:color w:val="000000"/>
          <w:rtl w:val="0"/>
        </w:rPr>
        <w:t xml:space="preserve">REFERÊNCIAS</w:t>
      </w:r>
    </w:p>
    <w:p w:rsidR="00000000" w:rsidDel="00000000" w:rsidP="00000000" w:rsidRDefault="00000000" w:rsidRPr="00000000" w14:paraId="00000026">
      <w:pPr>
        <w:widowControl w:val="1"/>
        <w:spacing w:after="0" w:before="240" w:lineRule="auto"/>
        <w:ind w:firstLine="0"/>
        <w:jc w:val="left"/>
        <w:rPr>
          <w:color w:val="000000"/>
          <w:sz w:val="22"/>
          <w:szCs w:val="22"/>
        </w:rPr>
      </w:pPr>
      <w:r w:rsidDel="00000000" w:rsidR="00000000" w:rsidRPr="00000000">
        <w:rPr>
          <w:color w:val="000000"/>
          <w:sz w:val="22"/>
          <w:szCs w:val="22"/>
          <w:rtl w:val="0"/>
        </w:rPr>
        <w:t xml:space="preserve">BUTLER, JUDITH. </w:t>
      </w:r>
      <w:r w:rsidDel="00000000" w:rsidR="00000000" w:rsidRPr="00000000">
        <w:rPr>
          <w:b w:val="1"/>
          <w:color w:val="000000"/>
          <w:sz w:val="22"/>
          <w:szCs w:val="22"/>
          <w:rtl w:val="0"/>
        </w:rPr>
        <w:t xml:space="preserve">Corpos em aliança e a política das ruas</w:t>
      </w:r>
      <w:r w:rsidDel="00000000" w:rsidR="00000000" w:rsidRPr="00000000">
        <w:rPr>
          <w:color w:val="000000"/>
          <w:sz w:val="22"/>
          <w:szCs w:val="22"/>
          <w:rtl w:val="0"/>
        </w:rPr>
        <w:t xml:space="preserve">: Notas para uma teoria performativa de assembleia. Rio de Janeiro. Editora Civilização brasileira, 2018. </w:t>
      </w:r>
    </w:p>
    <w:p w:rsidR="00000000" w:rsidDel="00000000" w:rsidP="00000000" w:rsidRDefault="00000000" w:rsidRPr="00000000" w14:paraId="00000027">
      <w:pPr>
        <w:widowControl w:val="1"/>
        <w:spacing w:after="0" w:before="240" w:lineRule="auto"/>
        <w:ind w:firstLine="0"/>
        <w:jc w:val="left"/>
        <w:rPr>
          <w:color w:val="000000"/>
          <w:sz w:val="22"/>
          <w:szCs w:val="22"/>
        </w:rPr>
      </w:pPr>
      <w:r w:rsidDel="00000000" w:rsidR="00000000" w:rsidRPr="00000000">
        <w:rPr>
          <w:color w:val="000000"/>
          <w:sz w:val="22"/>
          <w:szCs w:val="22"/>
          <w:rtl w:val="0"/>
        </w:rPr>
        <w:t xml:space="preserve">BUTLER, JUDITH. </w:t>
      </w:r>
      <w:r w:rsidDel="00000000" w:rsidR="00000000" w:rsidRPr="00000000">
        <w:rPr>
          <w:b w:val="1"/>
          <w:color w:val="000000"/>
          <w:sz w:val="22"/>
          <w:szCs w:val="22"/>
          <w:rtl w:val="0"/>
        </w:rPr>
        <w:t xml:space="preserve">Desfazendo gênero</w:t>
      </w:r>
      <w:r w:rsidDel="00000000" w:rsidR="00000000" w:rsidRPr="00000000">
        <w:rPr>
          <w:color w:val="000000"/>
          <w:sz w:val="22"/>
          <w:szCs w:val="22"/>
          <w:rtl w:val="0"/>
        </w:rPr>
        <w:t xml:space="preserve">. São Paulo. Editora UNESP, 2022. </w:t>
      </w:r>
    </w:p>
    <w:p w:rsidR="00000000" w:rsidDel="00000000" w:rsidP="00000000" w:rsidRDefault="00000000" w:rsidRPr="00000000" w14:paraId="00000028">
      <w:pPr>
        <w:widowControl w:val="1"/>
        <w:spacing w:after="0" w:before="240" w:lineRule="auto"/>
        <w:ind w:firstLine="0"/>
        <w:jc w:val="left"/>
        <w:rPr>
          <w:color w:val="000000"/>
          <w:sz w:val="22"/>
          <w:szCs w:val="22"/>
        </w:rPr>
      </w:pPr>
      <w:r w:rsidDel="00000000" w:rsidR="00000000" w:rsidRPr="00000000">
        <w:rPr>
          <w:color w:val="000000"/>
          <w:sz w:val="22"/>
          <w:szCs w:val="22"/>
          <w:rtl w:val="0"/>
        </w:rPr>
        <w:t xml:space="preserve">CAVARERO, ADRIANA. </w:t>
      </w:r>
      <w:r w:rsidDel="00000000" w:rsidR="00000000" w:rsidRPr="00000000">
        <w:rPr>
          <w:b w:val="1"/>
          <w:color w:val="000000"/>
          <w:sz w:val="22"/>
          <w:szCs w:val="22"/>
          <w:rtl w:val="0"/>
        </w:rPr>
        <w:t xml:space="preserve">Vozes plurais</w:t>
      </w:r>
      <w:r w:rsidDel="00000000" w:rsidR="00000000" w:rsidRPr="00000000">
        <w:rPr>
          <w:color w:val="000000"/>
          <w:sz w:val="22"/>
          <w:szCs w:val="22"/>
          <w:rtl w:val="0"/>
        </w:rPr>
        <w:t xml:space="preserve">: Filosofia da expressão vocal. Belo Horizonte. Editora UFMG, 2011. </w:t>
      </w:r>
    </w:p>
    <w:p w:rsidR="00000000" w:rsidDel="00000000" w:rsidP="00000000" w:rsidRDefault="00000000" w:rsidRPr="00000000" w14:paraId="00000029">
      <w:pPr>
        <w:widowControl w:val="1"/>
        <w:spacing w:after="0" w:before="240" w:lineRule="auto"/>
        <w:ind w:firstLine="0"/>
        <w:jc w:val="left"/>
        <w:rPr>
          <w:color w:val="000000"/>
          <w:sz w:val="22"/>
          <w:szCs w:val="22"/>
        </w:rPr>
      </w:pPr>
      <w:r w:rsidDel="00000000" w:rsidR="00000000" w:rsidRPr="00000000">
        <w:rPr>
          <w:color w:val="000000"/>
          <w:sz w:val="22"/>
          <w:szCs w:val="22"/>
          <w:rtl w:val="0"/>
        </w:rPr>
        <w:t xml:space="preserve">CORTEZ, ANA SARA RIBEIRO PARENTE. </w:t>
      </w:r>
      <w:r w:rsidDel="00000000" w:rsidR="00000000" w:rsidRPr="00000000">
        <w:rPr>
          <w:b w:val="1"/>
          <w:color w:val="000000"/>
          <w:sz w:val="22"/>
          <w:szCs w:val="22"/>
          <w:rtl w:val="0"/>
        </w:rPr>
        <w:t xml:space="preserve">Cabras, caboclos, negros e mulatos</w:t>
      </w:r>
      <w:r w:rsidDel="00000000" w:rsidR="00000000" w:rsidRPr="00000000">
        <w:rPr>
          <w:color w:val="000000"/>
          <w:sz w:val="22"/>
          <w:szCs w:val="22"/>
          <w:rtl w:val="0"/>
        </w:rPr>
        <w:t xml:space="preserve">: A família escrava no Cariri cearense (1850 - 1884). 2008. Programa de Pós-Graduação em História. Dissertação (Mestrado em História Social). Universidade Federal do Ceará: Fortaleza, 2008. 245 f. </w:t>
      </w:r>
    </w:p>
    <w:p w:rsidR="00000000" w:rsidDel="00000000" w:rsidP="00000000" w:rsidRDefault="00000000" w:rsidRPr="00000000" w14:paraId="0000002A">
      <w:pPr>
        <w:widowControl w:val="1"/>
        <w:spacing w:after="0" w:before="240" w:lineRule="auto"/>
        <w:ind w:firstLine="0"/>
        <w:jc w:val="left"/>
        <w:rPr>
          <w:color w:val="000000"/>
          <w:sz w:val="22"/>
          <w:szCs w:val="22"/>
        </w:rPr>
      </w:pPr>
      <w:r w:rsidDel="00000000" w:rsidR="00000000" w:rsidRPr="00000000">
        <w:rPr>
          <w:color w:val="000000"/>
          <w:sz w:val="22"/>
          <w:szCs w:val="22"/>
          <w:rtl w:val="0"/>
        </w:rPr>
        <w:t xml:space="preserve">FOUCAULT, MICHEL. </w:t>
      </w:r>
      <w:r w:rsidDel="00000000" w:rsidR="00000000" w:rsidRPr="00000000">
        <w:rPr>
          <w:b w:val="1"/>
          <w:color w:val="000000"/>
          <w:sz w:val="22"/>
          <w:szCs w:val="22"/>
          <w:rtl w:val="0"/>
        </w:rPr>
        <w:t xml:space="preserve">A história da sexualidade 1: </w:t>
      </w:r>
      <w:r w:rsidDel="00000000" w:rsidR="00000000" w:rsidRPr="00000000">
        <w:rPr>
          <w:color w:val="000000"/>
          <w:sz w:val="22"/>
          <w:szCs w:val="22"/>
          <w:rtl w:val="0"/>
        </w:rPr>
        <w:t xml:space="preserve">a vontade de saber</w:t>
      </w:r>
      <w:r w:rsidDel="00000000" w:rsidR="00000000" w:rsidRPr="00000000">
        <w:rPr>
          <w:b w:val="1"/>
          <w:color w:val="000000"/>
          <w:sz w:val="22"/>
          <w:szCs w:val="22"/>
          <w:rtl w:val="0"/>
        </w:rPr>
        <w:t xml:space="preserve">. </w:t>
      </w:r>
      <w:r w:rsidDel="00000000" w:rsidR="00000000" w:rsidRPr="00000000">
        <w:rPr>
          <w:color w:val="000000"/>
          <w:sz w:val="22"/>
          <w:szCs w:val="22"/>
          <w:rtl w:val="0"/>
        </w:rPr>
        <w:t xml:space="preserve">Rio de Janeiro. Editora Paz e terra, 2022. </w:t>
      </w:r>
    </w:p>
    <w:p w:rsidR="00000000" w:rsidDel="00000000" w:rsidP="00000000" w:rsidRDefault="00000000" w:rsidRPr="00000000" w14:paraId="0000002B">
      <w:pPr>
        <w:widowControl w:val="1"/>
        <w:spacing w:after="0" w:before="240" w:lineRule="auto"/>
        <w:ind w:firstLine="0"/>
        <w:jc w:val="left"/>
        <w:rPr>
          <w:color w:val="000000"/>
          <w:sz w:val="22"/>
          <w:szCs w:val="22"/>
        </w:rPr>
      </w:pPr>
      <w:r w:rsidDel="00000000" w:rsidR="00000000" w:rsidRPr="00000000">
        <w:rPr>
          <w:color w:val="000000"/>
          <w:sz w:val="22"/>
          <w:szCs w:val="22"/>
          <w:rtl w:val="0"/>
        </w:rPr>
        <w:t xml:space="preserve">GRUPO NINHO DE TEATRO. </w:t>
      </w:r>
      <w:r w:rsidDel="00000000" w:rsidR="00000000" w:rsidRPr="00000000">
        <w:rPr>
          <w:b w:val="1"/>
          <w:color w:val="000000"/>
          <w:sz w:val="22"/>
          <w:szCs w:val="22"/>
          <w:rtl w:val="0"/>
        </w:rPr>
        <w:t xml:space="preserve">Cabras</w:t>
      </w:r>
      <w:r w:rsidDel="00000000" w:rsidR="00000000" w:rsidRPr="00000000">
        <w:rPr>
          <w:color w:val="000000"/>
          <w:sz w:val="22"/>
          <w:szCs w:val="22"/>
          <w:rtl w:val="0"/>
        </w:rPr>
        <w:t xml:space="preserve">. Crato: s/e, 2002.</w:t>
      </w:r>
    </w:p>
    <w:p w:rsidR="00000000" w:rsidDel="00000000" w:rsidP="00000000" w:rsidRDefault="00000000" w:rsidRPr="00000000" w14:paraId="0000002C">
      <w:pPr>
        <w:widowControl w:val="1"/>
        <w:spacing w:after="0" w:before="240" w:lineRule="auto"/>
        <w:ind w:firstLine="0"/>
        <w:jc w:val="left"/>
        <w:rPr>
          <w:color w:val="000000"/>
        </w:rPr>
      </w:pPr>
      <w:r w:rsidDel="00000000" w:rsidR="00000000" w:rsidRPr="00000000">
        <w:rPr>
          <w:color w:val="000000"/>
          <w:sz w:val="22"/>
          <w:szCs w:val="22"/>
          <w:rtl w:val="0"/>
        </w:rPr>
        <w:t xml:space="preserve">LEITE, JANAÍNA FONTE. </w:t>
      </w:r>
      <w:r w:rsidDel="00000000" w:rsidR="00000000" w:rsidRPr="00000000">
        <w:rPr>
          <w:b w:val="1"/>
          <w:color w:val="000000"/>
          <w:sz w:val="22"/>
          <w:szCs w:val="22"/>
          <w:rtl w:val="0"/>
        </w:rPr>
        <w:t xml:space="preserve">Autoescrituras performativas</w:t>
      </w:r>
      <w:r w:rsidDel="00000000" w:rsidR="00000000" w:rsidRPr="00000000">
        <w:rPr>
          <w:color w:val="000000"/>
          <w:sz w:val="22"/>
          <w:szCs w:val="22"/>
          <w:rtl w:val="0"/>
        </w:rPr>
        <w:t xml:space="preserve">: do diário à cena. São Paulo. Editora Perspectiva, 2017.</w:t>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17" w:top="1417" w:left="1701" w:right="1417"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ind w:firstLine="0"/>
      <w:jc w:val="center"/>
      <w:rPr/>
    </w:pPr>
    <w:r w:rsidDel="00000000" w:rsidR="00000000" w:rsidRPr="00000000">
      <w:rPr>
        <w:color w:val="001836"/>
        <w:rtl w:val="0"/>
      </w:rPr>
      <w:t xml:space="preserve">© IV CONPESQ, 3, 4 e 5 de outubro de 2023, Juazeiro do Norte, CE, Brasil.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-1244599</wp:posOffset>
              </wp:positionH>
              <wp:positionV relativeFrom="paragraph">
                <wp:posOffset>330200</wp:posOffset>
              </wp:positionV>
              <wp:extent cx="7745743" cy="207391"/>
              <wp:effectExtent b="0" l="0" r="0" t="0"/>
              <wp:wrapNone/>
              <wp:docPr id="3" name=""/>
              <a:graphic>
                <a:graphicData uri="http://schemas.microsoft.com/office/word/2010/wordprocessingShape">
                  <wps:wsp>
                    <wps:cNvSpPr/>
                    <wps:cNvPr id="4" name="Shape 4"/>
                    <wps:spPr>
                      <a:xfrm>
                        <a:off x="1485829" y="3689005"/>
                        <a:ext cx="7720343" cy="181991"/>
                      </a:xfrm>
                      <a:prstGeom prst="rect">
                        <a:avLst/>
                      </a:prstGeom>
                      <a:solidFill>
                        <a:srgbClr val="001836"/>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-1244599</wp:posOffset>
              </wp:positionH>
              <wp:positionV relativeFrom="paragraph">
                <wp:posOffset>330200</wp:posOffset>
              </wp:positionV>
              <wp:extent cx="7745743" cy="207391"/>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45743" cy="207391"/>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ind w:firstLine="0"/>
      <w:jc w:val="center"/>
      <w:rPr/>
    </w:pPr>
    <w:r w:rsidDel="00000000" w:rsidR="00000000" w:rsidRPr="00000000">
      <w:rPr>
        <w:color w:val="001836"/>
        <w:rtl w:val="0"/>
      </w:rPr>
      <w:t xml:space="preserve">© IV CONPESQ, 3, 4 e 5 de outubro de 2023, Juazeiro do Norte, CE, Brasil.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-1244599</wp:posOffset>
              </wp:positionH>
              <wp:positionV relativeFrom="paragraph">
                <wp:posOffset>330200</wp:posOffset>
              </wp:positionV>
              <wp:extent cx="7745730" cy="207010"/>
              <wp:effectExtent b="0" l="0" r="0" t="0"/>
              <wp:wrapNone/>
              <wp:docPr id="2" name=""/>
              <a:graphic>
                <a:graphicData uri="http://schemas.microsoft.com/office/word/2010/wordprocessingShape">
                  <wps:wsp>
                    <wps:cNvSpPr/>
                    <wps:cNvPr id="3" name="Shape 3"/>
                    <wps:spPr>
                      <a:xfrm>
                        <a:off x="1485835" y="3689195"/>
                        <a:ext cx="7720330" cy="181610"/>
                      </a:xfrm>
                      <a:prstGeom prst="rect">
                        <a:avLst/>
                      </a:prstGeom>
                      <a:solidFill>
                        <a:srgbClr val="001836"/>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-1244599</wp:posOffset>
              </wp:positionH>
              <wp:positionV relativeFrom="paragraph">
                <wp:posOffset>330200</wp:posOffset>
              </wp:positionV>
              <wp:extent cx="7745730" cy="207010"/>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45730" cy="20701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Universidade Federal do Cariri, </w:t>
      </w:r>
      <w:hyperlink r:id="rId1">
        <w:r w:rsidDel="00000000" w:rsidR="00000000" w:rsidRPr="00000000">
          <w:rPr>
            <w:color w:val="1155cc"/>
            <w:sz w:val="20"/>
            <w:szCs w:val="20"/>
            <w:u w:val="single"/>
            <w:rtl w:val="0"/>
          </w:rPr>
          <w:t xml:space="preserve">heulersa@aluno.ufca.edu.br</w:t>
        </w:r>
      </w:hyperlink>
      <w:r w:rsidDel="00000000" w:rsidR="00000000" w:rsidRPr="00000000">
        <w:rPr>
          <w:sz w:val="20"/>
          <w:szCs w:val="20"/>
          <w:rtl w:val="0"/>
        </w:rPr>
        <w:t xml:space="preserve">.</w:t>
      </w:r>
      <w:r w:rsidDel="00000000" w:rsidR="00000000" w:rsidRPr="00000000">
        <w:rPr>
          <w:rtl w:val="0"/>
        </w:rPr>
      </w:r>
    </w:p>
  </w:footnote>
  <w:footnote w:id="1">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Universidade Federal do Cariri, </w:t>
      </w:r>
      <w:hyperlink r:id="rId2">
        <w:r w:rsidDel="00000000" w:rsidR="00000000" w:rsidRPr="00000000">
          <w:rPr>
            <w:color w:val="1155cc"/>
            <w:sz w:val="20"/>
            <w:szCs w:val="20"/>
            <w:u w:val="single"/>
            <w:rtl w:val="0"/>
          </w:rPr>
          <w:t xml:space="preserve">alexandre.nunes@ufca.edu.br</w:t>
        </w:r>
      </w:hyperlink>
      <w:r w:rsidDel="00000000" w:rsidR="00000000" w:rsidRPr="00000000">
        <w:rPr>
          <w:sz w:val="20"/>
          <w:szCs w:val="20"/>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252"/>
        <w:tab w:val="right" w:leader="none" w:pos="8504"/>
      </w:tabs>
      <w:ind w:firstLine="0"/>
      <w:jc w:val="center"/>
      <w:rPr/>
    </w:pPr>
    <w:r w:rsidDel="00000000" w:rsidR="00000000" w:rsidRPr="00000000">
      <w:rPr/>
      <w:drawing>
        <wp:inline distB="0" distT="0" distL="0" distR="0">
          <wp:extent cx="3856648" cy="978113"/>
          <wp:effectExtent b="0" l="0" r="0" t="0"/>
          <wp:docPr id="4" name="image1.png"/>
          <a:graphic>
            <a:graphicData uri="http://schemas.openxmlformats.org/drawingml/2006/picture">
              <pic:pic>
                <pic:nvPicPr>
                  <pic:cNvPr id="0" name="image1.png"/>
                  <pic:cNvPicPr preferRelativeResize="0"/>
                </pic:nvPicPr>
                <pic:blipFill>
                  <a:blip r:embed="rId1"/>
                  <a:srcRect b="24567" l="21795" r="22046" t="18604"/>
                  <a:stretch>
                    <a:fillRect/>
                  </a:stretch>
                </pic:blipFill>
                <pic:spPr>
                  <a:xfrm>
                    <a:off x="0" y="0"/>
                    <a:ext cx="3856648" cy="97811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-1094421</wp:posOffset>
              </wp:positionH>
              <wp:positionV relativeFrom="paragraph">
                <wp:posOffset>-285749</wp:posOffset>
              </wp:positionV>
              <wp:extent cx="7591425" cy="1469073"/>
              <wp:effectExtent b="0" l="0" r="0" t="0"/>
              <wp:wrapNone/>
              <wp:docPr id="1" name=""/>
              <a:graphic>
                <a:graphicData uri="http://schemas.microsoft.com/office/word/2010/wordprocessingShape">
                  <wps:wsp>
                    <wps:cNvSpPr/>
                    <wps:cNvPr id="2" name="Shape 2"/>
                    <wps:spPr>
                      <a:xfrm rot="5400000">
                        <a:off x="4623935" y="-6132"/>
                        <a:ext cx="1444129" cy="7572263"/>
                      </a:xfrm>
                      <a:prstGeom prst="flowChartDelay">
                        <a:avLst/>
                      </a:prstGeom>
                      <a:blipFill rotWithShape="0">
                        <a:blip r:embed="rId2">
                          <a:alphaModFix/>
                        </a:blip>
                        <a:stretch>
                          <a:fillRect b="-159" l="160" r="160" t="-159"/>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-1094421</wp:posOffset>
              </wp:positionH>
              <wp:positionV relativeFrom="paragraph">
                <wp:posOffset>-285749</wp:posOffset>
              </wp:positionV>
              <wp:extent cx="7591425" cy="1469073"/>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7591425" cy="1469073"/>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252"/>
        <w:tab w:val="right" w:leader="none" w:pos="8504"/>
      </w:tabs>
      <w:spacing w:after="240" w:lineRule="auto"/>
      <w:ind w:firstLine="0"/>
      <w:jc w:val="center"/>
      <w:rPr/>
    </w:pPr>
    <w:r w:rsidDel="00000000" w:rsidR="00000000" w:rsidRPr="00000000">
      <w:rPr/>
      <w:drawing>
        <wp:inline distB="0" distT="0" distL="0" distR="0">
          <wp:extent cx="2182177" cy="553438"/>
          <wp:effectExtent b="0" l="0" r="0" t="0"/>
          <wp:docPr descr="Texto&#10;&#10;Descrição gerada automaticamente com confiança média" id="5" name="image1.png"/>
          <a:graphic>
            <a:graphicData uri="http://schemas.openxmlformats.org/drawingml/2006/picture">
              <pic:pic>
                <pic:nvPicPr>
                  <pic:cNvPr descr="Texto&#10;&#10;Descrição gerada automaticamente com confiança média" id="0" name="image1.png"/>
                  <pic:cNvPicPr preferRelativeResize="0"/>
                </pic:nvPicPr>
                <pic:blipFill>
                  <a:blip r:embed="rId1"/>
                  <a:srcRect b="24567" l="21795" r="22046" t="18604"/>
                  <a:stretch>
                    <a:fillRect/>
                  </a:stretch>
                </pic:blipFill>
                <pic:spPr>
                  <a:xfrm>
                    <a:off x="0" y="0"/>
                    <a:ext cx="2182177" cy="553438"/>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2790441</wp:posOffset>
          </wp:positionH>
          <wp:positionV relativeFrom="paragraph">
            <wp:posOffset>132833</wp:posOffset>
          </wp:positionV>
          <wp:extent cx="991240" cy="210495"/>
          <wp:effectExtent b="0" l="0" r="0" t="0"/>
          <wp:wrapNone/>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91240" cy="2104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00000a"/>
        <w:sz w:val="24"/>
        <w:szCs w:val="24"/>
        <w:lang w:val="pt-BR"/>
      </w:rPr>
    </w:rPrDefault>
    <w:pPrDefault>
      <w:pPr>
        <w:widowControl w:val="0"/>
        <w:spacing w:after="12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spacing w:before="480" w:line="360" w:lineRule="auto"/>
      <w:ind w:firstLine="0"/>
    </w:pPr>
    <w:rPr>
      <w:b w:val="1"/>
      <w:smallCaps w:val="1"/>
      <w:color w:val="000000"/>
    </w:rPr>
  </w:style>
  <w:style w:type="paragraph" w:styleId="Heading2">
    <w:name w:val="heading 2"/>
    <w:basedOn w:val="Normal"/>
    <w:next w:val="Normal"/>
    <w:pPr>
      <w:widowControl w:val="1"/>
      <w:spacing w:after="240" w:before="480" w:line="360" w:lineRule="auto"/>
      <w:ind w:firstLine="0"/>
    </w:pPr>
    <w:rPr>
      <w:b w:val="1"/>
      <w:color w:val="000000"/>
    </w:rPr>
  </w:style>
  <w:style w:type="paragraph" w:styleId="Heading3">
    <w:name w:val="heading 3"/>
    <w:basedOn w:val="Normal"/>
    <w:next w:val="Normal"/>
    <w:pPr>
      <w:widowControl w:val="1"/>
      <w:spacing w:after="240" w:before="480" w:line="360" w:lineRule="auto"/>
      <w:ind w:left="624" w:hanging="624"/>
    </w:pPr>
    <w:rPr>
      <w:color w:val="000000"/>
    </w:rPr>
  </w:style>
  <w:style w:type="paragraph" w:styleId="Heading4">
    <w:name w:val="heading 4"/>
    <w:basedOn w:val="Normal"/>
    <w:next w:val="Normal"/>
    <w:pPr>
      <w:widowControl w:val="1"/>
      <w:spacing w:after="240" w:before="480" w:line="360" w:lineRule="auto"/>
      <w:ind w:left="851" w:hanging="851"/>
      <w:jc w:val="left"/>
    </w:pPr>
    <w:rPr>
      <w:i w:val="1"/>
      <w:color w:val="000000"/>
    </w:rPr>
  </w:style>
  <w:style w:type="paragraph" w:styleId="Heading5">
    <w:name w:val="heading 5"/>
    <w:basedOn w:val="Normal"/>
    <w:next w:val="Normal"/>
    <w:pPr>
      <w:widowControl w:val="1"/>
      <w:spacing w:before="40" w:line="360" w:lineRule="auto"/>
      <w:ind w:firstLine="0"/>
      <w:jc w:val="left"/>
    </w:pPr>
    <w:rPr>
      <w:i w:val="1"/>
      <w:color w:val="000000"/>
      <w:sz w:val="22"/>
      <w:szCs w:val="22"/>
    </w:rPr>
  </w:style>
  <w:style w:type="paragraph" w:styleId="Heading6">
    <w:name w:val="heading 6"/>
    <w:basedOn w:val="Normal"/>
    <w:next w:val="Normal"/>
    <w:pPr>
      <w:widowControl w:val="1"/>
      <w:spacing w:after="60" w:before="240" w:line="360" w:lineRule="auto"/>
      <w:ind w:left="1152" w:hanging="1152"/>
    </w:pPr>
    <w:rPr>
      <w:i w:val="1"/>
      <w:color w:val="000000"/>
      <w:sz w:val="22"/>
      <w:szCs w:val="22"/>
    </w:rPr>
  </w:style>
  <w:style w:type="paragraph" w:styleId="Title">
    <w:name w:val="Title"/>
    <w:basedOn w:val="Normal"/>
    <w:next w:val="Normal"/>
    <w:pPr>
      <w:spacing w:after="60" w:before="240" w:lineRule="auto"/>
      <w:jc w:val="center"/>
    </w:pPr>
    <w:rPr>
      <w:b w:val="1"/>
      <w:smallCap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notes.xml.rels><?xml version="1.0" encoding="UTF-8" standalone="yes"?><Relationships xmlns="http://schemas.openxmlformats.org/package/2006/relationships"><Relationship Id="rId1" Type="http://schemas.openxmlformats.org/officeDocument/2006/relationships/hyperlink" Target="mailto:heulersa@aluno.ufca.edu.br" TargetMode="External"/><Relationship Id="rId2" Type="http://schemas.openxmlformats.org/officeDocument/2006/relationships/hyperlink" Target="mailto:alexandre.nunes@ufca.edu.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