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15239</wp:posOffset>
                </wp:positionV>
                <wp:extent cx="7559675" cy="1448435"/>
                <wp:effectExtent b="0" l="0" r="0" t="0"/>
                <wp:wrapNone/>
                <wp:docPr id="22" name=""/>
                <a:graphic>
                  <a:graphicData uri="http://schemas.microsoft.com/office/word/2010/wordprocessingGroup">
                    <wpg:wgp>
                      <wpg:cNvGrpSpPr/>
                      <wpg:grpSpPr>
                        <a:xfrm>
                          <a:off x="1566150" y="3055775"/>
                          <a:ext cx="7559675" cy="1448435"/>
                          <a:chOff x="1566150" y="3055775"/>
                          <a:chExt cx="7559700" cy="1448450"/>
                        </a:xfrm>
                      </wpg:grpSpPr>
                      <wpg:grpSp>
                        <wpg:cNvGrpSpPr/>
                        <wpg:grpSpPr>
                          <a:xfrm>
                            <a:off x="1566163" y="3055783"/>
                            <a:ext cx="7559675" cy="1448434"/>
                            <a:chOff x="0" y="0"/>
                            <a:chExt cx="7559675" cy="1448434"/>
                          </a:xfrm>
                        </wpg:grpSpPr>
                        <wps:wsp>
                          <wps:cNvSpPr/>
                          <wps:cNvPr id="3" name="Shape 3"/>
                          <wps:spPr>
                            <a:xfrm>
                              <a:off x="0" y="0"/>
                              <a:ext cx="7559675" cy="144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 name="Shape 15"/>
                            <pic:cNvPicPr preferRelativeResize="0"/>
                          </pic:nvPicPr>
                          <pic:blipFill rotWithShape="1">
                            <a:blip r:embed="rId7">
                              <a:alphaModFix/>
                            </a:blip>
                            <a:srcRect b="0" l="0" r="0" t="0"/>
                            <a:stretch/>
                          </pic:blipFill>
                          <pic:spPr>
                            <a:xfrm>
                              <a:off x="0" y="0"/>
                              <a:ext cx="7559674" cy="1448434"/>
                            </a:xfrm>
                            <a:prstGeom prst="rect">
                              <a:avLst/>
                            </a:prstGeom>
                            <a:noFill/>
                            <a:ln>
                              <a:noFill/>
                            </a:ln>
                          </pic:spPr>
                        </pic:pic>
                        <pic:pic>
                          <pic:nvPicPr>
                            <pic:cNvPr id="16" name="Shape 16"/>
                            <pic:cNvPicPr preferRelativeResize="0"/>
                          </pic:nvPicPr>
                          <pic:blipFill rotWithShape="1">
                            <a:blip r:embed="rId8">
                              <a:alphaModFix/>
                            </a:blip>
                            <a:srcRect b="0" l="0" r="0" t="0"/>
                            <a:stretch/>
                          </pic:blipFill>
                          <pic:spPr>
                            <a:xfrm>
                              <a:off x="1952878" y="273050"/>
                              <a:ext cx="3833241" cy="9721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15239</wp:posOffset>
                </wp:positionV>
                <wp:extent cx="7559675" cy="1448435"/>
                <wp:effectExtent b="0" l="0" r="0" t="0"/>
                <wp:wrapNone/>
                <wp:docPr id="2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7559675" cy="14484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rPr/>
      </w:pPr>
      <w:r w:rsidDel="00000000" w:rsidR="00000000" w:rsidRPr="00000000">
        <w:rPr>
          <w:color w:val="000009"/>
          <w:rtl w:val="0"/>
        </w:rPr>
        <w:t xml:space="preserve">Contribuições da biblioteca pública para impulsionar a implementação da Agenda 2030</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345" w:lineRule="auto"/>
        <w:ind w:left="1978" w:right="113" w:hanging="39.00000000000006"/>
        <w:jc w:val="right"/>
        <w:rPr>
          <w:b w:val="1"/>
          <w:color w:val="000009"/>
          <w:sz w:val="20"/>
          <w:szCs w:val="20"/>
          <w:vertAlign w:val="baseline"/>
        </w:rPr>
      </w:pPr>
      <w:r w:rsidDel="00000000" w:rsidR="00000000" w:rsidRPr="00000000">
        <w:rPr>
          <w:b w:val="1"/>
          <w:sz w:val="24"/>
          <w:szCs w:val="24"/>
          <w:rtl w:val="0"/>
        </w:rPr>
        <w:t xml:space="preserve">Jéssica Alves de Souza</w:t>
      </w:r>
      <w:r w:rsidDel="00000000" w:rsidR="00000000" w:rsidRPr="00000000">
        <w:rPr>
          <w:b w:val="1"/>
          <w:color w:val="000009"/>
          <w:sz w:val="20"/>
          <w:szCs w:val="20"/>
          <w:vertAlign w:val="superscript"/>
          <w:rtl w:val="0"/>
        </w:rPr>
        <w:t xml:space="preserve">1</w:t>
      </w:r>
      <w:r w:rsidDel="00000000" w:rsidR="00000000" w:rsidRPr="00000000">
        <w:rPr>
          <w:b w:val="1"/>
          <w:color w:val="000009"/>
          <w:sz w:val="20"/>
          <w:szCs w:val="20"/>
          <w:vertAlign w:val="baseline"/>
          <w:rtl w:val="0"/>
        </w:rPr>
        <w:t xml:space="preserve"> </w:t>
      </w:r>
    </w:p>
    <w:p w:rsidR="00000000" w:rsidDel="00000000" w:rsidP="00000000" w:rsidRDefault="00000000" w:rsidRPr="00000000" w14:paraId="00000010">
      <w:pPr>
        <w:spacing w:before="0" w:line="345" w:lineRule="auto"/>
        <w:ind w:left="1978" w:right="113" w:hanging="39.00000000000006"/>
        <w:jc w:val="right"/>
        <w:rPr>
          <w:b w:val="1"/>
          <w:color w:val="000009"/>
          <w:sz w:val="20"/>
          <w:szCs w:val="20"/>
          <w:vertAlign w:val="superscript"/>
        </w:rPr>
      </w:pPr>
      <w:r w:rsidDel="00000000" w:rsidR="00000000" w:rsidRPr="00000000">
        <w:rPr>
          <w:b w:val="1"/>
          <w:sz w:val="24"/>
          <w:szCs w:val="24"/>
          <w:rtl w:val="0"/>
        </w:rPr>
        <w:t xml:space="preserve">Cicera Aliane Araújo dos Anjos</w:t>
      </w:r>
      <w:r w:rsidDel="00000000" w:rsidR="00000000" w:rsidRPr="00000000">
        <w:rPr>
          <w:b w:val="1"/>
          <w:color w:val="000009"/>
          <w:sz w:val="20"/>
          <w:szCs w:val="20"/>
          <w:vertAlign w:val="superscript"/>
          <w:rtl w:val="0"/>
        </w:rPr>
        <w:t xml:space="preserve">2</w:t>
      </w:r>
    </w:p>
    <w:p w:rsidR="00000000" w:rsidDel="00000000" w:rsidP="00000000" w:rsidRDefault="00000000" w:rsidRPr="00000000" w14:paraId="00000011">
      <w:pPr>
        <w:spacing w:before="0" w:line="345" w:lineRule="auto"/>
        <w:ind w:left="1978" w:right="113" w:hanging="39.00000000000006"/>
        <w:jc w:val="right"/>
        <w:rPr>
          <w:b w:val="1"/>
          <w:color w:val="000009"/>
          <w:sz w:val="20"/>
          <w:szCs w:val="20"/>
          <w:vertAlign w:val="baseline"/>
        </w:rPr>
      </w:pPr>
      <w:r w:rsidDel="00000000" w:rsidR="00000000" w:rsidRPr="00000000">
        <w:rPr>
          <w:b w:val="1"/>
          <w:color w:val="000009"/>
          <w:sz w:val="20"/>
          <w:szCs w:val="20"/>
          <w:vertAlign w:val="baseline"/>
          <w:rtl w:val="0"/>
        </w:rPr>
        <w:t xml:space="preserve"> </w:t>
      </w:r>
      <w:r w:rsidDel="00000000" w:rsidR="00000000" w:rsidRPr="00000000">
        <w:rPr>
          <w:b w:val="1"/>
          <w:sz w:val="24"/>
          <w:szCs w:val="24"/>
          <w:rtl w:val="0"/>
        </w:rPr>
        <w:t xml:space="preserve">Adna Conceição Alves Pereira</w:t>
      </w:r>
      <w:r w:rsidDel="00000000" w:rsidR="00000000" w:rsidRPr="00000000">
        <w:rPr>
          <w:b w:val="1"/>
          <w:color w:val="000009"/>
          <w:sz w:val="20"/>
          <w:szCs w:val="20"/>
          <w:vertAlign w:val="superscript"/>
          <w:rtl w:val="0"/>
        </w:rPr>
        <w:t xml:space="preserve">3</w:t>
      </w:r>
      <w:r w:rsidDel="00000000" w:rsidR="00000000" w:rsidRPr="00000000">
        <w:rPr>
          <w:b w:val="1"/>
          <w:color w:val="000009"/>
          <w:sz w:val="20"/>
          <w:szCs w:val="20"/>
          <w:vertAlign w:val="baseline"/>
          <w:rtl w:val="0"/>
        </w:rPr>
        <w:t xml:space="preserve"> </w:t>
      </w:r>
    </w:p>
    <w:p w:rsidR="00000000" w:rsidDel="00000000" w:rsidP="00000000" w:rsidRDefault="00000000" w:rsidRPr="00000000" w14:paraId="00000012">
      <w:pPr>
        <w:spacing w:before="0" w:line="345" w:lineRule="auto"/>
        <w:ind w:left="1978" w:right="113" w:hanging="39.00000000000006"/>
        <w:jc w:val="right"/>
        <w:rPr>
          <w:b w:val="1"/>
          <w:color w:val="000009"/>
          <w:sz w:val="20"/>
          <w:szCs w:val="20"/>
          <w:vertAlign w:val="superscript"/>
        </w:rPr>
      </w:pPr>
      <w:r w:rsidDel="00000000" w:rsidR="00000000" w:rsidRPr="00000000">
        <w:rPr>
          <w:b w:val="1"/>
          <w:sz w:val="24"/>
          <w:szCs w:val="24"/>
          <w:rtl w:val="0"/>
        </w:rPr>
        <w:t xml:space="preserve">Lorena da Conceição Gomes Santana</w:t>
      </w:r>
      <w:r w:rsidDel="00000000" w:rsidR="00000000" w:rsidRPr="00000000">
        <w:rPr>
          <w:b w:val="1"/>
          <w:color w:val="000009"/>
          <w:sz w:val="20"/>
          <w:szCs w:val="20"/>
          <w:vertAlign w:val="superscript"/>
          <w:rtl w:val="0"/>
        </w:rPr>
        <w:t xml:space="preserve">4</w:t>
      </w:r>
    </w:p>
    <w:p w:rsidR="00000000" w:rsidDel="00000000" w:rsidP="00000000" w:rsidRDefault="00000000" w:rsidRPr="00000000" w14:paraId="00000013">
      <w:pPr>
        <w:spacing w:before="0" w:line="345" w:lineRule="auto"/>
        <w:ind w:left="1978" w:right="113" w:hanging="39.00000000000006"/>
        <w:jc w:val="right"/>
        <w:rPr>
          <w:b w:val="1"/>
          <w:sz w:val="20"/>
          <w:szCs w:val="20"/>
        </w:rPr>
      </w:pPr>
      <w:r w:rsidDel="00000000" w:rsidR="00000000" w:rsidRPr="00000000">
        <w:rPr>
          <w:b w:val="1"/>
          <w:sz w:val="24"/>
          <w:szCs w:val="24"/>
          <w:vertAlign w:val="baseline"/>
          <w:rtl w:val="0"/>
        </w:rPr>
        <w:t xml:space="preserve"> </w:t>
      </w:r>
      <w:r w:rsidDel="00000000" w:rsidR="00000000" w:rsidRPr="00000000">
        <w:rPr>
          <w:b w:val="1"/>
          <w:sz w:val="24"/>
          <w:szCs w:val="24"/>
          <w:rtl w:val="0"/>
        </w:rPr>
        <w:t xml:space="preserve">Maria Cleide Rodrigues Bernadino</w:t>
      </w:r>
      <w:r w:rsidDel="00000000" w:rsidR="00000000" w:rsidRPr="00000000">
        <w:rPr>
          <w:b w:val="1"/>
          <w:color w:val="000009"/>
          <w:sz w:val="20"/>
          <w:szCs w:val="20"/>
          <w:vertAlign w:val="superscript"/>
          <w:rtl w:val="0"/>
        </w:rPr>
        <w:t xml:space="preserve">5</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2" w:right="11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RESUMO</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Aborda as iniciativas das bibliotecas públicas cearenses em consonância com a Agenda 2030, evidenciadas em seus produtos e serviços divulgados pelas redes sociais. Tem como objetivo identificar as contribuições das bibliotecas públicas cearenses para impulsionar a implementação da Agenda 2030. E se norteia no questionamento: quais as contribuições das bibliotecas públicas cearenses para impulsionar a implementação da Agenda 2030? O percurso metodológico foi desenhado a partir das pesquisas exploratória e descritiva, bibliográfica e documental e análise com delineamento quali-quantitativo. Conclui-se que as iniciativas desenvolvidas pelas bibliotecas pesquisadas estão voltadas em sua maioria para o ODS 4, com ações de leitura e educação. Enfatiza-se a necessidade da elaboração de uma política articulada com a comunidade de forma a conduzir à interação e integração da comunidade usuária e a biblioteca.</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PALAVRAS-CHAVE</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Biblioteca pública; Agenda 2030; Desenvolvimento Sustentável.</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 w:right="11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It addresses the initiatives of Ceará public libraries in line with the 2030 Agenda, evidenced in their products and services publicized by social networks. It aims to identify the contributions of Ceará public libraries to boost the implementation of the 2030 Agenda. And it is guided by the question: what are the contributions of Ceará public libraries to boost the implementation of the 2030 Agenda? The methodological route was designed from exploratory and descriptive, bibliographical and documentary research and analysis with qualitative and quantitative design. It is concluded that the initiatives developed by the researched libraries are mostly focused on ODS 4, with reading and education actions. It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508000</wp:posOffset>
                </wp:positionH>
                <wp:positionV relativeFrom="paragraph">
                  <wp:posOffset>88900</wp:posOffset>
                </wp:positionV>
                <wp:extent cx="7620" cy="12700"/>
                <wp:effectExtent b="0" l="0" r="0" t="0"/>
                <wp:wrapTopAndBottom distB="0" distT="0"/>
                <wp:docPr id="24" name=""/>
                <a:graphic>
                  <a:graphicData uri="http://schemas.microsoft.com/office/word/2010/wordprocessingShape">
                    <wps:wsp>
                      <wps:cNvSpPr/>
                      <wps:cNvPr id="18" name="Shape 18"/>
                      <wps:spPr>
                        <a:xfrm>
                          <a:off x="4431283" y="3776190"/>
                          <a:ext cx="1829435" cy="7620"/>
                        </a:xfrm>
                        <a:custGeom>
                          <a:rect b="b" l="l" r="r" t="t"/>
                          <a:pathLst>
                            <a:path extrusionOk="0" h="7620" w="1829435">
                              <a:moveTo>
                                <a:pt x="1829053" y="0"/>
                              </a:moveTo>
                              <a:lnTo>
                                <a:pt x="0" y="0"/>
                              </a:lnTo>
                              <a:lnTo>
                                <a:pt x="0" y="7620"/>
                              </a:lnTo>
                              <a:lnTo>
                                <a:pt x="1829053" y="7620"/>
                              </a:lnTo>
                              <a:lnTo>
                                <a:pt x="1829053" y="0"/>
                              </a:lnTo>
                              <a:close/>
                            </a:path>
                          </a:pathLst>
                        </a:custGeom>
                        <a:solidFill>
                          <a:srgbClr val="00000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508000</wp:posOffset>
                </wp:positionH>
                <wp:positionV relativeFrom="paragraph">
                  <wp:posOffset>88900</wp:posOffset>
                </wp:positionV>
                <wp:extent cx="7620" cy="12700"/>
                <wp:effectExtent b="0" l="0" r="0" t="0"/>
                <wp:wrapTopAndBottom distB="0" distT="0"/>
                <wp:docPr id="24"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D">
      <w:pPr>
        <w:spacing w:before="98" w:lineRule="auto"/>
        <w:ind w:left="102" w:right="200" w:firstLine="0"/>
        <w:jc w:val="left"/>
        <w:rPr>
          <w:sz w:val="20"/>
          <w:szCs w:val="20"/>
        </w:rPr>
      </w:pPr>
      <w:r w:rsidDel="00000000" w:rsidR="00000000" w:rsidRPr="00000000">
        <w:rPr>
          <w:color w:val="000009"/>
          <w:sz w:val="20"/>
          <w:szCs w:val="20"/>
          <w:vertAlign w:val="superscript"/>
          <w:rtl w:val="0"/>
        </w:rPr>
        <w:t xml:space="preserve">1</w:t>
      </w:r>
      <w:r w:rsidDel="00000000" w:rsidR="00000000" w:rsidRPr="00000000">
        <w:rPr>
          <w:color w:val="000009"/>
          <w:sz w:val="20"/>
          <w:szCs w:val="20"/>
          <w:vertAlign w:val="baseline"/>
          <w:rtl w:val="0"/>
        </w:rPr>
        <w:t xml:space="preserve"> Será preenchido pelos(as) autores após avaliação com as informações dos metadados da submissão. Informar instituição, e-mail e financiamento obrigatoriamente nos metadados</w:t>
      </w:r>
      <w:r w:rsidDel="00000000" w:rsidR="00000000" w:rsidRPr="00000000">
        <w:rPr>
          <w:rtl w:val="0"/>
        </w:rPr>
      </w:r>
    </w:p>
    <w:p w:rsidR="00000000" w:rsidDel="00000000" w:rsidP="00000000" w:rsidRDefault="00000000" w:rsidRPr="00000000" w14:paraId="0000001E">
      <w:pPr>
        <w:spacing w:before="1" w:lineRule="auto"/>
        <w:ind w:left="102" w:right="200" w:firstLine="0"/>
        <w:jc w:val="left"/>
        <w:rPr>
          <w:sz w:val="20"/>
          <w:szCs w:val="20"/>
        </w:rPr>
      </w:pPr>
      <w:r w:rsidDel="00000000" w:rsidR="00000000" w:rsidRPr="00000000">
        <w:rPr>
          <w:color w:val="000009"/>
          <w:sz w:val="20"/>
          <w:szCs w:val="20"/>
          <w:vertAlign w:val="superscript"/>
          <w:rtl w:val="0"/>
        </w:rPr>
        <w:t xml:space="preserve">2</w:t>
      </w:r>
      <w:r w:rsidDel="00000000" w:rsidR="00000000" w:rsidRPr="00000000">
        <w:rPr>
          <w:color w:val="000009"/>
          <w:sz w:val="20"/>
          <w:szCs w:val="20"/>
          <w:vertAlign w:val="baseline"/>
          <w:rtl w:val="0"/>
        </w:rPr>
        <w:t xml:space="preserve"> Será preenchido pelos(as) autores após avaliação com as informações dos metadados da submissão. Informar instituição, e-mail e financiamento obrigatoriamente nos metadados</w:t>
      </w:r>
      <w:r w:rsidDel="00000000" w:rsidR="00000000" w:rsidRPr="00000000">
        <w:rPr>
          <w:rtl w:val="0"/>
        </w:rPr>
      </w:r>
    </w:p>
    <w:p w:rsidR="00000000" w:rsidDel="00000000" w:rsidP="00000000" w:rsidRDefault="00000000" w:rsidRPr="00000000" w14:paraId="0000001F">
      <w:pPr>
        <w:spacing w:before="0" w:lineRule="auto"/>
        <w:ind w:left="102" w:right="200" w:firstLine="0"/>
        <w:jc w:val="left"/>
        <w:rPr>
          <w:sz w:val="20"/>
          <w:szCs w:val="20"/>
        </w:rPr>
      </w:pPr>
      <w:r w:rsidDel="00000000" w:rsidR="00000000" w:rsidRPr="00000000">
        <w:rPr>
          <w:color w:val="000009"/>
          <w:sz w:val="20"/>
          <w:szCs w:val="20"/>
          <w:vertAlign w:val="superscript"/>
          <w:rtl w:val="0"/>
        </w:rPr>
        <w:t xml:space="preserve">3</w:t>
      </w:r>
      <w:r w:rsidDel="00000000" w:rsidR="00000000" w:rsidRPr="00000000">
        <w:rPr>
          <w:color w:val="000009"/>
          <w:sz w:val="20"/>
          <w:szCs w:val="20"/>
          <w:vertAlign w:val="baseline"/>
          <w:rtl w:val="0"/>
        </w:rPr>
        <w:t xml:space="preserve"> Será preenchido pelos(as) autores após avaliação com as informações dos metadados da submissão. Informar instituição, e-mail e financiamento obrigatoriamente nos metadados</w:t>
      </w:r>
      <w:r w:rsidDel="00000000" w:rsidR="00000000" w:rsidRPr="00000000">
        <w:rPr>
          <w:rtl w:val="0"/>
        </w:rPr>
      </w:r>
    </w:p>
    <w:p w:rsidR="00000000" w:rsidDel="00000000" w:rsidP="00000000" w:rsidRDefault="00000000" w:rsidRPr="00000000" w14:paraId="00000020">
      <w:pPr>
        <w:spacing w:before="0" w:lineRule="auto"/>
        <w:ind w:left="102" w:right="200" w:firstLine="0"/>
        <w:jc w:val="left"/>
        <w:rPr>
          <w:sz w:val="20"/>
          <w:szCs w:val="20"/>
        </w:rPr>
      </w:pPr>
      <w:r w:rsidDel="00000000" w:rsidR="00000000" w:rsidRPr="00000000">
        <w:rPr>
          <w:color w:val="000009"/>
          <w:sz w:val="20"/>
          <w:szCs w:val="20"/>
          <w:vertAlign w:val="superscript"/>
          <w:rtl w:val="0"/>
        </w:rPr>
        <w:t xml:space="preserve">4</w:t>
      </w:r>
      <w:r w:rsidDel="00000000" w:rsidR="00000000" w:rsidRPr="00000000">
        <w:rPr>
          <w:color w:val="000009"/>
          <w:sz w:val="20"/>
          <w:szCs w:val="20"/>
          <w:vertAlign w:val="baseline"/>
          <w:rtl w:val="0"/>
        </w:rPr>
        <w:t xml:space="preserve"> Será preenchido pelos(as) autores após avaliação com as informações dos metadados da submissão. Informar instituição, e-mail e financiamento obrigatoriamente nos metadados</w:t>
      </w:r>
      <w:r w:rsidDel="00000000" w:rsidR="00000000" w:rsidRPr="00000000">
        <w:rPr>
          <w:rtl w:val="0"/>
        </w:rPr>
      </w:r>
    </w:p>
    <w:p w:rsidR="00000000" w:rsidDel="00000000" w:rsidP="00000000" w:rsidRDefault="00000000" w:rsidRPr="00000000" w14:paraId="00000021">
      <w:pPr>
        <w:spacing w:before="0" w:lineRule="auto"/>
        <w:ind w:left="102" w:right="200" w:firstLine="0"/>
        <w:jc w:val="left"/>
        <w:rPr>
          <w:sz w:val="20"/>
          <w:szCs w:val="20"/>
        </w:rPr>
        <w:sectPr>
          <w:footerReference r:id="rId11" w:type="default"/>
          <w:pgSz w:h="16840" w:w="11910" w:orient="portrait"/>
          <w:pgMar w:bottom="820" w:top="0" w:left="1600" w:right="1300" w:header="0" w:footer="638"/>
          <w:pgNumType w:start="1"/>
        </w:sectPr>
      </w:pPr>
      <w:r w:rsidDel="00000000" w:rsidR="00000000" w:rsidRPr="00000000">
        <w:rPr>
          <w:color w:val="000009"/>
          <w:sz w:val="20"/>
          <w:szCs w:val="20"/>
          <w:vertAlign w:val="superscript"/>
          <w:rtl w:val="0"/>
        </w:rPr>
        <w:t xml:space="preserve">5</w:t>
      </w:r>
      <w:r w:rsidDel="00000000" w:rsidR="00000000" w:rsidRPr="00000000">
        <w:rPr>
          <w:color w:val="000009"/>
          <w:sz w:val="20"/>
          <w:szCs w:val="20"/>
          <w:vertAlign w:val="baseline"/>
          <w:rtl w:val="0"/>
        </w:rPr>
        <w:t xml:space="preserve"> Será preenchido pelos(as) autores após avaliação com as informações dos metadados da submissão. Informar instituição, e-mail e financiamento obrigatoriamente nos metadados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2" w:right="2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emphasizes the need to elaborate a policy articulated with the community in order to lead to the interaction and integration of the user community and the library.</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Public Library; Agenda 2030; Sustainable development.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numPr>
          <w:ilvl w:val="0"/>
          <w:numId w:val="1"/>
        </w:numPr>
        <w:tabs>
          <w:tab w:val="left" w:leader="none" w:pos="282"/>
        </w:tabs>
        <w:spacing w:after="0" w:before="217" w:line="240" w:lineRule="auto"/>
        <w:ind w:left="282" w:right="0" w:hanging="180"/>
        <w:jc w:val="left"/>
        <w:rPr/>
      </w:pPr>
      <w:r w:rsidDel="00000000" w:rsidR="00000000" w:rsidRPr="00000000">
        <w:rPr>
          <w:color w:val="000009"/>
          <w:rtl w:val="0"/>
        </w:rPr>
        <w:t xml:space="preserve">INTRODUÇÃO</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2"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Os Objetivos de Desenvolvimento Sustentável (ODS) foram criados em 2015 e deram continuidade aos Objetivos de Desenvolvimento do Milênio (ODM) estabelecidos pela Cúpula do Milênio, em 2000. Os ODS fazem parte da Agenda 2030 das Organizações das Nações Unidas (ONU) e constam de 17 objetivos e 169 metas </w:t>
      </w:r>
      <w:r w:rsidDel="00000000" w:rsidR="00000000" w:rsidRPr="00000000">
        <w:rPr>
          <w:color w:val="000009"/>
          <w:sz w:val="24"/>
          <w:szCs w:val="24"/>
          <w:rtl w:val="0"/>
        </w:rPr>
        <w:t xml:space="preserve">que englobam</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temas e áreas de interesse do Mundo em prol da vida e da sustentabilidade do planeta. O principal objetivo da Agenda 2030 é contribuir para a melhoria da qualidade de vida da população global e, para isto, conta com o compromisso dos países membros da ONU no atendimento às metas dos 17 ODS.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02" w:right="113"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 conceito de biblioteca pública, a partir do entendimento de Bernardino (2022, p. 57) é um “espaço voltado para a socialização da informação a sua comunidade usuária, por meio de múltiplos suportes” de forma a orientar suas ações e cumprir a missão de “criar possibilidades de interação da sua comunidade com o espaço”, como partícipe da sua gestão e do seu catálogo de produtos e serviços.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2" w:right="111"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Entretanto, as bibliotecas de um modo geral não estão contempladas nem nos ODS nem nas suas metas, mas, a responsabilidade quanto ao acesso à informação de qualidade, à educação e conscientização para a competência informacional, são aspectos que incidem diretamente nas funções: social, educacional e cultural da biblioteca. Pensando nisto a Federação Internacional de Associações e Instituições Bibliotecárias (IFLA) desenvolveu um Programa de Ação para o Desenvolvimento através das Bibliotecas, intitulado: ‘As bibliotecas e implementação da Agenda 2030 da ONU’. O principal objetivo desse conjunto de ferramentas é apoiar o trabalho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advocacy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para a inclusão das bibliotecas e do acesso à informação como parte dos planos de desenvolvimento nacionais e regionais que contribuirão para cumprir.</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2" w:right="111"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2" w:type="default"/>
          <w:footerReference r:id="rId13" w:type="default"/>
          <w:type w:val="nextPage"/>
          <w:pgSz w:h="16840" w:w="11910" w:orient="portrait"/>
          <w:pgMar w:bottom="820" w:top="1300" w:left="1600" w:right="1300" w:header="454" w:footer="638"/>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 movimento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advocacy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bibliotecário entende que dar acesso à informação a todos é contribuir para a garantia de e crescimento pessoal e coletivo. O termo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advocacy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originalmente vem do Latim e o seu significado está ligado ao ato de defender e/ou promover uma ideia, uma causa e ou um projeto (SANTOS, 2018). Etimologicamente, tem origem</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102" w:right="1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histórica no Direito Romano e é derivado do latim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advocatus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que é o particípio passado de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advocare</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(SILVA, 2017) dando uma ideia de aproximação, trazer para perto para ajudar. No Brasil, o termo não tem um consenso quanto à significação do conceito, porém os estudos acadêmicos concluem que está ligado “[...] à expansão das estratégias de comunicação e articulação dos movimentos sociais em consonância com a ampliação da participação da sociedade nas decisões públicas” (SANTOS, 2018, p. 26).</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2" w:right="111"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Dessa forma, esta pesquisa tem como objetivo, a partir do movimento </w:t>
      </w:r>
      <w:r w:rsidDel="00000000" w:rsidR="00000000" w:rsidRPr="00000000">
        <w:rPr>
          <w:rFonts w:ascii="Times New Roman" w:cs="Times New Roman" w:eastAsia="Times New Roman" w:hAnsi="Times New Roman"/>
          <w:b w:val="0"/>
          <w:i w:val="1"/>
          <w:smallCaps w:val="0"/>
          <w:strike w:val="0"/>
          <w:color w:val="000009"/>
          <w:sz w:val="24"/>
          <w:szCs w:val="24"/>
          <w:u w:val="none"/>
          <w:shd w:fill="auto" w:val="clear"/>
          <w:vertAlign w:val="baseline"/>
          <w:rtl w:val="0"/>
        </w:rPr>
        <w:t xml:space="preserve">advocacy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bibliotecário, identificar as contribuições das bibliotecas públicas cearenses para impulsionar a implementação da Agenda 2030. E se norteia no questionamento: quais as contribuições das bibliotecas públicas cearenses para impulsionar a implementação da Agenda 2030?</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numPr>
          <w:ilvl w:val="0"/>
          <w:numId w:val="1"/>
        </w:numPr>
        <w:tabs>
          <w:tab w:val="left" w:leader="none" w:pos="282"/>
        </w:tabs>
        <w:spacing w:after="0" w:before="217" w:line="240" w:lineRule="auto"/>
        <w:ind w:left="282" w:right="0" w:hanging="180"/>
        <w:jc w:val="both"/>
        <w:rPr/>
      </w:pPr>
      <w:r w:rsidDel="00000000" w:rsidR="00000000" w:rsidRPr="00000000">
        <w:rPr>
          <w:color w:val="000009"/>
          <w:rtl w:val="0"/>
        </w:rPr>
        <w:t xml:space="preserve">PROCEDIMENTOS METODOLÓGICOS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2"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Percurso metodológico se estrutura a partir de uma pesquisa exploratória e descritiva. A pesquisa exploratória, segundo Gil (2012, p. 27), apresenta três finalidades, que são: “desenvolver, esclarecer e modificar conceitos e ideias, tendo em vista a formulação de problemas mais precisos e hipóteses pesquisáveis para estudos posteriores”. Gil (2012, p. 27) completa que “As pesquisas exploratórias são desenvolvidas com o objetivo de proporcionar visão geral, de tipo aproximativo, acerca de um determinado fato. Assim, a presente pesquisa tem a inevitabilidade de mostrar a importância da biblioteca na promoção da agenda 2030 na sociedade, bem como, enaltecer sua importância para promover uma sociedade mais consciente. A pesquisa descritiva, de acordo com Gil (2012, p. 28) tem como “objetivo primordial a descrição das características de determinada população ou fenômeno ou o estabelecimento de relações entre variáveis”.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02" w:right="115"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coleta de dados deu-se através das redes sociais das bibliotecas </w:t>
      </w:r>
      <w:r w:rsidDel="00000000" w:rsidR="00000000" w:rsidRPr="00000000">
        <w:rPr>
          <w:sz w:val="24"/>
          <w:szCs w:val="24"/>
          <w:rtl w:val="0"/>
        </w:rPr>
        <w:t xml:space="preserve">para, na primeira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etapa, identificar as ações, iniciativas e projetos que apresentavam alguma aderência com a Agenda 2030 e que, portanto, podem contribuir para impulsionar a sua implementação. Em seguida, confrontou-se com o documento: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‘As bibliotecas e implementação da Agenda 2030 da ONU’, (FEDERAÇÃO INTERNACIONAL DE ASSOCIAÇÕES E INSTITUIÇÕES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02" w:right="1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BIBLIOTECÁRIAS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2015) e ‘As bibliotecas podem promover a implementação da Agenda 2030’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FEDERAÇÃO  INTERNACIONAL DE ASSOCIAÇÕES E INSTITUIÇÕES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820" w:top="1300" w:left="1600" w:right="1300" w:header="454" w:footer="638"/>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BIBLIOTECÁRIAS, 2016)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constituindo, dessa forma, em pesquisa documental, que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102" w:right="1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Gil (2012) é semelhante a pesquisa bibliográfica, se diferenciando apenas pela natureza das fontes.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2" w:right="117"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universo da pesquisa compreendeu 184 municípios e 198 bibliotecas públicas municipais. A organização espacial se deu a partir das macrorregiões de planejamento do Instituto de Pesquisa e Estratégia Econômica do Ceará (IPECE), cuja divisão se dá em 14 macrorregiões: (1) Cariri, (2) Centro Sul, (3) Grande Fortaleza, (4) Litoral Leste, (5) Litoral Norte, (6) Litoral Oeste, (7) Maciço de Baturité, (8) Serra da Ibiapaba, (9) Sertão Central,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Vale do Jaguaribe, (11) Sertão de Canindé, (12) Sertão de Sobral, (13) Sertão de Crateús) e (14) Sertão dos Inhamuns.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2" w:right="115"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análise dos dados teve delineamento quali-quantitativo, que é a combinação das duas abordagens numa mesma investigação, comumente conhecida como triangulação. As duas abordagens deixam de ser vistas simplesmente como opostas para serem percebidas como complementares. “A premissa básica da interação repousa na ideia de que os limites de um método poderão ser contrabalanceados pelo alcance do outro” (GOLDENBERG, 2007, p. 63).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numPr>
          <w:ilvl w:val="0"/>
          <w:numId w:val="1"/>
        </w:numPr>
        <w:tabs>
          <w:tab w:val="left" w:leader="none" w:pos="282"/>
        </w:tabs>
        <w:spacing w:after="0" w:before="0" w:line="240" w:lineRule="auto"/>
        <w:ind w:left="282" w:right="0" w:hanging="180"/>
        <w:jc w:val="both"/>
        <w:rPr/>
      </w:pPr>
      <w:r w:rsidDel="00000000" w:rsidR="00000000" w:rsidRPr="00000000">
        <w:rPr>
          <w:color w:val="000009"/>
          <w:rtl w:val="0"/>
        </w:rPr>
        <w:t xml:space="preserve">AS BIBLIOTECAS E A AGENDA 2030</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2"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 Agenda 2030 da ONU é um pacto global em prol do desenvolvimento sustentável que se baseia no que Sachs (2003) conceitua de tripé do desenvolvimento, que parte de aspectos simultâneos de desenvolvimento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includente</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do ponto de vista social;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sustentável</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em relação ao ponto de vista ecológico; e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sustentado</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que seja economicamente viável, em se tratando do ponto de vista econômico. O conceito de desenvolvimento sustentável de Sachs (2009; 2008; 2003) chama a atenção para a esfera ética, muito mais do que a preocupação econômica e se baseia no Relatório Brundtland (NOSSO..., 1987, online) que define sustentabilidade como uma forma, meio ou condição de “[...] suprir as necessidades da geração presente sem afetar a possibilidade das gerações futuras de suprir as suas”.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2" w:right="114"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820" w:top="1300" w:left="1600" w:right="1300" w:header="454" w:footer="638"/>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Para que as bibliotecas contribuam de forma significativa para a implementação da Agenda 2030 é necessário, primeiramente, compreender seu papel e relevância perante a sociedade. Em seguida, o planejamento das atividades, de forma a construir uma política de atuação local envolvendo gestão, projetos, marketing e produtos e serviços. O caminho é empoderar a comunidade usuária para criar autonomia. Empoderar significa dar protagonismo, e a política de atuação local deve focar em um portfólio de serviços que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102" w:right="1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permita o protagonismo da sua comunidade. O conceito de empoderamento, conforme Goh (2004, p. 23):</w:t>
      </w:r>
      <w:r w:rsidDel="00000000" w:rsidR="00000000" w:rsidRPr="00000000">
        <w:rPr>
          <w:rtl w:val="0"/>
        </w:rPr>
      </w:r>
    </w:p>
    <w:p w:rsidR="00000000" w:rsidDel="00000000" w:rsidP="00000000" w:rsidRDefault="00000000" w:rsidRPr="00000000" w14:paraId="00000043">
      <w:pPr>
        <w:spacing w:before="120" w:lineRule="auto"/>
        <w:ind w:left="2370" w:right="110" w:firstLine="0"/>
        <w:jc w:val="both"/>
        <w:rPr>
          <w:sz w:val="22"/>
          <w:szCs w:val="22"/>
        </w:rPr>
      </w:pPr>
      <w:r w:rsidDel="00000000" w:rsidR="00000000" w:rsidRPr="00000000">
        <w:rPr>
          <w:color w:val="000009"/>
          <w:sz w:val="22"/>
          <w:szCs w:val="22"/>
          <w:rtl w:val="0"/>
        </w:rPr>
        <w:t xml:space="preserve">Tanto poderá estar referindo-se ao processo de mobilizações e práticas destinadas a promover e impulsionar grupos e comunidades - no sentido de seu crescimento, autonomia, melhora gradual e progressiva de suas vidas (material e como seres humanos dotados de uma visão crítica da realidade social); como poderá referir-se a ações destinadas a promover simplesmente a pura integração dos excluídos, carentes e demandatários de bens elementares à sobrevivência, serviços públicos, atenção pessoal etc., em sistemas precários, que não contribuem para organizá-los - porque os atendem individualmente, numa ciranda interminável de projetos de ações sociais assistenciais.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2" w:right="112"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Quando se pensa no contexto da biblioteca pública a primeira coisa que temos em mente é o conceito moderno de biblioteca pública que conforme Jaramillo e Montoya Ríos (2005, p. 34) trata-se de “[...] um espaço para a formação da identidade individual” que “[...] tem um grande potencial de intervenção nas dinâmicas sociais” e que pode, de forma direta ou indireta contribuir para a solução dos problemas sociais. O conceito moderno de biblioteca pública está alicerçado na sua atuação perante os problemas sociais e na sua interação com a comunidade. Neste sentido, parte-se do pressuposto de que o diálogo entre o conhecimento (disposto no acervo) e o conhecimento local (dos seus usuários) é uma ferramenta essencial no processo de empoderamento da comunidade local.</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02" w:right="113"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Assim, reforça a necessidade de um relacionamento entre a biblioteca pública e a comunidade, para que possa suscitar experiências positivas. Felicié Soto (2006, p. 111, tradução própria) afirma que,</w:t>
      </w:r>
    </w:p>
    <w:p w:rsidR="00000000" w:rsidDel="00000000" w:rsidP="00000000" w:rsidRDefault="00000000" w:rsidRPr="00000000" w14:paraId="00000046">
      <w:pPr>
        <w:spacing w:before="1" w:lineRule="auto"/>
        <w:ind w:left="2370" w:right="111" w:firstLine="0"/>
        <w:jc w:val="both"/>
        <w:rPr>
          <w:sz w:val="22"/>
          <w:szCs w:val="22"/>
        </w:rPr>
      </w:pPr>
      <w:r w:rsidDel="00000000" w:rsidR="00000000" w:rsidRPr="00000000">
        <w:rPr>
          <w:sz w:val="22"/>
          <w:szCs w:val="22"/>
          <w:rtl w:val="0"/>
        </w:rPr>
        <w:t xml:space="preserve">Além de cumprir as suas responsabilidades tradicionais, a biblioteca deve ser uma entidade com uma forte presença na vida da comunidade. Deve ser parte do cotidiano das pessoas da comunidade, tais como shopping centers, escolas, cinema, parques e farmácias. A única maneira de estabelecer essa visão da biblioteca pública é efetivamente atender às necessidades da mesma forma que fazem as entidades mencionadas.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2"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Fazer parte do panorama da cidade é uma condição que promove a apropriação do território da biblioteca por parte da comunidade usuária, que por sua vez, sentindo-se inserida na dinâmica e rotina dos serviços e produtos cria condições de protagonismo dos usuários. É o estabelecimento de aproximação e reconhecimento a partir das identidades locais.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4"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820" w:top="1300" w:left="1600" w:right="1300" w:header="454" w:footer="63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Manifesto da IFLA para bibliotecas públicas traz, além da descrição da biblioteca pública e seu papel na sociedade, a defesa do direito ao acesso à informação para qualquer pessoa, sem qualquer discriminação. Orienta quanto a missão, elencando 12 missões-chave, relacionadas diretamente com a informação, a alfabetização, a educação e a cultura; quanto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102"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 financiamento, legislação e redes de bibliotecas; e quanto ao funcionamento e gestão. O documento reconhece a biblioteca pública como,</w:t>
      </w:r>
    </w:p>
    <w:p w:rsidR="00000000" w:rsidDel="00000000" w:rsidP="00000000" w:rsidRDefault="00000000" w:rsidRPr="00000000" w14:paraId="0000004B">
      <w:pPr>
        <w:spacing w:before="0" w:line="240" w:lineRule="auto"/>
        <w:ind w:left="2370" w:right="112" w:firstLine="0"/>
        <w:jc w:val="both"/>
        <w:rPr>
          <w:sz w:val="22"/>
          <w:szCs w:val="22"/>
        </w:rPr>
      </w:pPr>
      <w:r w:rsidDel="00000000" w:rsidR="00000000" w:rsidRPr="00000000">
        <w:rPr>
          <w:color w:val="000009"/>
          <w:sz w:val="22"/>
          <w:szCs w:val="22"/>
          <w:rtl w:val="0"/>
        </w:rPr>
        <w:t xml:space="preserve">[...] porta de acesso local ao conhecimento - fornece as condições básicas para uma aprendizagem contínua, para uma tomada de decisão independente e para o desenvolvimento cultural dos indivíduos e dos grupos sociais (MANIFESTO..., 1994, online).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02" w:right="112"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É importante ressaltar que a primeira versão do Manifesto foi publicada em 1949 e destacou, a função da biblioteca pública em relação ao ensino e a caracterizando como centro de educação popular. Em 1972, a Organização das Nações Unidas para a Educação, a Ciência e a Cultura (UNESCO) publicaram a segunda versão do Manifesto sintetizando como suas funções educação, cultura, lazer e informação. A terceira versão foi publicada em 1994, a partir das discussões sobre a sociedade da informação e suas implicações para o universo das bibliotecas públicas. Assim, o texto enfatiza o compromisso da biblioteca pública para com a democratização do acesso às novas tecnologias de informação (BIBLIOTECA..., 2010).</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102" w:right="114"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Vinte e oito anos depois, em 2022, é publicada uma versão atualizada do Manifesto que conclama a biblioteca pública como uma força ativa para a promoção da educação, da cultura, da inclusão e da informação, conceituando-a como um agente essencial para o desenvolvimento sustentável, para o desenvolvimento da paz e do bem-estar espiritual de todos os indivíduos da sociedade (MANIFESTO DA BIBLIOTECA PÚBLICA IFLA/UNESCO, 2022). Foram atualizadas as missões-chave da biblioteca pública, que além da informação, alfabetização e educação, acrescentaram-se a inclusão e a participação cívica e cultural e que através de suas ações e serviços, compactuados pelas missões-chave, possam contribuir de forma significativa para os ODS (MANIFESTO DA BIBLIOTECA PÚBLICA IFLA/UNESCO, 2022).</w:t>
      </w:r>
      <w:r w:rsidDel="00000000" w:rsidR="00000000" w:rsidRPr="00000000">
        <w:rPr>
          <w:rtl w:val="0"/>
        </w:rPr>
      </w:r>
    </w:p>
    <w:p w:rsidR="00000000" w:rsidDel="00000000" w:rsidP="00000000" w:rsidRDefault="00000000" w:rsidRPr="00000000" w14:paraId="0000004E">
      <w:pPr>
        <w:spacing w:after="3" w:before="0" w:line="251" w:lineRule="auto"/>
        <w:ind w:left="810" w:right="0" w:firstLine="0"/>
        <w:jc w:val="left"/>
        <w:rPr>
          <w:sz w:val="22"/>
          <w:szCs w:val="22"/>
        </w:rPr>
      </w:pPr>
      <w:r w:rsidDel="00000000" w:rsidR="00000000" w:rsidRPr="00000000">
        <w:rPr>
          <w:b w:val="1"/>
          <w:color w:val="000009"/>
          <w:sz w:val="22"/>
          <w:szCs w:val="22"/>
          <w:rtl w:val="0"/>
        </w:rPr>
        <w:t xml:space="preserve">Quadro 1 </w:t>
      </w:r>
      <w:r w:rsidDel="00000000" w:rsidR="00000000" w:rsidRPr="00000000">
        <w:rPr>
          <w:color w:val="000009"/>
          <w:sz w:val="22"/>
          <w:szCs w:val="22"/>
          <w:rtl w:val="0"/>
        </w:rPr>
        <w:t xml:space="preserve">- Evolução da biblioteca pública pela UNESCO a partir dos Manifestos</w:t>
      </w:r>
      <w:r w:rsidDel="00000000" w:rsidR="00000000" w:rsidRPr="00000000">
        <w:rPr>
          <w:rtl w:val="0"/>
        </w:rPr>
      </w:r>
    </w:p>
    <w:tbl>
      <w:tblPr>
        <w:tblStyle w:val="Table1"/>
        <w:tblW w:w="8783.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1"/>
        <w:gridCol w:w="1722"/>
        <w:gridCol w:w="3961"/>
        <w:gridCol w:w="2399"/>
        <w:tblGridChange w:id="0">
          <w:tblGrid>
            <w:gridCol w:w="701"/>
            <w:gridCol w:w="1722"/>
            <w:gridCol w:w="3961"/>
            <w:gridCol w:w="2399"/>
          </w:tblGrid>
        </w:tblGridChange>
      </w:tblGrid>
      <w:tr>
        <w:trPr>
          <w:cantSplit w:val="0"/>
          <w:trHeight w:val="251"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6" w:right="109"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2"/>
                <w:szCs w:val="22"/>
                <w:u w:val="none"/>
                <w:shd w:fill="auto" w:val="clear"/>
                <w:vertAlign w:val="baseline"/>
                <w:rtl w:val="0"/>
              </w:rPr>
              <w:t xml:space="preserve">Ano</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621" w:right="614"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2"/>
                <w:szCs w:val="22"/>
                <w:u w:val="none"/>
                <w:shd w:fill="auto" w:val="clear"/>
                <w:vertAlign w:val="baseline"/>
                <w:rtl w:val="0"/>
              </w:rPr>
              <w:t xml:space="preserve">Foco</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532" w:right="1526"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2"/>
                <w:szCs w:val="22"/>
                <w:u w:val="none"/>
                <w:shd w:fill="auto" w:val="clear"/>
                <w:vertAlign w:val="baseline"/>
                <w:rtl w:val="0"/>
              </w:rPr>
              <w:t xml:space="preserve">Natureza</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31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2"/>
                <w:szCs w:val="22"/>
                <w:u w:val="none"/>
                <w:shd w:fill="auto" w:val="clear"/>
                <w:vertAlign w:val="baseline"/>
                <w:rtl w:val="0"/>
              </w:rPr>
              <w:t xml:space="preserve">Enfoque/Atividade</w:t>
            </w:r>
            <w:r w:rsidDel="00000000" w:rsidR="00000000" w:rsidRPr="00000000">
              <w:rPr>
                <w:rtl w:val="0"/>
              </w:rPr>
            </w:r>
          </w:p>
        </w:tc>
      </w:tr>
      <w:tr>
        <w:trPr>
          <w:cantSplit w:val="0"/>
          <w:trHeight w:val="1012"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8" w:right="10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1949</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8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Ensino e educação</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13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Meio eficaz para aquisição, organização e disseminação de publicações informativas e educativas.</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24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Apoiar os processos de educação não formar e oferecer informação à</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comunidade.</w:t>
            </w:r>
            <w:r w:rsidDel="00000000" w:rsidR="00000000" w:rsidRPr="00000000">
              <w:rPr>
                <w:rtl w:val="0"/>
              </w:rPr>
            </w:r>
          </w:p>
        </w:tc>
      </w:tr>
      <w:tr>
        <w:trPr>
          <w:cantSplit w:val="0"/>
          <w:trHeight w:val="1012"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8" w:right="10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1972</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Educação, cultura, lazer e informação</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Instituição democrática para o ensino, à cultura e a informação</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1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Especificar o papel democratizador do livro e informação, educação</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e cultura.</w:t>
            </w:r>
            <w:r w:rsidDel="00000000" w:rsidR="00000000" w:rsidRPr="00000000">
              <w:rPr>
                <w:rtl w:val="0"/>
              </w:rPr>
            </w:r>
          </w:p>
        </w:tc>
      </w:tr>
      <w:tr>
        <w:trPr>
          <w:cantSplit w:val="0"/>
          <w:trHeight w:val="1012"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8" w:right="109"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1994</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Democratização no acesso às TIC</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Centro de informação</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36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Facilitar o acesso à informação e ao</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36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conhecimento através das TIC.</w:t>
            </w:r>
            <w:r w:rsidDel="00000000" w:rsidR="00000000" w:rsidRPr="00000000">
              <w:rPr>
                <w:rtl w:val="0"/>
              </w:rPr>
            </w:r>
          </w:p>
        </w:tc>
      </w:tr>
    </w:tbl>
    <w:p w:rsidR="00000000" w:rsidDel="00000000" w:rsidP="00000000" w:rsidRDefault="00000000" w:rsidRPr="00000000" w14:paraId="00000062">
      <w:pPr>
        <w:spacing w:after="0" w:line="252.00000000000003" w:lineRule="auto"/>
        <w:ind w:firstLine="0"/>
        <w:jc w:val="left"/>
        <w:rPr>
          <w:sz w:val="22"/>
          <w:szCs w:val="22"/>
        </w:rPr>
        <w:sectPr>
          <w:type w:val="nextPage"/>
          <w:pgSz w:h="16840" w:w="11910" w:orient="portrait"/>
          <w:pgMar w:bottom="820" w:top="1300" w:left="1600" w:right="1300" w:header="454" w:footer="638"/>
        </w:sect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2"/>
        <w:tblW w:w="8783.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1"/>
        <w:gridCol w:w="1722"/>
        <w:gridCol w:w="3961"/>
        <w:gridCol w:w="2399"/>
        <w:tblGridChange w:id="0">
          <w:tblGrid>
            <w:gridCol w:w="701"/>
            <w:gridCol w:w="1722"/>
            <w:gridCol w:w="3961"/>
            <w:gridCol w:w="2399"/>
          </w:tblGrid>
        </w:tblGridChange>
      </w:tblGrid>
      <w:tr>
        <w:trPr>
          <w:cantSplit w:val="0"/>
          <w:trHeight w:val="1516"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2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2022</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Educação, cultura, inclusão e desenvolvimento sustentável</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2"/>
                <w:szCs w:val="22"/>
                <w:u w:val="none"/>
                <w:shd w:fill="auto" w:val="clear"/>
                <w:vertAlign w:val="baseline"/>
                <w:rtl w:val="0"/>
              </w:rPr>
              <w:t xml:space="preserve">Centro local de informação</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19"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Fornecer as condições básicas para a aprendizagem ao longo da vida e a tomada de decisão.</w:t>
            </w:r>
          </w:p>
        </w:tc>
      </w:tr>
    </w:tbl>
    <w:p w:rsidR="00000000" w:rsidDel="00000000" w:rsidP="00000000" w:rsidRDefault="00000000" w:rsidRPr="00000000" w14:paraId="00000068">
      <w:pPr>
        <w:spacing w:before="1" w:lineRule="auto"/>
        <w:ind w:left="810" w:right="0" w:firstLine="0"/>
        <w:jc w:val="both"/>
        <w:rPr>
          <w:sz w:val="20"/>
          <w:szCs w:val="20"/>
        </w:rPr>
      </w:pPr>
      <w:r w:rsidDel="00000000" w:rsidR="00000000" w:rsidRPr="00000000">
        <w:rPr>
          <w:b w:val="1"/>
          <w:color w:val="000009"/>
          <w:sz w:val="20"/>
          <w:szCs w:val="20"/>
          <w:rtl w:val="0"/>
        </w:rPr>
        <w:t xml:space="preserve">Fonte: </w:t>
      </w:r>
      <w:r w:rsidDel="00000000" w:rsidR="00000000" w:rsidRPr="00000000">
        <w:rPr>
          <w:color w:val="000009"/>
          <w:sz w:val="20"/>
          <w:szCs w:val="20"/>
          <w:rtl w:val="0"/>
        </w:rPr>
        <w:t xml:space="preserve">Autorias (2023) baseado em Jaramillo e Montoya Ríos (2005).</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02" w:right="116"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 quadro 1 mostra a evolução do papel desempenhado pela biblioteca pública, evoluindo quanto ao seu papel perante a sociedade, de instituição voltada à educação, cultura, lazer e informação aos produtos e serviços interativos e tecnológicos à serviço da comunidade.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2" w:right="113"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Manifesto de 2022, aponta que cada biblioteca deve elaborar uma política clara “definindo objetivos, prioridades e serviços em relação às necessidades da comunidade local”, ressaltando que a relevância do “conhecimento local e da participação da comunidade é valiosa” e que estas devem ser incluídas no processo de tomada de decisões (MANIFESTO..., 2022, online).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102" w:right="113"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Pensando nisso, reflete-se que há um grande desafio por parte das bibliotecas públicas na construção de um conjunto de diretrizes e planos que compreendam ações voltadas aos ODS de forma a contribuir para a educação da comunidade para a implementação da Agenda 2030.</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numPr>
          <w:ilvl w:val="0"/>
          <w:numId w:val="1"/>
        </w:numPr>
        <w:tabs>
          <w:tab w:val="left" w:leader="none" w:pos="282"/>
        </w:tabs>
        <w:spacing w:after="0" w:before="0" w:line="240" w:lineRule="auto"/>
        <w:ind w:left="282" w:right="0" w:hanging="180"/>
        <w:jc w:val="left"/>
        <w:rPr/>
      </w:pPr>
      <w:r w:rsidDel="00000000" w:rsidR="00000000" w:rsidRPr="00000000">
        <w:rPr>
          <w:color w:val="000009"/>
          <w:rtl w:val="0"/>
        </w:rPr>
        <w:t xml:space="preserve">RESULTADOS E DISCUSSÕES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3" w:firstLine="70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Uma política de empoderamento se faz com uma comunicação efetiva com seus usuários. Após a coleta das ações (projetos, programas e inciativas diversas) que envolvessem os ODS, foi realizada a categorização de cada ação, conforme observa-se no quadro 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Quadro 2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Iniciativas das bibliotecas públicas municipais em consonância com os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ODS por macrorregião</w:t>
      </w:r>
      <w:r w:rsidDel="00000000" w:rsidR="00000000" w:rsidRPr="00000000">
        <w:rPr>
          <w:rtl w:val="0"/>
        </w:rPr>
      </w:r>
    </w:p>
    <w:tbl>
      <w:tblPr>
        <w:tblStyle w:val="Table3"/>
        <w:tblW w:w="8784.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1"/>
        <w:gridCol w:w="1916"/>
        <w:gridCol w:w="3933"/>
        <w:gridCol w:w="834"/>
        <w:tblGridChange w:id="0">
          <w:tblGrid>
            <w:gridCol w:w="2101"/>
            <w:gridCol w:w="1916"/>
            <w:gridCol w:w="3933"/>
            <w:gridCol w:w="834"/>
          </w:tblGrid>
        </w:tblGridChange>
      </w:tblGrid>
      <w:tr>
        <w:trPr>
          <w:cantSplit w:val="0"/>
          <w:trHeight w:val="254"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39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Macrorregião</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228" w:right="23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Município</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9" w:right="109"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Projetos/Ações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6" w:right="10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ODS</w:t>
            </w:r>
          </w:p>
        </w:tc>
      </w:tr>
      <w:tr>
        <w:trPr>
          <w:cantSplit w:val="0"/>
          <w:trHeight w:val="230" w:hRule="atLeast"/>
          <w:tblHeader w:val="0"/>
        </w:trPr>
        <w:tc>
          <w:tcPr>
            <w:vMerge w:val="restart"/>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139" w:right="13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Cariri</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7" w:right="23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Assaré</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0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3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Barbalha</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1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Informações em geral</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e 5</w:t>
            </w:r>
          </w:p>
        </w:tc>
      </w:tr>
      <w:tr>
        <w:trPr>
          <w:cantSplit w:val="0"/>
          <w:trHeight w:val="230"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Farias Brito</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6" w:right="11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 informações em geral</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1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Informações em geral</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3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Juazeiro do Norte</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1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informações em geral</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3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Mauriti</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1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informações em geral</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3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Milagres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1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saúde e informações em geral</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e 4</w:t>
            </w:r>
          </w:p>
        </w:tc>
      </w:tr>
      <w:tr>
        <w:trPr>
          <w:cantSplit w:val="0"/>
          <w:trHeight w:val="230" w:hRule="atLeast"/>
          <w:tblHeader w:val="0"/>
        </w:trPr>
        <w:tc>
          <w:tcPr>
            <w:vMerge w:val="restart"/>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3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Centro Sul</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18"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Iguatu</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0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 apresentação de serviços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1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Umari</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0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 informações em geral</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29" w:hRule="atLeast"/>
          <w:tblHeader w:val="0"/>
        </w:trPr>
        <w:tc>
          <w:tcPr>
            <w:vMerge w:val="restart"/>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Grande Fortaleza</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2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Fortaleza</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98"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emprego</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e 4</w:t>
            </w:r>
          </w:p>
        </w:tc>
      </w:tr>
      <w:tr>
        <w:trPr>
          <w:cantSplit w:val="0"/>
          <w:trHeight w:val="230" w:hRule="atLeast"/>
          <w:tblHeader w:val="0"/>
        </w:trPr>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2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Maranguape</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10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patrimônio e políticas públicas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e 11</w:t>
            </w:r>
          </w:p>
        </w:tc>
      </w:tr>
      <w:tr>
        <w:trPr>
          <w:cantSplit w:val="0"/>
          <w:trHeight w:val="230" w:hRule="atLeast"/>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28" w:right="21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Pacatuba</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9" w:right="9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0A9">
      <w:pPr>
        <w:spacing w:after="0" w:lineRule="auto"/>
        <w:ind w:firstLine="0"/>
        <w:rPr>
          <w:sz w:val="20"/>
          <w:szCs w:val="20"/>
        </w:rPr>
        <w:sectPr>
          <w:type w:val="nextPage"/>
          <w:pgSz w:h="16840" w:w="11910" w:orient="portrait"/>
          <w:pgMar w:bottom="820" w:top="1300" w:left="1600" w:right="1300" w:header="454" w:footer="638"/>
        </w:sect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tbl>
      <w:tblPr>
        <w:tblStyle w:val="Table4"/>
        <w:tblW w:w="8784.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1"/>
        <w:gridCol w:w="1923"/>
        <w:gridCol w:w="3926"/>
        <w:gridCol w:w="834"/>
        <w:tblGridChange w:id="0">
          <w:tblGrid>
            <w:gridCol w:w="2101"/>
            <w:gridCol w:w="1923"/>
            <w:gridCol w:w="3926"/>
            <w:gridCol w:w="834"/>
          </w:tblGrid>
        </w:tblGridChange>
      </w:tblGrid>
      <w:tr>
        <w:trPr>
          <w:cantSplit w:val="0"/>
          <w:trHeight w:val="230" w:hRule="atLeast"/>
          <w:tblHeader w:val="0"/>
        </w:trPr>
        <w:tc>
          <w:tcPr>
            <w:vMerge w:val="restart"/>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45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Pindoretama</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8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emprego e economia</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6"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4 e 8</w:t>
            </w:r>
          </w:p>
        </w:tc>
      </w:tr>
      <w:tr>
        <w:trPr>
          <w:cantSplit w:val="0"/>
          <w:trHeight w:val="457"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63" w:right="0" w:hanging="24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São Gonçalo do Amarante</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85" w:right="38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emprego e economia</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6"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4 e 8</w:t>
            </w:r>
          </w:p>
        </w:tc>
      </w:tr>
      <w:tr>
        <w:trPr>
          <w:cantSplit w:val="0"/>
          <w:trHeight w:val="253"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39" w:right="13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Litoral Norte</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0" w:right="1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Jijoca de Jericoacara</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385" w:right="38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 informações em geral</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53"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9" w:right="13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Litoral Oeste</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5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Apuiarés</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385" w:right="38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 informações em geral</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51"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39" w:right="13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Litoral Leste</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22"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22" w:lineRule="auto"/>
              <w:ind w:left="2"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22"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r>
      <w:tr>
        <w:trPr>
          <w:cantSplit w:val="0"/>
          <w:trHeight w:val="253"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9" w:right="132"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Maciço de Baturité</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2"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2"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r>
      <w:tr>
        <w:trPr>
          <w:cantSplit w:val="0"/>
          <w:trHeight w:val="251"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39" w:right="129"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Serra da Ibiapaba</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19" w:lineRule="auto"/>
              <w:ind w:left="42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São Benedito</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19" w:lineRule="auto"/>
              <w:ind w:left="385" w:right="38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educação e emprego</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19"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e 8</w:t>
            </w:r>
          </w:p>
        </w:tc>
      </w:tr>
      <w:tr>
        <w:trPr>
          <w:cantSplit w:val="0"/>
          <w:trHeight w:val="230" w:hRule="atLeast"/>
          <w:tblHeader w:val="0"/>
        </w:trPr>
        <w:tc>
          <w:tcPr>
            <w:vMerge w:val="restart"/>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35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Sertão Central</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8" w:right="637"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Choró</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8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Irapuan Pinheiro</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42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Pedra Branca</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1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Quixadá</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5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Quixeramobim</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restart"/>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7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Jaguaribe</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2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Alto Santo</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8" w:right="63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Ererê</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Iracema</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Jaguaribe</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203"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Limoeiro do Norte</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4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Morada Nova</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Palhano</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Quixeré</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7" w:right="637"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Russas</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460"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75" w:right="0" w:hanging="103.9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São João do Jaguaribe</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186"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Tabuleiro do Norte</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8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 saúde</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e 4</w:t>
            </w:r>
          </w:p>
        </w:tc>
      </w:tr>
      <w:tr>
        <w:trPr>
          <w:cantSplit w:val="0"/>
          <w:trHeight w:val="230" w:hRule="atLeast"/>
          <w:tblHeader w:val="0"/>
        </w:trPr>
        <w:tc>
          <w:tcPr>
            <w:vMerge w:val="restart"/>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Sertão do Canindé</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8" w:right="63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Itatira</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6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Madalena</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8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 educação</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505"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573" w:right="545" w:hanging="17.00000000000003"/>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Sertão dos Inhamuns</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38" w:right="636"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Tauá</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28" w:hRule="atLeast"/>
          <w:tblHeader w:val="0"/>
        </w:trPr>
        <w:tc>
          <w:tcPr>
            <w:vMerge w:val="restart"/>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26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Sertão de Sobral</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637" w:right="637"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Cariré</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6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Forquilha</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81"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 educação</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e 5</w:t>
            </w:r>
          </w:p>
        </w:tc>
      </w:tr>
      <w:tr>
        <w:trPr>
          <w:cantSplit w:val="0"/>
          <w:trHeight w:val="230" w:hRule="atLeast"/>
          <w:tblHeader w:val="0"/>
        </w:trPr>
        <w:tc>
          <w:tcPr>
            <w:vMerge w:val="continue"/>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1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Groaíras</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0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Meruoca</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7" w:right="637"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Pacujá</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8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 e saúde</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restart"/>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20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Sertão de Crateús</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Catunda</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8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cultura</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e 4</w:t>
            </w:r>
          </w:p>
        </w:tc>
      </w:tr>
      <w:tr>
        <w:trPr>
          <w:cantSplit w:val="0"/>
          <w:trHeight w:val="229" w:hRule="atLeast"/>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8" w:right="637"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Crateús</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Ipueiras</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r>
        <w:trPr>
          <w:cantSplit w:val="0"/>
          <w:trHeight w:val="230" w:hRule="atLeast"/>
          <w:tblHeader w:val="0"/>
        </w:trPr>
        <w:tc>
          <w:tcPr>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183"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Monsenhor Tabosa</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8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 e saúde</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4" w:right="102"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e 4</w:t>
            </w:r>
          </w:p>
        </w:tc>
      </w:tr>
      <w:tr>
        <w:trPr>
          <w:cantSplit w:val="0"/>
          <w:trHeight w:val="230" w:hRule="atLeast"/>
          <w:tblHeader w:val="0"/>
        </w:trPr>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40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Novo Oriente</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85" w:right="379"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Leitura e cultura</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42">
      <w:pPr>
        <w:spacing w:before="9" w:lineRule="auto"/>
        <w:ind w:left="3171" w:right="3179" w:firstLine="0"/>
        <w:jc w:val="center"/>
        <w:rPr>
          <w:sz w:val="20"/>
          <w:szCs w:val="20"/>
        </w:rPr>
      </w:pPr>
      <w:r w:rsidDel="00000000" w:rsidR="00000000" w:rsidRPr="00000000">
        <w:rPr>
          <w:b w:val="1"/>
          <w:sz w:val="20"/>
          <w:szCs w:val="20"/>
          <w:rtl w:val="0"/>
        </w:rPr>
        <w:t xml:space="preserve">Fonte: </w:t>
      </w:r>
      <w:r w:rsidDel="00000000" w:rsidR="00000000" w:rsidRPr="00000000">
        <w:rPr>
          <w:sz w:val="20"/>
          <w:szCs w:val="20"/>
          <w:rtl w:val="0"/>
        </w:rPr>
        <w:t xml:space="preserve">Dados da pesquisa, 2022.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2" w:right="117"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Observa-se que há uma grande concentração no ODS 4, com muitos projetos voltados à leitura e educação. Extremamente importantes as duas temáticas, entretanto, igualmente relevantes trabalhar as outras questões que englobem a Agenda 2030.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2" w:right="114"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macrorregião, a que mais tem projetos e ações é a do Vale do Jaguaribe, com 11 iniciativas, o que corresponde a 73,3% do total de bibliotecas; seguida da macrorregião Cariri com 18,2%, um total de 6 ações e das macrorregiões Sertão Central, Sertão de Crateús e Grande Fortaleza, com 5 iniciativas cada, correspondendo a 38,5% para as duas primeiras e 28,8% para a terceira.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820" w:top="1300" w:left="1600" w:right="1300" w:header="454" w:footer="638"/>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se tratando do universo de bibliotecas em todas a macrorregiões, as iniciativas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102" w:right="11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correspondem a 23,2% e levando em consideração o número de bibliotecas com perfil ativo no Facebook é de 49,5%. O que nos leva a inferir que o resultado não chega a ser considerado negativo, se comparado numericamente. Entretanto, quando se comparam as iniciativas por ODS, tem-se incidência do ODS 4 (educação de qualidade) em 100% das bibliotecas.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8"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Além deste, têm-se o ODS 1 (erradicação da pobreza) com 6,5%; ODS 3 (saúde e bem-estar) com 8,7%; ODS 5 (Igualdade de gênero) com 4,3%; ODS 8 (trabalho decente e crescimento econômico) com 6,5% e ODS 11 (cidades e comunidades sustentáveis) com 2,18%. O percentual de ODS contemplados dá 35,3% o que se conclui que muito ainda se tem que avançar.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1"/>
        <w:ind w:left="102" w:firstLine="0"/>
        <w:rPr/>
      </w:pPr>
      <w:r w:rsidDel="00000000" w:rsidR="00000000" w:rsidRPr="00000000">
        <w:rPr>
          <w:color w:val="000009"/>
          <w:rtl w:val="0"/>
        </w:rPr>
        <w:t xml:space="preserve">4 CONSIDERAÇÕES FINAIS</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2" w:right="112"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FEBAB orienta para cada ODS uma série de possibilidades que envolvem acesso público e gratuito à informação, disponibilização de espaços inclusivos, dialógicos e acessíveis, estabelecimentos de parcerias e compartilhamento de ideias. Reduzir o trabalho das bibliotecas às ações voltadas às práticas leitoras é minimizar sua força e poder de atuação. Toda e qualquer atividade passa pela educação e pela leitura, entretanto, o foco deve ser maximizado e abrangente. Há um catálogo grande de possibilidades, como palestras, educação continuada, diálogo com a sociedade civil, que envolvam saúde, direitos, dentre outros temas.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7"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Assim, reforça-se a necessidade da elaboração de uma política articulada com a comunidade, de forma a promover a interação e favorecer a aquisição de conhecimentos, e, consequentemente, sendo esta direcionada aos temas constantes na Agenda 2030.</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1"/>
        <w:spacing w:before="231" w:lineRule="auto"/>
        <w:ind w:left="3168" w:right="3179" w:firstLine="0"/>
        <w:jc w:val="center"/>
        <w:rPr/>
      </w:pPr>
      <w:r w:rsidDel="00000000" w:rsidR="00000000" w:rsidRPr="00000000">
        <w:rPr>
          <w:rtl w:val="0"/>
        </w:rPr>
        <w:t xml:space="preserve">AGRADECIMENTOS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2" w:right="114" w:firstLine="70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Agradecemos à Universidade Federal do Cariri e ao Conselho Nacional de Desenvolvimento Científico e Tecnológico (CNPq).</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1"/>
        <w:spacing w:before="182" w:lineRule="auto"/>
        <w:ind w:left="3166" w:right="3179" w:firstLine="0"/>
        <w:jc w:val="center"/>
        <w:rPr/>
      </w:pPr>
      <w:r w:rsidDel="00000000" w:rsidR="00000000" w:rsidRPr="00000000">
        <w:rPr>
          <w:rtl w:val="0"/>
        </w:rPr>
        <w:t xml:space="preserve">REFERÊNCIAS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4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BERNARDINO, Maria Cleide Rodrigues. Biblioteca pública e sua atuação na sociedade.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Revista Fontes Documentais</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Aracaju, v. 5, n. 1, p. 57-71, jan./abr, 2022. Disponível em: </w:t>
      </w:r>
      <w:hyperlink r:id="rId14">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https://periodicos.ifs.edu.br/periodicos/fontesdocumentais/article/view/1354</w:t>
        </w:r>
      </w:hyperlink>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Acesso em: 31 jul. 2023.</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820" w:top="1300" w:left="1600" w:right="1300" w:header="454" w:footer="638"/>
        </w:sect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BIBLIOTECA PÚBLICA: princípios e diretrizes. 2. ed. rev. amp. Rio de Janeiro: Fundação Biblioteca Nacional, 2010. Disponível em:</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2" w:right="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https://www.bn.gov.br/sites/default/files/documentos/miscelanea/2015/bibliotecapublica_p</w:t>
        </w:r>
      </w:hyperlink>
      <w:r w:rsidDel="00000000" w:rsidR="00000000" w:rsidRPr="00000000">
        <w:rPr>
          <w:rFonts w:ascii="Times New Roman" w:cs="Times New Roman" w:eastAsia="Times New Roman" w:hAnsi="Times New Roman"/>
          <w:b w:val="0"/>
          <w:i w:val="0"/>
          <w:smallCaps w:val="0"/>
          <w:strike w:val="0"/>
          <w:color w:val="0462c1"/>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rincipiosdiretrizes_edicao2.pdf</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Acesso em: 31 jul. 2023.</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1955800</wp:posOffset>
                </wp:positionH>
                <wp:positionV relativeFrom="paragraph">
                  <wp:posOffset>381000</wp:posOffset>
                </wp:positionV>
                <wp:extent cx="7620" cy="12700"/>
                <wp:effectExtent b="0" l="0" r="0" t="0"/>
                <wp:wrapNone/>
                <wp:docPr id="19" name=""/>
                <a:graphic>
                  <a:graphicData uri="http://schemas.microsoft.com/office/word/2010/wordprocessingShape">
                    <wps:wsp>
                      <wps:cNvSpPr/>
                      <wps:cNvPr id="9" name="Shape 9"/>
                      <wps:spPr>
                        <a:xfrm>
                          <a:off x="5326950" y="3776190"/>
                          <a:ext cx="38100" cy="7620"/>
                        </a:xfrm>
                        <a:custGeom>
                          <a:rect b="b" l="l" r="r" t="t"/>
                          <a:pathLst>
                            <a:path extrusionOk="0" h="7620" w="38100">
                              <a:moveTo>
                                <a:pt x="38100" y="0"/>
                              </a:moveTo>
                              <a:lnTo>
                                <a:pt x="0" y="0"/>
                              </a:lnTo>
                              <a:lnTo>
                                <a:pt x="0" y="7620"/>
                              </a:lnTo>
                              <a:lnTo>
                                <a:pt x="38100" y="7620"/>
                              </a:lnTo>
                              <a:lnTo>
                                <a:pt x="381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1955800</wp:posOffset>
                </wp:positionH>
                <wp:positionV relativeFrom="paragraph">
                  <wp:posOffset>381000</wp:posOffset>
                </wp:positionV>
                <wp:extent cx="7620" cy="12700"/>
                <wp:effectExtent b="0" l="0" r="0" t="0"/>
                <wp:wrapNone/>
                <wp:docPr id="19"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FEDERAÇÃO INTERNACIONAL DE ASSOCIAÇÕES E INSTITUIÇÕES</w:t>
      </w:r>
      <w:r w:rsidDel="00000000" w:rsidR="00000000" w:rsidRPr="00000000">
        <w:rPr>
          <w:rtl w:val="0"/>
        </w:rPr>
      </w:r>
    </w:p>
    <w:p w:rsidR="00000000" w:rsidDel="00000000" w:rsidP="00000000" w:rsidRDefault="00000000" w:rsidRPr="00000000" w14:paraId="0000015A">
      <w:pPr>
        <w:spacing w:before="0" w:lineRule="auto"/>
        <w:ind w:left="102" w:right="423" w:firstLine="0"/>
        <w:jc w:val="left"/>
        <w:rPr>
          <w:sz w:val="24"/>
          <w:szCs w:val="24"/>
        </w:rPr>
      </w:pPr>
      <w:r w:rsidDel="00000000" w:rsidR="00000000" w:rsidRPr="00000000">
        <w:rPr>
          <w:color w:val="000009"/>
          <w:sz w:val="24"/>
          <w:szCs w:val="24"/>
          <w:rtl w:val="0"/>
        </w:rPr>
        <w:t xml:space="preserve">BIBLIOTECÁRIAS. </w:t>
      </w:r>
      <w:r w:rsidDel="00000000" w:rsidR="00000000" w:rsidRPr="00000000">
        <w:rPr>
          <w:b w:val="1"/>
          <w:color w:val="000009"/>
          <w:sz w:val="24"/>
          <w:szCs w:val="24"/>
          <w:rtl w:val="0"/>
        </w:rPr>
        <w:t xml:space="preserve">As bibliotecas e a implementação da Agenda 2030 da ONU</w:t>
      </w:r>
      <w:r w:rsidDel="00000000" w:rsidR="00000000" w:rsidRPr="00000000">
        <w:rPr>
          <w:color w:val="000009"/>
          <w:sz w:val="24"/>
          <w:szCs w:val="24"/>
          <w:rtl w:val="0"/>
        </w:rPr>
        <w:t xml:space="preserve">. IFLA, 2015. Disponível em: </w:t>
      </w:r>
      <w:hyperlink r:id="rId18">
        <w:r w:rsidDel="00000000" w:rsidR="00000000" w:rsidRPr="00000000">
          <w:rPr>
            <w:color w:val="0462c1"/>
            <w:sz w:val="24"/>
            <w:szCs w:val="24"/>
            <w:u w:val="single"/>
            <w:rtl w:val="0"/>
          </w:rPr>
          <w:t xml:space="preserve">https://www.ifla.org/wp-</w:t>
        </w:r>
      </w:hyperlink>
      <w:r w:rsidDel="00000000" w:rsidR="00000000" w:rsidRPr="00000000">
        <w:rPr>
          <w:color w:val="0462c1"/>
          <w:sz w:val="24"/>
          <w:szCs w:val="24"/>
          <w:rtl w:val="0"/>
        </w:rPr>
        <w:t xml:space="preserve"> </w:t>
      </w:r>
      <w:hyperlink r:id="rId19">
        <w:r w:rsidDel="00000000" w:rsidR="00000000" w:rsidRPr="00000000">
          <w:rPr>
            <w:color w:val="0462c1"/>
            <w:sz w:val="24"/>
            <w:szCs w:val="24"/>
            <w:u w:val="single"/>
            <w:rtl w:val="0"/>
          </w:rPr>
          <w:t xml:space="preserve">content/uploads/2019/05/assets/hq/topics/libraries-development/documents/libraries-un-</w:t>
        </w:r>
      </w:hyperlink>
      <w:r w:rsidDel="00000000" w:rsidR="00000000" w:rsidRPr="00000000">
        <w:rPr>
          <w:color w:val="0462c1"/>
          <w:sz w:val="24"/>
          <w:szCs w:val="24"/>
          <w:rtl w:val="0"/>
        </w:rPr>
        <w:t xml:space="preserve"> </w:t>
      </w:r>
      <w:hyperlink r:id="rId20">
        <w:r w:rsidDel="00000000" w:rsidR="00000000" w:rsidRPr="00000000">
          <w:rPr>
            <w:color w:val="0462c1"/>
            <w:sz w:val="24"/>
            <w:szCs w:val="24"/>
            <w:u w:val="single"/>
            <w:rtl w:val="0"/>
          </w:rPr>
          <w:t xml:space="preserve">2030-agenda-toolkit-pt.pdf</w:t>
        </w:r>
      </w:hyperlink>
      <w:r w:rsidDel="00000000" w:rsidR="00000000" w:rsidRPr="00000000">
        <w:rPr>
          <w:color w:val="000009"/>
          <w:sz w:val="24"/>
          <w:szCs w:val="24"/>
          <w:rtl w:val="0"/>
        </w:rPr>
        <w:t xml:space="preserve">. Acesso em: 31 jul. 2023.</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FEDERAÇÃO INTERNACIONAL DE ASSOCIAÇÕES E INSTITUIÇÕES</w:t>
      </w:r>
      <w:r w:rsidDel="00000000" w:rsidR="00000000" w:rsidRPr="00000000">
        <w:rPr>
          <w:rtl w:val="0"/>
        </w:rPr>
      </w:r>
    </w:p>
    <w:p w:rsidR="00000000" w:rsidDel="00000000" w:rsidP="00000000" w:rsidRDefault="00000000" w:rsidRPr="00000000" w14:paraId="0000015C">
      <w:pPr>
        <w:spacing w:before="0" w:lineRule="auto"/>
        <w:ind w:left="102" w:right="88" w:firstLine="0"/>
        <w:jc w:val="left"/>
        <w:rPr>
          <w:sz w:val="24"/>
          <w:szCs w:val="24"/>
        </w:rPr>
      </w:pPr>
      <w:r w:rsidDel="00000000" w:rsidR="00000000" w:rsidRPr="00000000">
        <w:rPr>
          <w:color w:val="000009"/>
          <w:sz w:val="24"/>
          <w:szCs w:val="24"/>
          <w:rtl w:val="0"/>
        </w:rPr>
        <w:t xml:space="preserve">BIBLIOTECÁRIAS. </w:t>
      </w:r>
      <w:r w:rsidDel="00000000" w:rsidR="00000000" w:rsidRPr="00000000">
        <w:rPr>
          <w:b w:val="1"/>
          <w:color w:val="000009"/>
          <w:sz w:val="24"/>
          <w:szCs w:val="24"/>
          <w:rtl w:val="0"/>
        </w:rPr>
        <w:t xml:space="preserve">As bibliotecas podem promover a implementação da Agenda 2030</w:t>
      </w:r>
      <w:r w:rsidDel="00000000" w:rsidR="00000000" w:rsidRPr="00000000">
        <w:rPr>
          <w:color w:val="000009"/>
          <w:sz w:val="24"/>
          <w:szCs w:val="24"/>
          <w:rtl w:val="0"/>
        </w:rPr>
        <w:t xml:space="preserve">. IFLA, 2016. Disponível em: </w:t>
      </w:r>
      <w:hyperlink r:id="rId21">
        <w:r w:rsidDel="00000000" w:rsidR="00000000" w:rsidRPr="00000000">
          <w:rPr>
            <w:color w:val="0462c1"/>
            <w:sz w:val="24"/>
            <w:szCs w:val="24"/>
            <w:u w:val="single"/>
            <w:rtl w:val="0"/>
          </w:rPr>
          <w:t xml:space="preserve">http://repositorio.febab.org.br/files/original/5/438/IFLA_Goal_Inserts_brasil_4.pdf</w:t>
        </w:r>
      </w:hyperlink>
      <w:r w:rsidDel="00000000" w:rsidR="00000000" w:rsidRPr="00000000">
        <w:rPr>
          <w:color w:val="000009"/>
          <w:sz w:val="24"/>
          <w:szCs w:val="24"/>
          <w:rtl w:val="0"/>
        </w:rPr>
        <w:t xml:space="preserve">. Acesso em: 31 jul. 2023.</w:t>
      </w:r>
      <w:r w:rsidDel="00000000" w:rsidR="00000000" w:rsidRPr="00000000">
        <w:rPr>
          <w:rtl w:val="0"/>
        </w:rPr>
      </w:r>
    </w:p>
    <w:p w:rsidR="00000000" w:rsidDel="00000000" w:rsidP="00000000" w:rsidRDefault="00000000" w:rsidRPr="00000000" w14:paraId="0000015D">
      <w:pPr>
        <w:spacing w:before="121" w:lineRule="auto"/>
        <w:ind w:left="102" w:right="200" w:firstLine="0"/>
        <w:jc w:val="left"/>
        <w:rPr>
          <w:sz w:val="24"/>
          <w:szCs w:val="24"/>
        </w:rPr>
      </w:pPr>
      <w:r w:rsidDel="00000000" w:rsidR="00000000" w:rsidRPr="00000000">
        <w:rPr>
          <w:color w:val="000009"/>
          <w:sz w:val="24"/>
          <w:szCs w:val="24"/>
          <w:rtl w:val="0"/>
        </w:rPr>
        <w:t xml:space="preserve">FELICIÉ SOTO, Ada Myriam. </w:t>
      </w:r>
      <w:r w:rsidDel="00000000" w:rsidR="00000000" w:rsidRPr="00000000">
        <w:rPr>
          <w:b w:val="1"/>
          <w:color w:val="000009"/>
          <w:sz w:val="24"/>
          <w:szCs w:val="24"/>
          <w:rtl w:val="0"/>
        </w:rPr>
        <w:t xml:space="preserve">Biblioteca pública, sociedad de la información y brecha digital</w:t>
      </w:r>
      <w:r w:rsidDel="00000000" w:rsidR="00000000" w:rsidRPr="00000000">
        <w:rPr>
          <w:color w:val="000009"/>
          <w:sz w:val="24"/>
          <w:szCs w:val="24"/>
          <w:rtl w:val="0"/>
        </w:rPr>
        <w:t xml:space="preserve">. Buenos Aires: Alfagrama, 2006.</w:t>
      </w:r>
      <w:r w:rsidDel="00000000" w:rsidR="00000000" w:rsidRPr="00000000">
        <w:rPr>
          <w:rtl w:val="0"/>
        </w:rPr>
      </w:r>
    </w:p>
    <w:p w:rsidR="00000000" w:rsidDel="00000000" w:rsidP="00000000" w:rsidRDefault="00000000" w:rsidRPr="00000000" w14:paraId="0000015E">
      <w:pPr>
        <w:spacing w:before="120" w:lineRule="auto"/>
        <w:ind w:left="102" w:right="0" w:firstLine="0"/>
        <w:jc w:val="left"/>
        <w:rPr>
          <w:sz w:val="24"/>
          <w:szCs w:val="24"/>
        </w:rPr>
      </w:pPr>
      <w:r w:rsidDel="00000000" w:rsidR="00000000" w:rsidRPr="00000000">
        <w:rPr>
          <w:color w:val="000009"/>
          <w:sz w:val="24"/>
          <w:szCs w:val="24"/>
          <w:rtl w:val="0"/>
        </w:rPr>
        <w:t xml:space="preserve">GIL, Antônio Carlos. </w:t>
      </w:r>
      <w:r w:rsidDel="00000000" w:rsidR="00000000" w:rsidRPr="00000000">
        <w:rPr>
          <w:b w:val="1"/>
          <w:color w:val="000009"/>
          <w:sz w:val="24"/>
          <w:szCs w:val="24"/>
          <w:rtl w:val="0"/>
        </w:rPr>
        <w:t xml:space="preserve">Métodos e técnicas de pesquisa</w:t>
      </w:r>
      <w:r w:rsidDel="00000000" w:rsidR="00000000" w:rsidRPr="00000000">
        <w:rPr>
          <w:color w:val="000009"/>
          <w:sz w:val="24"/>
          <w:szCs w:val="24"/>
          <w:rtl w:val="0"/>
        </w:rPr>
        <w:t xml:space="preserve">. 6. ed. São Paulo: Atlas, 2012.</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GOLDENBERG, Mirian.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A arte de pesquisar</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como fazer pesquisa qualitativa em ciências sociais. 10. ed. Rio de Janeiro: Record, 2007.</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2" w:right="8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GOHN, Maria da Glória. Empoderamento e participação da comunidade em políticas sociais.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Saúde e Sociedade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13, n. 2, p. 20-31, maio./ago., 2004. Disponível em: </w:t>
      </w:r>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https://</w:t>
      </w:r>
      <w:hyperlink r:id="rId22">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www.scielo.br/j/sausoc/a/dGnqs6Q5RZbKgTNn54RRBNG/abstract/?lang=pt.</w:t>
        </w:r>
      </w:hyperlink>
      <w:r w:rsidDel="00000000" w:rsidR="00000000" w:rsidRPr="00000000">
        <w:rPr>
          <w:rFonts w:ascii="Times New Roman" w:cs="Times New Roman" w:eastAsia="Times New Roman" w:hAnsi="Times New Roman"/>
          <w:b w:val="0"/>
          <w:i w:val="0"/>
          <w:smallCaps w:val="0"/>
          <w:strike w:val="0"/>
          <w:color w:val="0462c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Acesso em: 31 jul. 2023.</w:t>
      </w:r>
    </w:p>
    <w:p w:rsidR="00000000" w:rsidDel="00000000" w:rsidP="00000000" w:rsidRDefault="00000000" w:rsidRPr="00000000" w14:paraId="00000161">
      <w:pPr>
        <w:spacing w:before="120" w:lineRule="auto"/>
        <w:ind w:left="102" w:right="200" w:firstLine="0"/>
        <w:jc w:val="left"/>
        <w:rPr>
          <w:sz w:val="24"/>
          <w:szCs w:val="24"/>
        </w:rPr>
      </w:pPr>
      <w:r w:rsidDel="00000000" w:rsidR="00000000" w:rsidRPr="00000000">
        <w:rPr>
          <w:sz w:val="24"/>
          <w:szCs w:val="24"/>
          <w:rtl w:val="0"/>
        </w:rPr>
        <w:t xml:space="preserve">JARAMILLO, Orlanda; MONTOYA RÍOS, Mónica. Revisión del concepto de biblioteca pública. </w:t>
      </w:r>
      <w:r w:rsidDel="00000000" w:rsidR="00000000" w:rsidRPr="00000000">
        <w:rPr>
          <w:i w:val="1"/>
          <w:sz w:val="24"/>
          <w:szCs w:val="24"/>
          <w:rtl w:val="0"/>
        </w:rPr>
        <w:t xml:space="preserve">In</w:t>
      </w:r>
      <w:r w:rsidDel="00000000" w:rsidR="00000000" w:rsidRPr="00000000">
        <w:rPr>
          <w:sz w:val="24"/>
          <w:szCs w:val="24"/>
          <w:rtl w:val="0"/>
        </w:rPr>
        <w:t xml:space="preserve">: JARAMILLO, Orlanda </w:t>
      </w:r>
      <w:r w:rsidDel="00000000" w:rsidR="00000000" w:rsidRPr="00000000">
        <w:rPr>
          <w:i w:val="1"/>
          <w:sz w:val="24"/>
          <w:szCs w:val="24"/>
          <w:rtl w:val="0"/>
        </w:rPr>
        <w:t xml:space="preserve">et al</w:t>
      </w:r>
      <w:r w:rsidDel="00000000" w:rsidR="00000000" w:rsidRPr="00000000">
        <w:rPr>
          <w:sz w:val="24"/>
          <w:szCs w:val="24"/>
          <w:rtl w:val="0"/>
        </w:rPr>
        <w:t xml:space="preserve">. (orgs.). </w:t>
      </w:r>
      <w:r w:rsidDel="00000000" w:rsidR="00000000" w:rsidRPr="00000000">
        <w:rPr>
          <w:b w:val="1"/>
          <w:sz w:val="24"/>
          <w:szCs w:val="24"/>
          <w:rtl w:val="0"/>
        </w:rPr>
        <w:t xml:space="preserve">Biblioteca pública y lectura pública</w:t>
      </w:r>
      <w:r w:rsidDel="00000000" w:rsidR="00000000" w:rsidRPr="00000000">
        <w:rPr>
          <w:sz w:val="24"/>
          <w:szCs w:val="24"/>
          <w:rtl w:val="0"/>
        </w:rPr>
        <w:t xml:space="preserve">. Medellín: Universidad de Antioquia, 2005.</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NOSSO futuro em comum. 2. ed. Rio de Janeiro: Fundação Getúlio Vargas, 1991. Disponível em: </w:t>
      </w:r>
      <w:hyperlink r:id="rId23">
        <w:r w:rsidDel="00000000" w:rsidR="00000000" w:rsidRPr="00000000">
          <w:rPr>
            <w:rFonts w:ascii="Times New Roman" w:cs="Times New Roman" w:eastAsia="Times New Roman" w:hAnsi="Times New Roman"/>
            <w:b w:val="0"/>
            <w:i w:val="0"/>
            <w:smallCaps w:val="0"/>
            <w:strike w:val="0"/>
            <w:color w:val="1153cc"/>
            <w:sz w:val="24"/>
            <w:szCs w:val="24"/>
            <w:u w:val="single"/>
            <w:shd w:fill="auto" w:val="clear"/>
            <w:vertAlign w:val="baseline"/>
            <w:rtl w:val="0"/>
          </w:rPr>
          <w:t xml:space="preserve">https://edisciplinas.usp.br/pluginfile.php/4245128/mod_resource/content/3/Nosso%20Futu</w:t>
        </w:r>
      </w:hyperlink>
      <w:r w:rsidDel="00000000" w:rsidR="00000000" w:rsidRPr="00000000">
        <w:rPr>
          <w:rFonts w:ascii="Times New Roman" w:cs="Times New Roman" w:eastAsia="Times New Roman" w:hAnsi="Times New Roman"/>
          <w:b w:val="0"/>
          <w:i w:val="0"/>
          <w:smallCaps w:val="0"/>
          <w:strike w:val="0"/>
          <w:color w:val="1153cc"/>
          <w:sz w:val="24"/>
          <w:szCs w:val="24"/>
          <w:u w:val="none"/>
          <w:shd w:fill="auto" w:val="clear"/>
          <w:vertAlign w:val="baseline"/>
          <w:rtl w:val="0"/>
        </w:rPr>
        <w:t xml:space="preserve"> </w:t>
      </w:r>
      <w:hyperlink r:id="rId24">
        <w:r w:rsidDel="00000000" w:rsidR="00000000" w:rsidRPr="00000000">
          <w:rPr>
            <w:rFonts w:ascii="Times New Roman" w:cs="Times New Roman" w:eastAsia="Times New Roman" w:hAnsi="Times New Roman"/>
            <w:b w:val="0"/>
            <w:i w:val="0"/>
            <w:smallCaps w:val="0"/>
            <w:strike w:val="0"/>
            <w:color w:val="1153cc"/>
            <w:sz w:val="24"/>
            <w:szCs w:val="24"/>
            <w:u w:val="single"/>
            <w:shd w:fill="auto" w:val="clear"/>
            <w:vertAlign w:val="baseline"/>
            <w:rtl w:val="0"/>
          </w:rPr>
          <w:t xml:space="preserve">ro%20Comum.pdf</w:t>
        </w:r>
      </w:hyperlink>
      <w:hyperlink r:id="rId25">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Acesso em: 29 jul. 2023.</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18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SANTOS, Elis Gabriela Copa dos.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Advocacy bibliotecário</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mapeamento de iniciativas ao redor do mundo. Dissertação. Ciência da Informação. USP. 118f. 2018. Disponível em: </w:t>
      </w:r>
      <w:hyperlink r:id="rId26">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https://teses.usp.br/teses/disponiveis/27/27151/tde-26022019-</w:t>
        </w:r>
      </w:hyperlink>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 xml:space="preserve"> </w:t>
      </w:r>
      <w:hyperlink r:id="rId27">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161955/publico/ElisGabrielaCopadosSantosVC.pdf</w:t>
        </w:r>
      </w:hyperlink>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Acesso em: 27 jul. 2023.</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SILVA, Viviane Regina da. Policy Advocacy. Contribuições para a construção de um conceitoa partir de uma revisão sistemática de literatura. </w:t>
      </w:r>
      <w:r w:rsidDel="00000000" w:rsidR="00000000" w:rsidRPr="00000000">
        <w:rPr>
          <w:rFonts w:ascii="Times New Roman" w:cs="Times New Roman" w:eastAsia="Times New Roman" w:hAnsi="Times New Roman"/>
          <w:b w:val="1"/>
          <w:i w:val="0"/>
          <w:smallCaps w:val="0"/>
          <w:strike w:val="0"/>
          <w:color w:val="000009"/>
          <w:sz w:val="24"/>
          <w:szCs w:val="24"/>
          <w:u w:val="none"/>
          <w:shd w:fill="auto" w:val="clear"/>
          <w:vertAlign w:val="baseline"/>
          <w:rtl w:val="0"/>
        </w:rPr>
        <w:t xml:space="preserve">Revista da Esmesc</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v. 24, n. 30,</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2" w:right="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p. 395-417,2017. Disponível em: </w:t>
      </w:r>
      <w:hyperlink r:id="rId28">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https://revista.esmesc.org.br/re/article/view/176/149</w:t>
        </w:r>
      </w:hyperlink>
      <w:r w:rsidDel="00000000" w:rsidR="00000000" w:rsidRPr="00000000">
        <w:rPr>
          <w:rFonts w:ascii="Times New Roman" w:cs="Times New Roman" w:eastAsia="Times New Roman" w:hAnsi="Times New Roman"/>
          <w:b w:val="0"/>
          <w:i w:val="0"/>
          <w:smallCaps w:val="0"/>
          <w:strike w:val="0"/>
          <w:color w:val="00008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Acesso em: 27 jul.2023.</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2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MANIFESTO da IFLA/UNESCO sobre bibliotecas públicas, 1994. Disponível em: </w:t>
      </w:r>
      <w:hyperlink r:id="rId29">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https://repository.ifla.org/handle/123456789/189</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Acesso em: 31 jul. 2023.</w:t>
      </w:r>
    </w:p>
    <w:p w:rsidR="00000000" w:rsidDel="00000000" w:rsidP="00000000" w:rsidRDefault="00000000" w:rsidRPr="00000000" w14:paraId="00000167">
      <w:pPr>
        <w:spacing w:before="120" w:lineRule="auto"/>
        <w:ind w:left="102" w:right="200" w:firstLine="0"/>
        <w:jc w:val="left"/>
        <w:rPr>
          <w:sz w:val="24"/>
          <w:szCs w:val="24"/>
        </w:rPr>
      </w:pPr>
      <w:r w:rsidDel="00000000" w:rsidR="00000000" w:rsidRPr="00000000">
        <w:rPr>
          <w:sz w:val="24"/>
          <w:szCs w:val="24"/>
          <w:rtl w:val="0"/>
        </w:rPr>
        <w:t xml:space="preserve">SACHS, Ignacy. </w:t>
      </w:r>
      <w:r w:rsidDel="00000000" w:rsidR="00000000" w:rsidRPr="00000000">
        <w:rPr>
          <w:b w:val="1"/>
          <w:sz w:val="24"/>
          <w:szCs w:val="24"/>
          <w:rtl w:val="0"/>
        </w:rPr>
        <w:t xml:space="preserve">Caminhos para o desenvolvimento sustentável</w:t>
      </w:r>
      <w:r w:rsidDel="00000000" w:rsidR="00000000" w:rsidRPr="00000000">
        <w:rPr>
          <w:sz w:val="24"/>
          <w:szCs w:val="24"/>
          <w:rtl w:val="0"/>
        </w:rPr>
        <w:t xml:space="preserve">. Rio de Janeiro: Garamond, 2009.</w:t>
      </w:r>
    </w:p>
    <w:p w:rsidR="00000000" w:rsidDel="00000000" w:rsidP="00000000" w:rsidRDefault="00000000" w:rsidRPr="00000000" w14:paraId="00000168">
      <w:pPr>
        <w:spacing w:before="120" w:lineRule="auto"/>
        <w:ind w:left="102" w:right="200" w:firstLine="0"/>
        <w:jc w:val="left"/>
        <w:rPr>
          <w:sz w:val="24"/>
          <w:szCs w:val="24"/>
        </w:rPr>
      </w:pPr>
      <w:r w:rsidDel="00000000" w:rsidR="00000000" w:rsidRPr="00000000">
        <w:rPr>
          <w:sz w:val="24"/>
          <w:szCs w:val="24"/>
          <w:rtl w:val="0"/>
        </w:rPr>
        <w:t xml:space="preserve">SACHS, Ignacy. </w:t>
      </w:r>
      <w:r w:rsidDel="00000000" w:rsidR="00000000" w:rsidRPr="00000000">
        <w:rPr>
          <w:b w:val="1"/>
          <w:sz w:val="24"/>
          <w:szCs w:val="24"/>
          <w:rtl w:val="0"/>
        </w:rPr>
        <w:t xml:space="preserve">Desenvolvimento includente, sustentável sustentado</w:t>
      </w:r>
      <w:r w:rsidDel="00000000" w:rsidR="00000000" w:rsidRPr="00000000">
        <w:rPr>
          <w:sz w:val="24"/>
          <w:szCs w:val="24"/>
          <w:rtl w:val="0"/>
        </w:rPr>
        <w:t xml:space="preserve">. Rio de Janeiro: Garamond, 2008.</w:t>
      </w:r>
    </w:p>
    <w:p w:rsidR="00000000" w:rsidDel="00000000" w:rsidP="00000000" w:rsidRDefault="00000000" w:rsidRPr="00000000" w14:paraId="00000169">
      <w:pPr>
        <w:spacing w:before="120" w:lineRule="auto"/>
        <w:ind w:left="102" w:right="22" w:firstLine="0"/>
        <w:jc w:val="left"/>
        <w:rPr>
          <w:sz w:val="24"/>
          <w:szCs w:val="24"/>
        </w:rPr>
        <w:sectPr>
          <w:type w:val="nextPage"/>
          <w:pgSz w:h="16840" w:w="11910" w:orient="portrait"/>
          <w:pgMar w:bottom="820" w:top="1300" w:left="1600" w:right="1300" w:header="454" w:footer="638"/>
        </w:sectPr>
      </w:pPr>
      <w:r w:rsidDel="00000000" w:rsidR="00000000" w:rsidRPr="00000000">
        <w:rPr>
          <w:sz w:val="24"/>
          <w:szCs w:val="24"/>
          <w:rtl w:val="0"/>
        </w:rPr>
        <w:t xml:space="preserve">SACHS, Ignacy. </w:t>
      </w:r>
      <w:r w:rsidDel="00000000" w:rsidR="00000000" w:rsidRPr="00000000">
        <w:rPr>
          <w:b w:val="1"/>
          <w:sz w:val="24"/>
          <w:szCs w:val="24"/>
          <w:rtl w:val="0"/>
        </w:rPr>
        <w:t xml:space="preserve">O tripé do desenvolvimento includente</w:t>
      </w:r>
      <w:r w:rsidDel="00000000" w:rsidR="00000000" w:rsidRPr="00000000">
        <w:rPr>
          <w:sz w:val="24"/>
          <w:szCs w:val="24"/>
          <w:rtl w:val="0"/>
        </w:rPr>
        <w:t xml:space="preserve">: palestra magna. </w:t>
      </w:r>
      <w:r w:rsidDel="00000000" w:rsidR="00000000" w:rsidRPr="00000000">
        <w:rPr>
          <w:i w:val="1"/>
          <w:sz w:val="24"/>
          <w:szCs w:val="24"/>
          <w:rtl w:val="0"/>
        </w:rPr>
        <w:t xml:space="preserve">In</w:t>
      </w:r>
      <w:r w:rsidDel="00000000" w:rsidR="00000000" w:rsidRPr="00000000">
        <w:rPr>
          <w:sz w:val="24"/>
          <w:szCs w:val="24"/>
          <w:rtl w:val="0"/>
        </w:rPr>
        <w:t xml:space="preserve">: SEMINÁRIO DE INCLUSÃO SOCIAL, 2003, Rio de Janeiro. </w:t>
      </w:r>
      <w:r w:rsidDel="00000000" w:rsidR="00000000" w:rsidRPr="00000000">
        <w:rPr>
          <w:b w:val="1"/>
          <w:sz w:val="24"/>
          <w:szCs w:val="24"/>
          <w:rtl w:val="0"/>
        </w:rPr>
        <w:t xml:space="preserve">Anais </w:t>
      </w:r>
      <w:r w:rsidDel="00000000" w:rsidR="00000000" w:rsidRPr="00000000">
        <w:rPr>
          <w:sz w:val="24"/>
          <w:szCs w:val="24"/>
          <w:rtl w:val="0"/>
        </w:rPr>
        <w:t xml:space="preserve">[...]. Rio de Janeiro: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02" w:right="9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BNDES, 2003. Disponível em: </w:t>
      </w:r>
      <w:hyperlink r:id="rId30">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http://ignacysachs.blogspot.com/2008/12/o-trip-do-</w:t>
        </w:r>
      </w:hyperlink>
      <w:r w:rsidDel="00000000" w:rsidR="00000000" w:rsidRPr="00000000">
        <w:rPr>
          <w:rFonts w:ascii="Times New Roman" w:cs="Times New Roman" w:eastAsia="Times New Roman" w:hAnsi="Times New Roman"/>
          <w:b w:val="0"/>
          <w:i w:val="0"/>
          <w:smallCaps w:val="0"/>
          <w:strike w:val="0"/>
          <w:color w:val="0462c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desenvolvimento-includente.html.</w:t>
      </w:r>
      <w:r w:rsidDel="00000000" w:rsidR="00000000" w:rsidRPr="00000000">
        <w:rPr>
          <w:rFonts w:ascii="Times New Roman" w:cs="Times New Roman" w:eastAsia="Times New Roman" w:hAnsi="Times New Roman"/>
          <w:b w:val="0"/>
          <w:i w:val="0"/>
          <w:smallCaps w:val="0"/>
          <w:strike w:val="0"/>
          <w:color w:val="0462c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Acesso em: 28 jul. 2023.</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MANIFESTO DA BIBLIOTECA PÚBLICA IFLA/UNESCO. 2022. Disponível em:</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1">
        <w:r w:rsidDel="00000000" w:rsidR="00000000" w:rsidRPr="00000000">
          <w:rPr>
            <w:rFonts w:ascii="Times New Roman" w:cs="Times New Roman" w:eastAsia="Times New Roman" w:hAnsi="Times New Roman"/>
            <w:b w:val="0"/>
            <w:i w:val="0"/>
            <w:smallCaps w:val="0"/>
            <w:strike w:val="0"/>
            <w:color w:val="0462c1"/>
            <w:sz w:val="24"/>
            <w:szCs w:val="24"/>
            <w:u w:val="single"/>
            <w:shd w:fill="auto" w:val="clear"/>
            <w:vertAlign w:val="baseline"/>
            <w:rtl w:val="0"/>
          </w:rPr>
          <w:t xml:space="preserve">http://repositorio.febab.org.br/items/show/6247</w:t>
        </w:r>
      </w:hyperlink>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Acesso em: 30 jul. 2023.</w:t>
      </w:r>
      <w:r w:rsidDel="00000000" w:rsidR="00000000" w:rsidRPr="00000000">
        <w:rPr>
          <w:rtl w:val="0"/>
        </w:rPr>
      </w:r>
    </w:p>
    <w:sectPr>
      <w:type w:val="nextPage"/>
      <w:pgSz w:h="16840" w:w="11910" w:orient="portrait"/>
      <w:pgMar w:bottom="820" w:top="1300" w:left="1600" w:right="1300" w:header="454" w:footer="63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-1015999</wp:posOffset>
              </wp:positionH>
              <wp:positionV relativeFrom="paragraph">
                <wp:posOffset>10490200</wp:posOffset>
              </wp:positionV>
              <wp:extent cx="7572375" cy="194310"/>
              <wp:effectExtent b="0" l="0" r="0" t="0"/>
              <wp:wrapNone/>
              <wp:docPr id="17" name=""/>
              <a:graphic>
                <a:graphicData uri="http://schemas.microsoft.com/office/word/2010/wordprocessingGroup">
                  <wpg:wgp>
                    <wpg:cNvGrpSpPr/>
                    <wpg:grpSpPr>
                      <a:xfrm>
                        <a:off x="1559800" y="3682825"/>
                        <a:ext cx="7572375" cy="194310"/>
                        <a:chOff x="1559800" y="3682825"/>
                        <a:chExt cx="7572400" cy="194350"/>
                      </a:xfrm>
                    </wpg:grpSpPr>
                    <wpg:grpSp>
                      <wpg:cNvGrpSpPr/>
                      <wpg:grpSpPr>
                        <a:xfrm>
                          <a:off x="1559813" y="3682845"/>
                          <a:ext cx="7572375" cy="194300"/>
                          <a:chOff x="0" y="0"/>
                          <a:chExt cx="7572375" cy="194300"/>
                        </a:xfrm>
                      </wpg:grpSpPr>
                      <wps:wsp>
                        <wps:cNvSpPr/>
                        <wps:cNvPr id="3" name="Shape 3"/>
                        <wps:spPr>
                          <a:xfrm>
                            <a:off x="0" y="0"/>
                            <a:ext cx="7572375" cy="19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50" y="6350"/>
                            <a:ext cx="7559675" cy="181610"/>
                          </a:xfrm>
                          <a:custGeom>
                            <a:rect b="b" l="l" r="r" t="t"/>
                            <a:pathLst>
                              <a:path extrusionOk="0" h="181610" w="7559675">
                                <a:moveTo>
                                  <a:pt x="7559675" y="0"/>
                                </a:moveTo>
                                <a:lnTo>
                                  <a:pt x="0" y="0"/>
                                </a:lnTo>
                                <a:lnTo>
                                  <a:pt x="0" y="181609"/>
                                </a:lnTo>
                                <a:lnTo>
                                  <a:pt x="7559675" y="181609"/>
                                </a:lnTo>
                                <a:lnTo>
                                  <a:pt x="7559675" y="0"/>
                                </a:lnTo>
                                <a:close/>
                              </a:path>
                            </a:pathLst>
                          </a:custGeom>
                          <a:solidFill>
                            <a:srgbClr val="001736"/>
                          </a:solidFill>
                          <a:ln>
                            <a:noFill/>
                          </a:ln>
                        </wps:spPr>
                        <wps:bodyPr anchorCtr="0" anchor="ctr" bIns="91425" lIns="91425" spcFirstLastPara="1" rIns="91425" wrap="square" tIns="91425">
                          <a:noAutofit/>
                        </wps:bodyPr>
                      </wps:wsp>
                      <wps:wsp>
                        <wps:cNvSpPr/>
                        <wps:cNvPr id="5" name="Shape 5"/>
                        <wps:spPr>
                          <a:xfrm>
                            <a:off x="6350" y="6350"/>
                            <a:ext cx="7559675" cy="181610"/>
                          </a:xfrm>
                          <a:custGeom>
                            <a:rect b="b" l="l" r="r" t="t"/>
                            <a:pathLst>
                              <a:path extrusionOk="0" h="181610" w="7559675">
                                <a:moveTo>
                                  <a:pt x="0" y="181609"/>
                                </a:moveTo>
                                <a:lnTo>
                                  <a:pt x="7559675" y="181609"/>
                                </a:lnTo>
                                <a:lnTo>
                                  <a:pt x="7559675" y="0"/>
                                </a:lnTo>
                                <a:lnTo>
                                  <a:pt x="0" y="0"/>
                                </a:lnTo>
                              </a:path>
                            </a:pathLst>
                          </a:custGeom>
                          <a:noFill/>
                          <a:ln cap="flat" cmpd="sng" w="12700">
                            <a:solidFill>
                              <a:srgbClr val="2E528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-1015999</wp:posOffset>
              </wp:positionH>
              <wp:positionV relativeFrom="paragraph">
                <wp:posOffset>10490200</wp:posOffset>
              </wp:positionV>
              <wp:extent cx="7572375" cy="194310"/>
              <wp:effectExtent b="0" l="0" r="0" t="0"/>
              <wp:wrapNone/>
              <wp:docPr id="1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72375" cy="1943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482600</wp:posOffset>
              </wp:positionH>
              <wp:positionV relativeFrom="paragraph">
                <wp:posOffset>10134600</wp:posOffset>
              </wp:positionV>
              <wp:extent cx="4736465" cy="203835"/>
              <wp:effectExtent b="0" l="0" r="0" t="0"/>
              <wp:wrapNone/>
              <wp:docPr id="23" name=""/>
              <a:graphic>
                <a:graphicData uri="http://schemas.microsoft.com/office/word/2010/wordprocessingShape">
                  <wps:wsp>
                    <wps:cNvSpPr/>
                    <wps:cNvPr id="17" name="Shape 17"/>
                    <wps:spPr>
                      <a:xfrm>
                        <a:off x="2982530" y="3682845"/>
                        <a:ext cx="472694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1736"/>
                              <w:sz w:val="24"/>
                              <w:vertAlign w:val="baseline"/>
                            </w:rPr>
                            <w:t xml:space="preserve">© IV CONPESQ, 3, 4 e 5 de outubro de 2023, Juazeiro do Norte, CE, Brasil.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482600</wp:posOffset>
              </wp:positionH>
              <wp:positionV relativeFrom="paragraph">
                <wp:posOffset>10134600</wp:posOffset>
              </wp:positionV>
              <wp:extent cx="4736465" cy="203835"/>
              <wp:effectExtent b="0" l="0" r="0" t="0"/>
              <wp:wrapNone/>
              <wp:docPr id="2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473646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-1015999</wp:posOffset>
              </wp:positionH>
              <wp:positionV relativeFrom="paragraph">
                <wp:posOffset>10502900</wp:posOffset>
              </wp:positionV>
              <wp:extent cx="7572375" cy="194310"/>
              <wp:effectExtent b="0" l="0" r="0" t="0"/>
              <wp:wrapNone/>
              <wp:docPr id="20" name=""/>
              <a:graphic>
                <a:graphicData uri="http://schemas.microsoft.com/office/word/2010/wordprocessingGroup">
                  <wpg:wgp>
                    <wpg:cNvGrpSpPr/>
                    <wpg:grpSpPr>
                      <a:xfrm>
                        <a:off x="1559800" y="3682825"/>
                        <a:ext cx="7572375" cy="194310"/>
                        <a:chOff x="1559800" y="3682825"/>
                        <a:chExt cx="7572400" cy="194350"/>
                      </a:xfrm>
                    </wpg:grpSpPr>
                    <wpg:grpSp>
                      <wpg:cNvGrpSpPr/>
                      <wpg:grpSpPr>
                        <a:xfrm>
                          <a:off x="1559813" y="3682845"/>
                          <a:ext cx="7572375" cy="194300"/>
                          <a:chOff x="0" y="0"/>
                          <a:chExt cx="7572375" cy="194300"/>
                        </a:xfrm>
                      </wpg:grpSpPr>
                      <wps:wsp>
                        <wps:cNvSpPr/>
                        <wps:cNvPr id="3" name="Shape 3"/>
                        <wps:spPr>
                          <a:xfrm>
                            <a:off x="0" y="0"/>
                            <a:ext cx="7572375" cy="19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6350" y="6350"/>
                            <a:ext cx="7559675" cy="181610"/>
                          </a:xfrm>
                          <a:custGeom>
                            <a:rect b="b" l="l" r="r" t="t"/>
                            <a:pathLst>
                              <a:path extrusionOk="0" h="181610" w="7559675">
                                <a:moveTo>
                                  <a:pt x="7559675" y="0"/>
                                </a:moveTo>
                                <a:lnTo>
                                  <a:pt x="0" y="0"/>
                                </a:lnTo>
                                <a:lnTo>
                                  <a:pt x="0" y="181610"/>
                                </a:lnTo>
                                <a:lnTo>
                                  <a:pt x="7559675" y="181610"/>
                                </a:lnTo>
                                <a:lnTo>
                                  <a:pt x="7559675" y="0"/>
                                </a:lnTo>
                                <a:close/>
                              </a:path>
                            </a:pathLst>
                          </a:custGeom>
                          <a:solidFill>
                            <a:srgbClr val="001736"/>
                          </a:solidFill>
                          <a:ln>
                            <a:noFill/>
                          </a:ln>
                        </wps:spPr>
                        <wps:bodyPr anchorCtr="0" anchor="ctr" bIns="91425" lIns="91425" spcFirstLastPara="1" rIns="91425" wrap="square" tIns="91425">
                          <a:noAutofit/>
                        </wps:bodyPr>
                      </wps:wsp>
                      <wps:wsp>
                        <wps:cNvSpPr/>
                        <wps:cNvPr id="12" name="Shape 12"/>
                        <wps:spPr>
                          <a:xfrm>
                            <a:off x="6350" y="6350"/>
                            <a:ext cx="7559675" cy="181610"/>
                          </a:xfrm>
                          <a:custGeom>
                            <a:rect b="b" l="l" r="r" t="t"/>
                            <a:pathLst>
                              <a:path extrusionOk="0" h="181610" w="7559675">
                                <a:moveTo>
                                  <a:pt x="0" y="181610"/>
                                </a:moveTo>
                                <a:lnTo>
                                  <a:pt x="7559675" y="181610"/>
                                </a:lnTo>
                                <a:lnTo>
                                  <a:pt x="7559675" y="0"/>
                                </a:lnTo>
                                <a:lnTo>
                                  <a:pt x="0" y="0"/>
                                </a:lnTo>
                              </a:path>
                            </a:pathLst>
                          </a:custGeom>
                          <a:noFill/>
                          <a:ln cap="flat" cmpd="sng" w="12700">
                            <a:solidFill>
                              <a:srgbClr val="2E528F"/>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-1015999</wp:posOffset>
              </wp:positionH>
              <wp:positionV relativeFrom="paragraph">
                <wp:posOffset>10502900</wp:posOffset>
              </wp:positionV>
              <wp:extent cx="7572375" cy="194310"/>
              <wp:effectExtent b="0" l="0" r="0" t="0"/>
              <wp:wrapNone/>
              <wp:docPr id="2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72375" cy="1943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482600</wp:posOffset>
              </wp:positionH>
              <wp:positionV relativeFrom="paragraph">
                <wp:posOffset>10134600</wp:posOffset>
              </wp:positionV>
              <wp:extent cx="4736465" cy="203835"/>
              <wp:effectExtent b="0" l="0" r="0" t="0"/>
              <wp:wrapNone/>
              <wp:docPr id="21" name=""/>
              <a:graphic>
                <a:graphicData uri="http://schemas.microsoft.com/office/word/2010/wordprocessingShape">
                  <wps:wsp>
                    <wps:cNvSpPr/>
                    <wps:cNvPr id="13" name="Shape 13"/>
                    <wps:spPr>
                      <a:xfrm>
                        <a:off x="2982530" y="3682845"/>
                        <a:ext cx="472694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1736"/>
                              <w:sz w:val="24"/>
                              <w:vertAlign w:val="baseline"/>
                            </w:rPr>
                            <w:t xml:space="preserve">© IV CONPESQ, 3, 4 e 5 de outubro de 2023, Juazeiro do Norte, CE, Brasil.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482600</wp:posOffset>
              </wp:positionH>
              <wp:positionV relativeFrom="paragraph">
                <wp:posOffset>10134600</wp:posOffset>
              </wp:positionV>
              <wp:extent cx="4736465" cy="203835"/>
              <wp:effectExtent b="0" l="0" r="0" t="0"/>
              <wp:wrapNone/>
              <wp:docPr id="2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473646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2794000</wp:posOffset>
              </wp:positionH>
              <wp:positionV relativeFrom="page">
                <wp:posOffset>288289</wp:posOffset>
              </wp:positionV>
              <wp:extent cx="2148205" cy="544830"/>
              <wp:effectExtent b="0" l="0" r="0" t="0"/>
              <wp:wrapNone/>
              <wp:docPr id="18" name=""/>
              <a:graphic>
                <a:graphicData uri="http://schemas.microsoft.com/office/word/2010/wordprocessingGroup">
                  <wpg:wgp>
                    <wpg:cNvGrpSpPr/>
                    <wpg:grpSpPr>
                      <a:xfrm>
                        <a:off x="4271875" y="3507575"/>
                        <a:ext cx="2148205" cy="544830"/>
                        <a:chOff x="4271875" y="3507575"/>
                        <a:chExt cx="2148250" cy="544850"/>
                      </a:xfrm>
                    </wpg:grpSpPr>
                    <wpg:grpSp>
                      <wpg:cNvGrpSpPr/>
                      <wpg:grpSpPr>
                        <a:xfrm>
                          <a:off x="4271898" y="3507585"/>
                          <a:ext cx="2148204" cy="544829"/>
                          <a:chOff x="0" y="0"/>
                          <a:chExt cx="2148204" cy="544829"/>
                        </a:xfrm>
                      </wpg:grpSpPr>
                      <wps:wsp>
                        <wps:cNvSpPr/>
                        <wps:cNvPr id="3" name="Shape 3"/>
                        <wps:spPr>
                          <a:xfrm>
                            <a:off x="0" y="0"/>
                            <a:ext cx="2148200" cy="54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
                            <a:alphaModFix/>
                          </a:blip>
                          <a:srcRect b="0" l="0" r="0" t="0"/>
                          <a:stretch/>
                        </pic:blipFill>
                        <pic:spPr>
                          <a:xfrm>
                            <a:off x="1076325" y="132714"/>
                            <a:ext cx="989774" cy="210184"/>
                          </a:xfrm>
                          <a:prstGeom prst="rect">
                            <a:avLst/>
                          </a:prstGeom>
                          <a:noFill/>
                          <a:ln>
                            <a:noFill/>
                          </a:ln>
                        </pic:spPr>
                      </pic:pic>
                      <pic:pic>
                        <pic:nvPicPr>
                          <pic:cNvPr id="8" name="Shape 8"/>
                          <pic:cNvPicPr preferRelativeResize="0"/>
                        </pic:nvPicPr>
                        <pic:blipFill rotWithShape="1">
                          <a:blip r:embed="rId2">
                            <a:alphaModFix/>
                          </a:blip>
                          <a:srcRect b="0" l="0" r="0" t="0"/>
                          <a:stretch/>
                        </pic:blipFill>
                        <pic:spPr>
                          <a:xfrm>
                            <a:off x="0" y="0"/>
                            <a:ext cx="2148204" cy="54482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2794000</wp:posOffset>
              </wp:positionH>
              <wp:positionV relativeFrom="page">
                <wp:posOffset>288289</wp:posOffset>
              </wp:positionV>
              <wp:extent cx="2148205" cy="544830"/>
              <wp:effectExtent b="0" l="0" r="0" t="0"/>
              <wp:wrapNone/>
              <wp:docPr id="18"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2148205" cy="5448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2" w:hanging="180"/>
      </w:pPr>
      <w:rPr>
        <w:rFonts w:ascii="Times New Roman" w:cs="Times New Roman" w:eastAsia="Times New Roman" w:hAnsi="Times New Roman"/>
        <w:b w:val="1"/>
        <w:i w:val="0"/>
        <w:color w:val="000009"/>
        <w:sz w:val="24"/>
        <w:szCs w:val="24"/>
      </w:rPr>
    </w:lvl>
    <w:lvl w:ilvl="1">
      <w:start w:val="0"/>
      <w:numFmt w:val="bullet"/>
      <w:lvlText w:val="•"/>
      <w:lvlJc w:val="left"/>
      <w:pPr>
        <w:ind w:left="1152" w:hanging="180"/>
      </w:pPr>
      <w:rPr/>
    </w:lvl>
    <w:lvl w:ilvl="2">
      <w:start w:val="0"/>
      <w:numFmt w:val="bullet"/>
      <w:lvlText w:val="•"/>
      <w:lvlJc w:val="left"/>
      <w:pPr>
        <w:ind w:left="2025" w:hanging="180"/>
      </w:pPr>
      <w:rPr/>
    </w:lvl>
    <w:lvl w:ilvl="3">
      <w:start w:val="0"/>
      <w:numFmt w:val="bullet"/>
      <w:lvlText w:val="•"/>
      <w:lvlJc w:val="left"/>
      <w:pPr>
        <w:ind w:left="2897" w:hanging="180"/>
      </w:pPr>
      <w:rPr/>
    </w:lvl>
    <w:lvl w:ilvl="4">
      <w:start w:val="0"/>
      <w:numFmt w:val="bullet"/>
      <w:lvlText w:val="•"/>
      <w:lvlJc w:val="left"/>
      <w:pPr>
        <w:ind w:left="3770" w:hanging="180"/>
      </w:pPr>
      <w:rPr/>
    </w:lvl>
    <w:lvl w:ilvl="5">
      <w:start w:val="0"/>
      <w:numFmt w:val="bullet"/>
      <w:lvlText w:val="•"/>
      <w:lvlJc w:val="left"/>
      <w:pPr>
        <w:ind w:left="4643" w:hanging="180"/>
      </w:pPr>
      <w:rPr/>
    </w:lvl>
    <w:lvl w:ilvl="6">
      <w:start w:val="0"/>
      <w:numFmt w:val="bullet"/>
      <w:lvlText w:val="•"/>
      <w:lvlJc w:val="left"/>
      <w:pPr>
        <w:ind w:left="5515" w:hanging="180"/>
      </w:pPr>
      <w:rPr/>
    </w:lvl>
    <w:lvl w:ilvl="7">
      <w:start w:val="0"/>
      <w:numFmt w:val="bullet"/>
      <w:lvlText w:val="•"/>
      <w:lvlJc w:val="left"/>
      <w:pPr>
        <w:ind w:left="6388" w:hanging="180"/>
      </w:pPr>
      <w:rPr/>
    </w:lvl>
    <w:lvl w:ilvl="8">
      <w:start w:val="0"/>
      <w:numFmt w:val="bullet"/>
      <w:lvlText w:val="•"/>
      <w:lvlJc w:val="left"/>
      <w:pPr>
        <w:ind w:left="7261"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pt-P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82" w:hanging="180"/>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6" w:lineRule="auto"/>
      <w:ind w:left="2322" w:right="22" w:hanging="1597"/>
    </w:pPr>
    <w:rPr>
      <w:rFonts w:ascii="Times New Roman" w:cs="Times New Roman" w:eastAsia="Times New Roman" w:hAnsi="Times New Roman"/>
      <w:b w:val="1"/>
      <w:sz w:val="32"/>
      <w:szCs w:val="3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pt-PT"/>
    </w:rPr>
  </w:style>
  <w:style w:type="paragraph" w:styleId="BodyText">
    <w:name w:val="Body Text"/>
    <w:basedOn w:val="Normal"/>
    <w:uiPriority w:val="1"/>
    <w:qFormat w:val="1"/>
    <w:pPr>
      <w:ind w:left="102"/>
    </w:pPr>
    <w:rPr>
      <w:rFonts w:ascii="Times New Roman" w:cs="Times New Roman" w:eastAsia="Times New Roman" w:hAnsi="Times New Roman"/>
      <w:sz w:val="24"/>
      <w:szCs w:val="24"/>
      <w:lang w:bidi="ar-SA" w:eastAsia="en-US" w:val="pt-PT"/>
    </w:rPr>
  </w:style>
  <w:style w:type="paragraph" w:styleId="Heading1">
    <w:name w:val="Heading 1"/>
    <w:basedOn w:val="Normal"/>
    <w:uiPriority w:val="1"/>
    <w:qFormat w:val="1"/>
    <w:pPr>
      <w:ind w:left="282" w:hanging="180"/>
      <w:jc w:val="both"/>
      <w:outlineLvl w:val="1"/>
    </w:pPr>
    <w:rPr>
      <w:rFonts w:ascii="Times New Roman" w:cs="Times New Roman" w:eastAsia="Times New Roman" w:hAnsi="Times New Roman"/>
      <w:b w:val="1"/>
      <w:bCs w:val="1"/>
      <w:sz w:val="24"/>
      <w:szCs w:val="24"/>
      <w:lang w:bidi="ar-SA" w:eastAsia="en-US" w:val="pt-PT"/>
    </w:rPr>
  </w:style>
  <w:style w:type="paragraph" w:styleId="Title">
    <w:name w:val="Title"/>
    <w:basedOn w:val="Normal"/>
    <w:uiPriority w:val="1"/>
    <w:qFormat w:val="1"/>
    <w:pPr>
      <w:spacing w:before="86"/>
      <w:ind w:left="2322" w:right="22" w:hanging="1597"/>
    </w:pPr>
    <w:rPr>
      <w:rFonts w:ascii="Times New Roman" w:cs="Times New Roman" w:eastAsia="Times New Roman" w:hAnsi="Times New Roman"/>
      <w:b w:val="1"/>
      <w:bCs w:val="1"/>
      <w:sz w:val="32"/>
      <w:szCs w:val="32"/>
      <w:lang w:bidi="ar-SA" w:eastAsia="en-US" w:val="pt-PT"/>
    </w:rPr>
  </w:style>
  <w:style w:type="paragraph" w:styleId="ListParagraph">
    <w:name w:val="List Paragraph"/>
    <w:basedOn w:val="Normal"/>
    <w:uiPriority w:val="1"/>
    <w:qFormat w:val="1"/>
    <w:pPr>
      <w:ind w:left="282" w:hanging="180"/>
    </w:pPr>
    <w:rPr>
      <w:rFonts w:ascii="Times New Roman" w:cs="Times New Roman" w:eastAsia="Times New Roman" w:hAnsi="Times New Roman"/>
      <w:lang w:bidi="ar-SA" w:eastAsia="en-US" w:val="pt-PT"/>
    </w:rPr>
  </w:style>
  <w:style w:type="paragraph" w:styleId="TableParagraph">
    <w:name w:val="Table Paragraph"/>
    <w:basedOn w:val="Normal"/>
    <w:uiPriority w:val="1"/>
    <w:qFormat w:val="1"/>
    <w:pPr>
      <w:spacing w:line="210" w:lineRule="exact"/>
      <w:jc w:val="center"/>
    </w:pPr>
    <w:rPr>
      <w:rFonts w:ascii="Times New Roman" w:cs="Times New Roman" w:eastAsia="Times New Roman" w:hAnsi="Times New Roman"/>
      <w:lang w:bidi="ar-SA" w:eastAsia="en-US" w:val="pt-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fla.org/wp-content/uploads/2019/05/assets/hq/topics/libraries-development/documents/libraries-un-2030-agenda-toolkit-pt.pdf" TargetMode="External"/><Relationship Id="rId22" Type="http://schemas.openxmlformats.org/officeDocument/2006/relationships/hyperlink" Target="http://www.scielo.br/j/sausoc/a/dGnqs6Q5RZbKgTNn54RRBNG/abstract/?lang=pt" TargetMode="External"/><Relationship Id="rId21" Type="http://schemas.openxmlformats.org/officeDocument/2006/relationships/hyperlink" Target="http://repositorio.febab.org.br/files/original/5/438/IFLA_Goal_Inserts_brasil_4.pdf" TargetMode="External"/><Relationship Id="rId24" Type="http://schemas.openxmlformats.org/officeDocument/2006/relationships/hyperlink" Target="https://edisciplinas.usp.br/pluginfile.php/4245128/mod_resource/content/3/Nosso%20Futuro%20Comum.pdf" TargetMode="External"/><Relationship Id="rId23" Type="http://schemas.openxmlformats.org/officeDocument/2006/relationships/hyperlink" Target="https://edisciplinas.usp.br/pluginfile.php/4245128/mod_resource/content/3/Nosso%20Futuro%20Comu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teses.usp.br/teses/disponiveis/27/27151/tde-26022019-161955/publico/ElisGabrielaCopadosSantosVC.pdf" TargetMode="External"/><Relationship Id="rId25" Type="http://schemas.openxmlformats.org/officeDocument/2006/relationships/hyperlink" Target="https://edisciplinas.usp.br/pluginfile.php/4245128/mod_resource/content/3/Nosso%20Futuro%20Comum.pdf" TargetMode="External"/><Relationship Id="rId28" Type="http://schemas.openxmlformats.org/officeDocument/2006/relationships/hyperlink" Target="https://revista.esmesc.org.br/re/article/view/176/149" TargetMode="External"/><Relationship Id="rId27" Type="http://schemas.openxmlformats.org/officeDocument/2006/relationships/hyperlink" Target="https://teses.usp.br/teses/disponiveis/27/27151/tde-26022019-161955/publico/ElisGabrielaCopadosSantosVC.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repository.ifla.org/handle/123456789/189" TargetMode="External"/><Relationship Id="rId7" Type="http://schemas.openxmlformats.org/officeDocument/2006/relationships/image" Target="media/image11.png"/><Relationship Id="rId8" Type="http://schemas.openxmlformats.org/officeDocument/2006/relationships/image" Target="media/image4.png"/><Relationship Id="rId31" Type="http://schemas.openxmlformats.org/officeDocument/2006/relationships/hyperlink" Target="http://repositorio.febab.org.br/items/show/6247" TargetMode="External"/><Relationship Id="rId30" Type="http://schemas.openxmlformats.org/officeDocument/2006/relationships/hyperlink" Target="http://ignacysachs.blogspot.com/2008/12/o-trip-do-" TargetMode="External"/><Relationship Id="rId11" Type="http://schemas.openxmlformats.org/officeDocument/2006/relationships/footer" Target="footer1.xml"/><Relationship Id="rId10" Type="http://schemas.openxmlformats.org/officeDocument/2006/relationships/image" Target="media/image10.png"/><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hyperlink" Target="https://www.bn.gov.br/sites/default/files/documentos/miscelanea/2015/bibliotecapublica_principiosdiretrizes_edicao2.pdf" TargetMode="External"/><Relationship Id="rId14" Type="http://schemas.openxmlformats.org/officeDocument/2006/relationships/hyperlink" Target="https://periodicos.ifs.edu.br/periodicos/fontesdocumentais/article/view/1354" TargetMode="External"/><Relationship Id="rId17" Type="http://schemas.openxmlformats.org/officeDocument/2006/relationships/image" Target="media/image5.png"/><Relationship Id="rId16" Type="http://schemas.openxmlformats.org/officeDocument/2006/relationships/hyperlink" Target="https://www.bn.gov.br/sites/default/files/documentos/miscelanea/2015/bibliotecapublica_principiosdiretrizes_edicao2.pdf" TargetMode="External"/><Relationship Id="rId19" Type="http://schemas.openxmlformats.org/officeDocument/2006/relationships/hyperlink" Target="https://www.ifla.org/wp-content/uploads/2019/05/assets/hq/topics/libraries-development/documents/libraries-un-2030-agenda-toolkit-pt.pdf" TargetMode="External"/><Relationship Id="rId18" Type="http://schemas.openxmlformats.org/officeDocument/2006/relationships/hyperlink" Target="https://www.ifla.org/wp-content/uploads/2019/05/assets/hq/topics/libraries-development/documents/libraries-un-2030-agenda-toolkit-pt.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eM1KUteklc2ZOFx0P3uWiPvpg==">CgMxLjA4AHIhMTU1SWhNSENEYnF0TDhybHMyRjRjVXR1dGEyQ1ZLdXV0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2023-10-25T20:38:45Z</dcterms:created>
  <dc:creator>DGI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2023-08-01T00:00:00Z</vt:filetime>
  </property>
  <property fmtid="{D5CDD505-2E9C-101B-9397-08002B2CF9AE}" pid="3" name="Creator">
    <vt:lpwstr>Microsoft® Word para Microsoft 365</vt:lpwstr>
  </property>
  <property fmtid="{D5CDD505-2E9C-101B-9397-08002B2CF9AE}" pid="4" name="LastSaved">
    <vt:filetime>2023-10-25T00:00:00Z</vt:filetime>
  </property>
  <property fmtid="{D5CDD505-2E9C-101B-9397-08002B2CF9AE}" pid="5" name="Producer">
    <vt:lpwstr>Microsoft® Word para Microsoft 365</vt:lpwstr>
  </property>
</Properties>
</file>