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spacing w:before="720" w:after="480"/>
        <w:jc w:val="center"/>
        <w:rPr>
          <w:b/>
          <w:sz w:val="32"/>
          <w:szCs w:val="32"/>
        </w:rPr>
      </w:pPr>
      <w:r>
        <w:rPr>
          <w:b/>
          <w:sz w:val="32"/>
          <w:szCs w:val="32"/>
        </w:rPr>
        <w:t>BREVES APONTAMENTOS SOBRE UM POSSÍVEL PROGRAMA DE COMBATE A INSEGURANÇA ALIMENTAR ATRAVÉS DE INCENTIVOS FISCAIS</w:t>
      </w:r>
    </w:p>
    <w:p>
      <w:pPr>
        <w:ind w:firstLine="0"/>
        <w:spacing w:before="120"/>
        <w:jc w:val="right"/>
        <w:suppressAutoHyphens/>
        <w:hyphenationLines w:val="0"/>
        <w:tabs defTabSz="708"/>
        <w:rPr>
          <w:rFonts w:eastAsia="Arial Unicode MS"/>
          <w:lang w:bidi="ar-sa"/>
        </w:rPr>
      </w:pPr>
      <w:r>
        <w:rPr>
          <w:rFonts w:eastAsia="Arial Unicode MS"/>
          <w:b/>
          <w:bCs/>
          <w:lang w:bidi="ar-sa"/>
        </w:rPr>
        <w:t>Valdemberg Alves Nobre</w:t>
      </w:r>
      <w:r>
        <w:rPr>
          <w:rStyle w:val="char12"/>
          <w:rFonts w:eastAsia="Arial Unicode MS"/>
          <w:b/>
          <w:bCs/>
          <w:lang w:bidi="ar-sa"/>
        </w:rPr>
      </w:r>
      <w:r>
        <w:rPr>
          <w:rStyle w:val="char12"/>
          <w:rFonts w:eastAsia="Arial Unicode MS"/>
          <w:b/>
          <w:bCs/>
          <w:lang w:bidi="ar-sa"/>
        </w:rPr>
        <w:footnoteReference w:id="1"/>
      </w:r>
      <w:r>
        <w:rPr>
          <w:rFonts w:eastAsia="Arial Unicode MS"/>
          <w:lang w:bidi="ar-sa"/>
        </w:rPr>
      </w:r>
    </w:p>
    <w:p>
      <w:pPr>
        <w:ind w:firstLine="0"/>
        <w:spacing w:before="120"/>
        <w:jc w:val="right"/>
        <w:suppressAutoHyphens/>
        <w:hyphenationLines w:val="0"/>
        <w:tabs defTabSz="708"/>
        <w:rPr>
          <w:rFonts w:eastAsia="Arial Unicode MS"/>
          <w:lang w:bidi="ar-sa"/>
        </w:rPr>
      </w:pPr>
      <w:r>
        <w:rPr>
          <w:rFonts w:eastAsia="Arial Unicode MS"/>
          <w:lang w:bidi="ar-sa"/>
        </w:rPr>
      </w:r>
    </w:p>
    <w:p>
      <w:pPr>
        <w:ind w:firstLine="0"/>
        <w:spacing w:before="240" w:after="2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rPr>
      </w:pPr>
      <w:r>
        <w:rPr>
          <w:b/>
        </w:rPr>
        <w:t>RESUMO</w:t>
      </w:r>
      <w:r>
        <w:t>: É nítido o desenvolvimento geral que a humanidade obteve ao longo do tempo, mas esse desenvolvimento possui ainda exceções. A insegurança alimentar cresceu nos últimos anos ao redor do mundo, e o Brasil não é exceção nessas estatísticas, sendo inclusive preocupante a situação da segurança alimentar no país. Fica evidente a necessidade de políticas públicas a fim de reverter essa situação. Surge a pergunta problema deste trabalho, como criar soluções que possam ajudar a diminuir a insegurança alimentar, especialmente a nível local? Assim, o objetivo do trabalho foi sugerir alguns direcionamentos sobre a criação de um programa de refeição solidária através de incentivos fiscais que possa diminuir a insegurança alimentar a nível local.  Foi realizada uma pesquisa bibliográfica e documental com abordagem qualitativa, baseada na legislação, doutrina e artigos sobre o tema de tributos e possibilidades de incentivos fiscais. Embora o programa de refeição social aqui sugerido ainda necessite de muitas outras considerações e definições, o objetivo do trabalho foi cumprido na medida em que foram realizadas as diretivas gerais sobre a criação e funcionamento dessa política pública, permitindo pesquisas futuras sobre a elaboração e implantação prática desse programa em qualquer município.</w:t>
      </w:r>
      <w:r>
        <w:rPr>
          <w:b/>
        </w:rPr>
      </w:r>
    </w:p>
    <w:p>
      <w:pPr>
        <w:ind w:firstLine="0"/>
        <w:spacing w:before="240" w:after="2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rPr>
      </w:pPr>
      <w:r>
        <w:rPr>
          <w:b/>
        </w:rPr>
        <w:t>PALAVRAS-CHAVE</w:t>
      </w:r>
      <w:r>
        <w:t>: incentivos fiscais; benefícios fiscais; insegurança alimentar.</w:t>
      </w:r>
      <w:r>
        <w:rPr>
          <w:b/>
        </w:rPr>
      </w:r>
    </w:p>
    <w:p>
      <w:pPr>
        <w:ind w:firstLine="0"/>
        <w:spacing w:before="240" w:after="2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rPr>
      </w:pPr>
      <w:r>
        <w:rPr>
          <w:b/>
        </w:rPr>
        <w:t>ABSTRACT</w:t>
      </w:r>
      <w:r>
        <w:t>: The overall development that humanity has achieved over time is clear, but this development still has some exceptions. Food insecurity has grown in recent years around the world, and Brazil is no exception to these numbers, as the food security status in the country is even worrying. The need for public policies to reverse this situation is evident. With this, the main question of this work arises, how to create solutions that can help reduce food insecurity, especially at the local level? Thus, the objective of the work was to suggest some guidelines on the creation of a solidarity meal program through tax incentives that can reduce food insecurity at the local level. A bibliographical and document research was carried out with a qualitative approach, based on legislation, doctrine and articles on the subject of taxes and possibilities of tax incentives. Although the social meal program suggested here still requires many other considerations and definitions, the objective of the work was fulfilled insofar as the general directives on the creation and operation of this public policy were carried out, allowing future research on the elaboration and practical implementation of this program in any municipality.</w:t>
      </w:r>
      <w:r>
        <w:rPr>
          <w:b/>
        </w:rPr>
      </w:r>
    </w:p>
    <w:p>
      <w:pPr>
        <w:ind w:firstLine="0"/>
        <w:spacing w:before="240" w:after="2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b/>
        </w:rPr>
        <w:t>Keywords</w:t>
      </w:r>
      <w:r>
        <w:t>: tax incentives; tax benefits; food insecurity.</w:t>
      </w:r>
    </w:p>
    <w:p>
      <w:pPr>
        <w:ind w:firstLine="0"/>
        <w:spacing w:after="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rPr>
      </w:pPr>
      <w:r>
        <w:rPr>
          <w:b/>
        </w:rPr>
      </w:r>
    </w:p>
    <w:p>
      <w:pPr>
        <w:ind w:firstLine="0"/>
        <w:spacing w:after="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rPr>
      </w:pPr>
      <w:r>
        <w:rPr>
          <w:b/>
        </w:rPr>
      </w:r>
    </w:p>
    <w:p>
      <w:pPr>
        <w:ind w:firstLine="0"/>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smallCaps/>
        </w:rPr>
      </w:pPr>
      <w:r>
        <w:rPr>
          <w:b/>
          <w:smallCaps/>
        </w:rPr>
        <w:t>1 INTRODUÇÃO</w:t>
      </w:r>
    </w:p>
    <w:p>
      <w:pPr>
        <w:ind w:firstLine="0"/>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smallCaps/>
        </w:rPr>
      </w:pPr>
      <w:r>
        <w:rPr>
          <w:b/>
          <w:smallCaps/>
        </w:rPr>
      </w:r>
    </w:p>
    <w:p>
      <w:pPr>
        <w:spacing w:line="360" w:lineRule="auto"/>
      </w:pPr>
      <w:r>
        <w:t>A humanidade constantemente busca o desenvolvimento e segurança da espécie, seja com avanços científicos, como novas tecnologias e invenções inimagináveis há poucos anos atrás, seja com medidas que previnam sofrimento e mortes evitáveis (tais como a redução da violência, das desigualdades econômicas e sociais).</w:t>
      </w:r>
    </w:p>
    <w:p>
      <w:pPr>
        <w:spacing w:line="360" w:lineRule="auto"/>
      </w:pPr>
      <w:r>
        <w:t>Entretanto, certos problemas persistem e, por vezes, crescem em meio a essa questão de desenvolvimento. A insegurança alimentar infelizmente tem sido um desses problemas. À contra-senso do desenvolvimento geral que a humanidade obteve, a insegurança alimentar cresceu nos últimos anos ao redor do mundo. Esses dados são obtidos através do Relatório anual que a FAO divulga sobre a como estão a situação da fome e insegurança alimentar no mundo, com dados mostrando que em 2017, cerca de 7,7% da população mundial estava em situação de desnutrição. Esse número logo subiu para 9,8% em 2021 (FAO, 2022, p. 14).</w:t>
      </w:r>
    </w:p>
    <w:p>
      <w:pPr>
        <w:spacing w:line="360" w:lineRule="auto"/>
      </w:pPr>
      <w:r>
        <w:t>O Brasil não é exceção nessas estatísticas, sendo inclusive preocupante a situação da segurança alimentar no país. Embora ocorreram avanços significativos para reduzir essa cifra, cabendo destacar a saída em 2014 do Mapa da Fome elaborado pela FAO. Infelizmente, nos últimos anos, a situação se inverteu e a fome no Brasil piorou, levando o país de volta ao Mapa da Fome, com cerca de 4,1% da população em situação de fome crônica (PATRIOLINO, 2022). Outros dados demonstram que a insegurança alimentar no Brasil, em qualquer grau, atinge 58,7% da população total do país (Rede PENSSAN, 2022, p. 36).</w:t>
      </w:r>
    </w:p>
    <w:p>
      <w:pPr>
        <w:spacing w:line="360" w:lineRule="auto"/>
      </w:pPr>
      <w:r>
        <w:t>O estado do Ceará, de forma mais específica, tem cerca de 81,9% da população estando em situação de qualquer tipo de insegurança alimentar, colocando o estado como 1° do Brasil nessa estatística terrível (PIMENTEL, 2022). Fica evidente a necessidade de políticas públicas a fim de reverter essa situação. Surge a pergunta problema deste trabalho, como criar soluções que possam ajudar a diminuir a insegurança alimentar, especialmente a nível local?</w:t>
      </w:r>
    </w:p>
    <w:p>
      <w:pPr>
        <w:spacing w:line="360" w:lineRule="auto"/>
      </w:pPr>
      <w:r>
        <w:t>É justamente para responder essa pergunta que o presente trabalho busca sugerir alguns direcionamentos sobre a criação de um programa de refeição solidária através de incentivos fiscais que possa diminuir a insegurança alimentar a nível local. Foi realizada uma pesquisa bibliográfica e documental com abordagem qualitativa, baseada na legislação, doutrina e artigos sobre o tema de tributos e possibilidades de incentivos fiscais. Em especial, foi utilizado como exemplos algumas leis que versam sobre benefícios fiscais concedidos no município de Juazeiro de Norte e como algo semelhante poderia ser utilizado como forma de diminuir a insegurança alimentar a nível municipal.</w:t>
      </w:r>
    </w:p>
    <w:p>
      <w:pPr>
        <w:ind w:firstLine="0"/>
        <w:spacing w:line="360" w:lineRule="auto"/>
      </w:pPr>
      <w:r/>
    </w:p>
    <w:p>
      <w:pPr>
        <w:ind w:firstLine="0"/>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smallCaps/>
        </w:rPr>
      </w:pPr>
      <w:r>
        <w:rPr>
          <w:b/>
          <w:smallCaps/>
        </w:rPr>
        <w:t>2 PROCEDIMENTOS METODOLÓGICOS</w:t>
      </w:r>
    </w:p>
    <w:p>
      <w:pPr>
        <w:ind w:firstLine="0"/>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smallCaps/>
        </w:rPr>
      </w:pPr>
      <w:r>
        <w:rPr>
          <w:b/>
          <w:smallCaps/>
        </w:rPr>
      </w:r>
    </w:p>
    <w:p>
      <w:pPr>
        <w:ind w:firstLine="708"/>
        <w:spacing w:line="360" w:lineRule="auto"/>
        <w:widowControl/>
        <w:rPr>
          <w:color w:val="000000"/>
        </w:rPr>
      </w:pPr>
      <w:r>
        <w:rPr>
          <w:color w:val="000000"/>
        </w:rPr>
        <w:t>O programa aqui pensado, de forma simplificada, funcionaria por um sistema de adesão, no qual empresas do setor de alimentação e fornecimento de alimentos preparados - restaurantes e lanchonetes - podem solicitar aplicação de benefício fiscal enquanto se comprometem a servir, de forma regulamentada, refeições de forma gratuita ou a preços sociais acessíveis. A criação, execução e fiscalização ficaria a cargo do município, que aprovaria uma lei específica a fim de regulamentar o benefício fiscal e dessa forma é feito o controle direto e indireto do funcionamento do programa através de ferramentas digitais e participação popular.</w:t>
      </w:r>
    </w:p>
    <w:p>
      <w:pPr>
        <w:ind w:firstLine="708"/>
        <w:spacing w:line="360" w:lineRule="auto"/>
        <w:widowControl/>
        <w:rPr>
          <w:color w:val="000000"/>
        </w:rPr>
      </w:pPr>
      <w:r>
        <w:rPr>
          <w:color w:val="000000"/>
        </w:rPr>
        <w:tab/>
        <w:t>Para fazer um levantamento prévio do possível alcance do programa, foi realizado pesquisa na ferramenta do Ministério do Trabalho que usa os dados da RAIS - Relação Anual de Informações Sociais, selecionando os filtros determinados pelo autor nesta pesquisa, para saber a quantidade de estabelecimentos que provavelmente poderiam adentrar no programa e fornecer as refeições.</w:t>
      </w:r>
    </w:p>
    <w:p>
      <w:pPr>
        <w:ind w:firstLine="708"/>
        <w:spacing w:line="360" w:lineRule="auto"/>
        <w:widowControl/>
        <w:rPr>
          <w:color w:val="000000"/>
        </w:rPr>
      </w:pPr>
      <w:r>
        <w:rPr>
          <w:color w:val="000000"/>
        </w:rPr>
        <w:t>Os filtros utilizados são: anos igual a 2021, município de localização do estabelecimento igual a Juazeiro do Norte, Subclasse de Atividade Econômica segundo Classificação CNAE - Versão 2.0 igual a Restaurantes e Similares, Fornecimento de Alimentos Preparados Preponderantemente para Consumo Domiciliar, Lanchonetes, Casas de Chá, de Sucos e Similares (RAIS, 2022). Os números das subclasses das CNAEs selecionadas são, respectivamente, 5611-2/01, 5611-2/03 e 5620-1/04 (IBGE, 2022).</w:t>
      </w:r>
    </w:p>
    <w:p>
      <w:pPr>
        <w:ind w:firstLine="708"/>
        <w:spacing w:line="360" w:lineRule="auto"/>
        <w:widowControl/>
        <w:rPr>
          <w:color w:val="000000"/>
        </w:rPr>
      </w:pPr>
      <w:r>
        <w:rPr>
          <w:color w:val="000000"/>
        </w:rPr>
        <w:tab/>
        <w:t>Para fins de comparação, o município de Juazeiro do Norte já implementou benefícios fiscais através de leis municipais, como é o caso da Lei nº 4204, de 14 de junho de 2013, que “Concede incentivo fiscal para empresas do segmento de CALL CENTER (...)” (JUAZEIRO DO NORTE, 2013), ou ainda a Lei nº 3188, de 06 de setembro de 2007, que trata de forma mais geral sobre incentivos fiscais para as empresas que “se instalarem no Município de Juazeiro do Norte ou que nele ampliem suas atividades” (JUAZEIRO DO NORTE, 2007).</w:t>
      </w:r>
    </w:p>
    <w:p>
      <w:pPr>
        <w:ind w:firstLine="708"/>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mallCaps/>
        </w:rPr>
      </w:pPr>
      <w:r>
        <w:rPr>
          <w:smallCaps/>
        </w:rPr>
      </w:r>
    </w:p>
    <w:p>
      <w:pPr>
        <w:ind w:firstLine="0"/>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smallCaps/>
        </w:rPr>
      </w:pPr>
      <w:r>
        <w:rPr>
          <w:b/>
          <w:smallCaps/>
        </w:rPr>
        <w:t>3 REFERENCIAL TEÓRICO</w:t>
      </w:r>
    </w:p>
    <w:p>
      <w:pPr>
        <w:ind w:firstLine="0"/>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smallCaps/>
        </w:rPr>
      </w:pPr>
      <w:r>
        <w:rPr>
          <w:b/>
          <w:smallCaps/>
        </w:rPr>
      </w:r>
    </w:p>
    <w:p>
      <w:pPr>
        <w:ind w:firstLine="708"/>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smallCaps/>
        </w:rPr>
        <w:tab/>
      </w:r>
      <w:r>
        <w:rPr>
          <w:color w:val="000000"/>
        </w:rPr>
        <w:t>O foco deste trabalho está mais relacionado a exploração e possibilidade, de caráter sugestivo, consistindo de breves apontamentos e com abordagem geral sobre o desenho institucional de um programa de refeição social através de incentivos fiscais. Portanto, não foram analisadas questões como quais os tributos que incidem no objeto de análise, o cálculo das alíquotas específicas ou as divergências doutrinárias sobre os assuntos.</w:t>
      </w:r>
      <w:r>
        <w:rPr>
          <w:color w:val="000000"/>
        </w:rPr>
      </w:r>
    </w:p>
    <w:p>
      <w:pPr>
        <w:ind w:firstLine="708"/>
        <w:spacing w:line="360" w:lineRule="auto"/>
        <w:widowControl/>
        <w:rPr>
          <w:color w:val="000000"/>
        </w:rPr>
      </w:pPr>
      <w:r>
        <w:rPr>
          <w:color w:val="000000"/>
        </w:rPr>
        <w:t>Mesmo assim, é importante que de forma inicial sejam aqui fornecidas conceitos e explicações concisas sobre o que são os tributos, a competência legislativa relativa aos mesmos e o que são os incentivos e benefícios fiscais.</w:t>
      </w:r>
    </w:p>
    <w:p>
      <w:pPr>
        <w:ind w:firstLine="708"/>
        <w:spacing w:line="360" w:lineRule="auto"/>
        <w:widowControl/>
        <w:rPr>
          <w:color w:val="000000"/>
        </w:rPr>
      </w:pPr>
      <w:r>
        <w:rPr>
          <w:color w:val="000000"/>
        </w:rPr>
        <w:t>Como base para definir tributos, é possível recorrer ao próprio Código Tributário, que fala no art. 3°:</w:t>
      </w:r>
    </w:p>
    <w:p>
      <w:pPr>
        <w:ind w:left="2267" w:firstLine="0"/>
        <w:spacing w:before="120" w:line="360" w:lineRule="auto"/>
        <w:widowControl/>
        <w:rPr>
          <w:color w:val="000000"/>
          <w:sz w:val="20"/>
          <w:szCs w:val="20"/>
        </w:rPr>
      </w:pPr>
      <w:r>
        <w:rPr>
          <w:color w:val="000000"/>
          <w:sz w:val="20"/>
          <w:szCs w:val="20"/>
        </w:rPr>
        <w:t>“Tributo é toda prestação pecuniária compulsória, em moeda ou cujo valor nela se possa exprimir, que não constitua sanção de ato ilícito, instituída em lei e cobrada mediante atividade administrativa plenamente vinculada” (BRASIL, 1966).</w:t>
      </w:r>
    </w:p>
    <w:p>
      <w:pPr>
        <w:ind w:firstLine="0"/>
        <w:spacing w:line="360" w:lineRule="auto"/>
        <w:widowControl/>
        <w:rPr>
          <w:color w:val="000000"/>
        </w:rPr>
      </w:pPr>
      <w:r>
        <w:rPr>
          <w:color w:val="000000"/>
        </w:rPr>
        <w:t>Já uma definição doutrinária define tributo de forma mais extensa como:</w:t>
      </w:r>
    </w:p>
    <w:p>
      <w:pPr>
        <w:ind w:left="2267" w:firstLine="0"/>
        <w:spacing w:before="120"/>
        <w:widowControl/>
        <w:rPr>
          <w:color w:val="000000"/>
        </w:rPr>
      </w:pPr>
      <w:r>
        <w:rPr>
          <w:color w:val="000000"/>
          <w:sz w:val="20"/>
          <w:szCs w:val="20"/>
        </w:rPr>
        <w:t>“prestação em dinheiro exigida compulsoriamente, pelos entes políticos ou por outras pessoas jurídicas de direito público, de pessoas físicas ou jurídicas, com ou sem promessa de devolução, forte na ocorrência de situação estabelecida por lei que revele sua capacidade contributiva ou que consubstancie atividade estatal a elas diretamente relacionada, com vista à obtenção de recursos para o financiamento geral do Estado, para o financiamento de fins específicos realizados e promovidos pelo próprio Estado ou por terceiros em prol do interesse público” (PAULSEN, 2022, p. 52).</w:t>
      </w:r>
      <w:r>
        <w:rPr>
          <w:color w:val="000000"/>
        </w:rPr>
      </w:r>
    </w:p>
    <w:p>
      <w:pPr>
        <w:ind w:firstLine="708"/>
        <w:spacing w:line="360" w:lineRule="auto"/>
        <w:widowControl/>
        <w:rPr>
          <w:color w:val="000000"/>
        </w:rPr>
      </w:pPr>
      <w:r>
        <w:rPr>
          <w:color w:val="000000"/>
        </w:rPr>
        <w:t>Conforme estas definições, tanto a legal quanto doutrinária, percebe-se as características que o tributo possui de prestação pecuniária, compulsoriedade, legalidade estrita e administrativa. Mas o tributo possui, como a própria definição de Paulsen faz, função de manutenção do Estado e seus serviços à coletividade. Importante mencionar esse atributo, pois o próprio autor destaca que a tributação “é instrumento da sociedade para a consecução dos seus próprios objetivos” (PAULSEN, 2020, p. 27). Sendo assim, é lógico pensar que a razão de existir do tributo nada mais é do que o custeio de um estado democrático de direito, pautado especialmente no bem-estar social e em políticas públicas que alcancem os objetivos sociais, exemplificados na própria Constituição Federal de 1988:</w:t>
      </w:r>
    </w:p>
    <w:p>
      <w:pPr>
        <w:ind w:left="2267" w:firstLine="0"/>
        <w:spacing w:before="120"/>
        <w:widowControl/>
        <w:rPr>
          <w:color w:val="000000"/>
          <w:sz w:val="20"/>
          <w:szCs w:val="20"/>
        </w:rPr>
      </w:pPr>
      <w:r>
        <w:rPr>
          <w:color w:val="000000"/>
          <w:sz w:val="20"/>
          <w:szCs w:val="20"/>
        </w:rPr>
        <w:t>“Art. 3º Constituem objetivos fundamentais da República Federativa do Brasil:</w:t>
      </w:r>
    </w:p>
    <w:p>
      <w:pPr>
        <w:ind w:left="2267" w:firstLine="0"/>
        <w:spacing w:before="120"/>
        <w:widowControl/>
        <w:rPr>
          <w:color w:val="000000"/>
          <w:sz w:val="20"/>
          <w:szCs w:val="20"/>
        </w:rPr>
      </w:pPr>
      <w:r>
        <w:rPr>
          <w:color w:val="000000"/>
          <w:sz w:val="20"/>
          <w:szCs w:val="20"/>
        </w:rPr>
        <w:t>I - construir uma sociedade livre, justa e solidária;</w:t>
      </w:r>
    </w:p>
    <w:p>
      <w:pPr>
        <w:ind w:left="2267" w:firstLine="0"/>
        <w:spacing w:before="120"/>
        <w:widowControl/>
        <w:rPr>
          <w:color w:val="000000"/>
          <w:sz w:val="20"/>
          <w:szCs w:val="20"/>
        </w:rPr>
      </w:pPr>
      <w:r>
        <w:rPr>
          <w:color w:val="000000"/>
          <w:sz w:val="20"/>
          <w:szCs w:val="20"/>
        </w:rPr>
        <w:t>II - garantir o desenvolvimento nacional;</w:t>
      </w:r>
    </w:p>
    <w:p>
      <w:pPr>
        <w:ind w:left="2267" w:firstLine="0"/>
        <w:spacing w:before="120"/>
        <w:widowControl/>
        <w:rPr>
          <w:color w:val="000000"/>
          <w:sz w:val="20"/>
          <w:szCs w:val="20"/>
        </w:rPr>
      </w:pPr>
      <w:r>
        <w:rPr>
          <w:color w:val="000000"/>
          <w:sz w:val="20"/>
          <w:szCs w:val="20"/>
        </w:rPr>
        <w:t>III - erradicar a pobreza e a marginalização e reduzir as desigualdades sociais e regionais;</w:t>
      </w:r>
    </w:p>
    <w:p>
      <w:pPr>
        <w:ind w:left="2267" w:firstLine="0"/>
        <w:spacing w:before="120"/>
        <w:widowControl/>
        <w:rPr>
          <w:color w:val="000000"/>
          <w:sz w:val="20"/>
          <w:szCs w:val="20"/>
        </w:rPr>
      </w:pPr>
      <w:r>
        <w:rPr>
          <w:color w:val="000000"/>
          <w:sz w:val="20"/>
          <w:szCs w:val="20"/>
        </w:rPr>
        <w:t>IV - promover o bem de todos, sem preconceitos de origem, raça, sexo, cor, idade e quaisquer outras formas de discriminação.” (BRASIL, 1988)</w:t>
      </w:r>
    </w:p>
    <w:p>
      <w:pPr>
        <w:ind w:firstLine="708"/>
        <w:spacing w:line="360" w:lineRule="auto"/>
        <w:widowControl/>
        <w:rPr>
          <w:color w:val="000000"/>
        </w:rPr>
      </w:pPr>
      <w:r>
        <w:rPr>
          <w:color w:val="000000"/>
        </w:rPr>
        <w:tab/>
        <w:t>Não por acaso o inciso III do artigo anterior expressa a busca da erradicação da pobreza e a redução das desigualdades de qualquer tipo. A insegurança alimentar, como ficou claro na introdução, ocorre justamente pela persistência desses problemas na sociedade brasileira. Assim, o instrumento de tributação deve ser usado não como um fim em si mesmo - arrecadar por arrecadar - mas sim visando sempre sua função social.</w:t>
      </w:r>
    </w:p>
    <w:p>
      <w:pPr>
        <w:ind w:firstLine="708"/>
        <w:spacing w:line="360" w:lineRule="auto"/>
        <w:widowControl/>
        <w:rPr>
          <w:color w:val="000000"/>
        </w:rPr>
      </w:pPr>
      <w:r>
        <w:rPr>
          <w:color w:val="000000"/>
        </w:rPr>
        <w:tab/>
        <w:t>Deve-se olhar primeiro para a Constituição para encontrar a regulamentação, de forma geral e limitativa, sobre a competência em matéria tributária. As disposições estão concentradas no Título VI, Capítulo I da Carta Cidadã, que trata “Do Sistema Tributário Nacional”. Do texto constitucional, é importante para os objetivos deste trabalho chamar a atenção para o arts. 145 e o 156, que tratam da classificação de tributos que a União, os Estados, o Distrito Federal e os Municípios poderão instituir e sobre a competência municipal para cobrar impostos, respectivamente (BRASIL, 1988). Por conta da abordagem local adotada neste trabalho, será sobre esses impostos municipais que o benefício fiscal pensado será aplicado.</w:t>
      </w:r>
    </w:p>
    <w:p>
      <w:pPr>
        <w:ind w:firstLine="708"/>
        <w:spacing w:line="360" w:lineRule="auto"/>
        <w:widowControl/>
        <w:rPr>
          <w:color w:val="000000"/>
        </w:rPr>
      </w:pPr>
      <w:r>
        <w:rPr>
          <w:color w:val="000000"/>
        </w:rPr>
        <w:tab/>
        <w:t>Para realizar uma espécie de medida coercitiva benéfica, o poder público recorre aos Incentivos ou Benefícios Fiscais, que “implicam uma redução do montante do tributo, que não se justifica por menor capacidade contributiva” (SHOUERI, 2019, p. 762). Essa redução se justifica tanto para fins de gerenciamento de políticas de desenvolvimento econômico como também para implementar ou auxiliar projetos sociais, sejam eles públicos ou privados.</w:t>
      </w:r>
    </w:p>
    <w:p>
      <w:pPr>
        <w:ind w:firstLine="708"/>
        <w:spacing w:line="360" w:lineRule="auto"/>
        <w:widowControl/>
        <w:rPr>
          <w:color w:val="000000"/>
        </w:rPr>
      </w:pPr>
      <w:r>
        <w:rPr>
          <w:color w:val="000000"/>
        </w:rPr>
        <w:t>A fim de recolher dados sobre a insegurança alimentar no Brasil e em algumas localidades específicas, como o Ceará, foram utilizados os dados da Rede PENSSAN, que publica periodicamente relatórios sobre os diferentes índices de insegurança alimentar e sua persistência (</w:t>
      </w:r>
      <w:r>
        <w:t>Rede PENSSAN, 2022</w:t>
      </w:r>
      <w:r>
        <w:rPr>
          <w:color w:val="000000"/>
        </w:rPr>
        <w:t>). No relatório consultado, há diversas variáveis que contribuem para uma análise dos fatores que permeiam a insegurança alimentar.</w:t>
      </w:r>
      <w:r>
        <w:rPr>
          <w:color w:val="000000"/>
        </w:rPr>
      </w:r>
    </w:p>
    <w:p>
      <w:pPr>
        <w:ind w:firstLine="708"/>
        <w:spacing w:line="360" w:lineRule="auto"/>
        <w:widowControl/>
        <w:rPr>
          <w:color w:val="000000"/>
        </w:rPr>
      </w:pPr>
      <w:r>
        <w:rPr>
          <w:color w:val="000000"/>
        </w:rPr>
      </w:r>
    </w:p>
    <w:p>
      <w:pPr>
        <w:ind w:firstLine="0"/>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smallCaps/>
        </w:rPr>
      </w:pPr>
      <w:r>
        <w:rPr>
          <w:b/>
          <w:smallCaps/>
        </w:rPr>
        <w:t>4 APRESENTAÇÃO E DISCUSSÃO DOS RESULTADOS</w:t>
      </w:r>
    </w:p>
    <w:p>
      <w:pPr>
        <w:ind w:firstLine="0"/>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mallCaps/>
        </w:rPr>
      </w:pPr>
      <w:r>
        <w:rPr>
          <w:smallCaps/>
        </w:rPr>
      </w:r>
    </w:p>
    <w:p>
      <w:pPr>
        <w:ind w:firstLine="0"/>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ab/>
        <w:t>O programa aqui discutido, de refeição solidária através de benefícios fiscais, trata o problema da má distribuição e baixa segurança alimentar a nível local. Os objetivos do aqui idealizados seriam implementados através de lei municipal.</w:t>
      </w:r>
    </w:p>
    <w:p>
      <w:pPr>
        <w:ind w:firstLine="720"/>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Dessa forma, o programa seria adaptado às realidades locais, seguindo as regulamentações do ordenamento jurídico pátrio, especialmente sobre limitações das alíquotas mínimas e competência tributária para legislar do ente federativo. A exemplo do que ocorre com as leis mencionadas na metodologia, o município possui autonomia em relação aos tributos de sua competência, sempre seguindo os limites constitucionais e legais.</w:t>
      </w:r>
    </w:p>
    <w:p>
      <w:pPr>
        <w:ind w:firstLine="0"/>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ab/>
        <w:t>O público alvo do programa de refeição social seriam os grupos vulneráveis e que estejam efetivamente cadastrados em lista que comprove esse tipo de situação, tais como CadÚnico ou outro instituído pelo poder municipal, o que permitiria uma destinação correta das refeições para aqueles que mais precisam. Dessa forma, a segurança alimentar do município aumentaria e contribuiria para equilibrar desigualdades econômicas e sociais causadas pela falta de acesso à uma alimentação básica que garanta nutrição correta do cidadão.</w:t>
      </w:r>
    </w:p>
    <w:p>
      <w:pPr>
        <w:ind w:firstLine="0"/>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ab/>
        <w:t>Para efetiva fiscalização do programa, o município teria equipe própria, pertencente à secretaria competente para fiscalização de tributos, que faria regularmente a visita aos estabelecimentos adeptos do programa e conduziria inspeções periódicas para observar o cumprimento normativo da lei que regulamentaria o programa de refeições sociais. Esse tipo de conduta seria o controle direito do programa. Com base em dados de acesso público e políticas de transparência, a população poderia observar quais estabelecimentos participam, quantas refeições eles disponibilizam, a quem foi feito esse repasse e quaisquer outros dados que garantam uma política de controle social do programa, sendo essa a dimensão de fiscalização indireta do programa. Todos os dados pessoais dos envolvidos no programa seriam protegidos e tratados segundo as normas aplicáveis.</w:t>
      </w:r>
    </w:p>
    <w:p>
      <w:pPr>
        <w:ind w:firstLine="0"/>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ab/>
        <w:t>O grande atrativo para os estabelecimentos seria a possibilidade de obter reconhecimento por engajamento social, ao passo que não há custo adicional para o restaurante implementar o programa. Haveria mera redistribuição, com redução no montante devido aos fisco na proporção do custo da refeição servida.</w:t>
      </w:r>
    </w:p>
    <w:p>
      <w:pPr>
        <w:ind w:firstLine="0"/>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ab/>
        <w:t>O estabelecimento que adotasse o programa poderia além disso anunciar sua consciência social, e receber do poder público selos que comprovem sua situação de regularidade com o programa e atrair mais clientes ao estabelecimento. Essa forma de publicidade produziria benefícios que tornaram o programa mais atrativo para adesão dos estabelecimentos.</w:t>
      </w:r>
    </w:p>
    <w:p>
      <w:pPr>
        <w:ind w:firstLine="0"/>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ab/>
        <w:t>O poder público, ao coordenar essa política pública por meio de benefício fiscal se beneficiaria com a expertise já alcançada com esses estabelecimentos, que fazem suas atividades diariamente, por vezes a anos. assim, questões relacionadas a fornecedores, mão de obra, serviço de atendimento e outras questões são de responsabilidade dos estabelecimentos. Assim, aproveita-se a estrutura já posta pelos estabelecimentos em suas atividades privadas.</w:t>
      </w:r>
    </w:p>
    <w:p>
      <w:pPr>
        <w:ind w:firstLine="0"/>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r>
    </w:p>
    <w:p>
      <w:pPr>
        <w:ind w:firstLine="0"/>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smallCaps/>
        </w:rPr>
      </w:pPr>
      <w:r>
        <w:rPr>
          <w:b/>
          <w:smallCaps/>
        </w:rPr>
        <w:t>5 CONCLUSÃO</w:t>
      </w:r>
    </w:p>
    <w:p>
      <w:pPr>
        <w:ind w:firstLine="0"/>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smallCaps/>
        </w:rPr>
      </w:pPr>
      <w:r>
        <w:rPr>
          <w:b/>
          <w:smallCaps/>
        </w:rPr>
      </w:r>
    </w:p>
    <w:p>
      <w:pPr>
        <w:ind w:firstLine="708"/>
        <w:spacing w:line="360" w:lineRule="auto"/>
        <w:widowControl/>
        <w:rPr>
          <w:color w:val="000000"/>
        </w:rPr>
      </w:pPr>
      <w:r>
        <w:rPr>
          <w:color w:val="000000"/>
        </w:rPr>
        <w:t>Como foi possível perceber, ao longo deste trabalho foram feitos breves apontamentos sobre a possibilidade de criação de um programa de refeição social através de incentivos fiscais, especialmente com foco municipal local. Foram feitas considerações iniciais sobre o avanço da fome e da insegurança alimentar ao redor do mundo e no Brasil, com estatísticas oficiais de órgãos internacionais e nacionais.</w:t>
      </w:r>
    </w:p>
    <w:p>
      <w:pPr>
        <w:ind w:firstLine="708"/>
        <w:spacing w:line="360" w:lineRule="auto"/>
        <w:widowControl/>
        <w:rPr>
          <w:color w:val="000000"/>
        </w:rPr>
      </w:pPr>
      <w:r>
        <w:rPr>
          <w:color w:val="000000"/>
        </w:rPr>
        <w:t>Após essa constatação, foi possível discorrer sobre as questões tributárias básicas e como a política de incentivos fiscais pode ser usada como instrumento de desenvolvimento social. Com isso, seria possível criar incentivos fiscais direcionados ao enfrentamento da insegurança alimentar e diminuição da fome a nível local.</w:t>
      </w:r>
    </w:p>
    <w:p>
      <w:pPr>
        <w:ind w:firstLine="708"/>
        <w:spacing w:line="360" w:lineRule="auto"/>
        <w:widowControl/>
        <w:rPr>
          <w:color w:val="000000"/>
        </w:rPr>
      </w:pPr>
      <w:r>
        <w:rPr>
          <w:color w:val="000000"/>
        </w:rPr>
        <w:t>Embora o programa de refeição social aqui pensado precise ainda de muitas outras considerações e definições, o objetivo do trabalho foi cumprido na medida em que foram realizadas as diretivas gerais sobre a criação e funcionamento dessa política pública, permitindo pesquisas futuras sobre a elaboração e implantação prática desse programa em qualquer município.</w:t>
      </w:r>
    </w:p>
    <w:p>
      <w:pPr>
        <w:ind w:firstLine="708"/>
        <w:spacing w:line="360" w:lineRule="auto"/>
        <w:widowControl/>
        <w:rPr>
          <w:color w:val="000000"/>
        </w:rPr>
      </w:pPr>
      <w:r>
        <w:rPr>
          <w:color w:val="000000"/>
        </w:rPr>
        <w:t>Os atrativos para os atores da política pública aqui sugerida, a administração pública, os estabelecimentos que servem alimentos preparados e a sociedade vulnerável, fazem desse programa de refeição solidária uma alternativa para complementar o combate à insegurança alimentar.</w:t>
      </w:r>
    </w:p>
    <w:p>
      <w:pPr>
        <w:ind w:firstLine="708"/>
        <w:spacing w:line="360" w:lineRule="auto"/>
        <w:widowControl/>
        <w:rPr>
          <w:smallCaps/>
        </w:rPr>
      </w:pPr>
      <w:r>
        <w:rPr>
          <w:color w:val="000000"/>
        </w:rPr>
        <w:tab/>
        <w:t>Por fim, cumpre deixar registrado o caráter eminentemente sugestivo deste trabalho, que em nenhum momento pretende esgotar o proposto no escopo do texto aqui apresentado, mas sim incentivar pesquisas que tornem possível o programa imaginado. A insegurança alimentar não é um problema do qual o poder público possa se eximir, e cumpre ao mesmo buscar não só soluções que envolvam diretamente a administração, mas também incentivar o setor empresarial no combate a este problema. Como o velho ditado diz, “quem tem fome, tem pressa”, e assim não é possível permitir que as mesmas políticas de combate à fome continuem se arrastando ou dependendo exclusivamente da Administração, já que a mesma infelizmente tende a ser morosa em sua atuação.</w:t>
      </w:r>
      <w:r>
        <w:rPr>
          <w:smallCaps/>
        </w:rPr>
      </w:r>
    </w:p>
    <w:p>
      <w:pPr>
        <w:ind w:firstLine="0"/>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smallCaps/>
        </w:rPr>
      </w:pPr>
      <w:r>
        <w:rPr>
          <w:b/>
          <w:smallCaps/>
        </w:rPr>
      </w:r>
    </w:p>
    <w:p>
      <w:pPr>
        <w:ind w:firstLine="0"/>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smallCaps/>
        </w:rPr>
      </w:pPr>
      <w:r>
        <w:rPr>
          <w:b/>
          <w:smallCaps/>
        </w:rPr>
      </w:r>
    </w:p>
    <w:p>
      <w:pPr>
        <w:ind w:firstLine="0"/>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smallCaps/>
        </w:rPr>
      </w:pPr>
      <w:r>
        <w:rPr>
          <w:b/>
          <w:smallCaps/>
        </w:rPr>
      </w:r>
    </w:p>
    <w:p>
      <w:pPr>
        <w:ind w:firstLine="0"/>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smallCaps/>
        </w:rPr>
      </w:pPr>
      <w:r>
        <w:rPr>
          <w:b/>
          <w:smallCaps/>
        </w:rPr>
      </w:r>
    </w:p>
    <w:p>
      <w:pPr>
        <w:pStyle w:val="para1"/>
        <w:spacing w:before="0"/>
        <w:jc w:val="center"/>
      </w:pPr>
      <w:r>
        <w:t>REFERÊNCIAS</w:t>
      </w:r>
    </w:p>
    <w:p>
      <w:pPr>
        <w:ind w:firstLine="0"/>
        <w:spacing w:after="200"/>
        <w:jc w:val="left"/>
        <w:widowControl/>
        <w:rPr>
          <w:color w:val="000000"/>
        </w:rPr>
      </w:pPr>
      <w:r>
        <w:rPr>
          <w:color w:val="000000"/>
        </w:rPr>
        <w:t xml:space="preserve">BRASIL. [Constituição (1988)]. </w:t>
      </w:r>
      <w:r>
        <w:rPr>
          <w:b/>
          <w:color w:val="000000"/>
        </w:rPr>
        <w:t>Constituição da República Federativa do Brasil de 1988</w:t>
      </w:r>
      <w:r>
        <w:rPr>
          <w:color w:val="000000"/>
        </w:rPr>
        <w:t xml:space="preserve">. Brasília, DF: Presidência da República, [2023]. Disponível em: </w:t>
      </w:r>
      <w:hyperlink r:id="rId8" w:history="1">
        <w:r>
          <w:rPr>
            <w:color w:val="1155cc"/>
            <w:u w:color="auto" w:val="single"/>
          </w:rPr>
          <w:t>http://www.planalto.gov.br/ccivil_03/Constituicao/Constituiçao.htm</w:t>
        </w:r>
      </w:hyperlink>
      <w:r>
        <w:rPr>
          <w:color w:val="000000"/>
        </w:rPr>
        <w:t xml:space="preserve">. Acesso em: 31 jul. 2023. </w:t>
      </w:r>
      <w:r>
        <w:rPr>
          <w:color w:val="000000"/>
        </w:rPr>
      </w:r>
    </w:p>
    <w:p>
      <w:pPr>
        <w:ind w:firstLine="0"/>
        <w:spacing w:after="200"/>
        <w:jc w:val="left"/>
        <w:widowControl/>
        <w:rPr>
          <w:color w:val="000000"/>
        </w:rPr>
      </w:pPr>
      <w:r>
        <w:rPr>
          <w:color w:val="000000"/>
        </w:rPr>
        <w:t>BRASIL.</w:t>
      </w:r>
      <w:r>
        <w:rPr>
          <w:b/>
          <w:color w:val="000000"/>
        </w:rPr>
        <w:t xml:space="preserve"> Lei nº 5.172, de 25 de outubro de 1966</w:t>
      </w:r>
      <w:r>
        <w:rPr>
          <w:color w:val="000000"/>
        </w:rPr>
        <w:t xml:space="preserve">. Dispõe sobre o Sistema Tributário Nacional e institui normas gerais de direito tributário aplicáveis à União, Estados e Municípios. Disponível em: </w:t>
      </w:r>
      <w:hyperlink r:id="rId9" w:history="1">
        <w:r>
          <w:rPr>
            <w:color w:val="1155cc"/>
            <w:u w:color="auto" w:val="single"/>
          </w:rPr>
          <w:t>https://www.planalto.gov.br/ccivil_03/leis/l5172compilado.htm</w:t>
        </w:r>
      </w:hyperlink>
      <w:r>
        <w:rPr>
          <w:color w:val="000000"/>
        </w:rPr>
        <w:t>. Acesso em: 31 jul. 2023.</w:t>
      </w:r>
      <w:r>
        <w:rPr>
          <w:color w:val="000000"/>
        </w:rPr>
      </w:r>
    </w:p>
    <w:p>
      <w:pPr>
        <w:ind w:firstLine="0"/>
        <w:spacing w:after="200"/>
        <w:jc w:val="left"/>
        <w:widowControl/>
        <w:rPr>
          <w:color w:val="000000"/>
        </w:rPr>
      </w:pPr>
      <w:r>
        <w:rPr>
          <w:color w:val="000000"/>
        </w:rPr>
        <w:t xml:space="preserve">FAO - Food and Agriculture Organization of the United Nations. </w:t>
      </w:r>
      <w:r>
        <w:rPr>
          <w:b/>
          <w:color w:val="000000"/>
        </w:rPr>
        <w:t>The State of Food Security and Nutrition in the World 2022</w:t>
      </w:r>
      <w:r>
        <w:rPr>
          <w:color w:val="000000"/>
        </w:rPr>
        <w:t xml:space="preserve">: Repurposing food and agricultural policies to make healthy diets more affordable. Rome: FAO, 2022. Disponível em: </w:t>
      </w:r>
      <w:hyperlink r:id="rId10" w:history="1">
        <w:r>
          <w:rPr>
            <w:color w:val="1155cc"/>
            <w:u w:color="auto" w:val="single"/>
          </w:rPr>
          <w:t>https://doi.org/10.4060/cc0639en</w:t>
        </w:r>
      </w:hyperlink>
      <w:r>
        <w:rPr>
          <w:color w:val="000000"/>
        </w:rPr>
        <w:t>. Acesso em: 31 jul. 2023.</w:t>
      </w:r>
      <w:r>
        <w:rPr>
          <w:color w:val="000000"/>
        </w:rPr>
      </w:r>
    </w:p>
    <w:p>
      <w:pPr>
        <w:ind w:firstLine="0"/>
        <w:spacing w:after="200"/>
        <w:jc w:val="left"/>
        <w:widowControl/>
        <w:rPr>
          <w:color w:val="000000"/>
        </w:rPr>
      </w:pPr>
      <w:r>
        <w:rPr>
          <w:color w:val="000000"/>
        </w:rPr>
        <w:t xml:space="preserve">IBGE - Instituto Brasileiro de Geografia e Estatística. CONCLA - Comissão Nacional de Classificação. </w:t>
      </w:r>
      <w:r>
        <w:rPr>
          <w:b/>
          <w:color w:val="000000"/>
        </w:rPr>
        <w:t>GOV.BR</w:t>
      </w:r>
      <w:r>
        <w:rPr>
          <w:color w:val="000000"/>
        </w:rPr>
        <w:t xml:space="preserve">. Rio de Janeiro, 2022. Disponível em: </w:t>
      </w:r>
      <w:hyperlink r:id="rId11" w:history="1">
        <w:r>
          <w:rPr>
            <w:color w:val="1155cc"/>
            <w:u w:color="auto" w:val="single"/>
          </w:rPr>
          <w:t>https://concla.ibge.gov.br/busca-online-cnae.html?view=divisao&amp;tipo=cnae&amp;versao=10&amp;divisao=56</w:t>
        </w:r>
      </w:hyperlink>
      <w:r>
        <w:rPr>
          <w:color w:val="000000"/>
        </w:rPr>
        <w:t>. Acesso em: 31 jul. 2023.</w:t>
      </w:r>
      <w:r>
        <w:rPr>
          <w:color w:val="000000"/>
        </w:rPr>
      </w:r>
    </w:p>
    <w:p>
      <w:pPr>
        <w:ind w:firstLine="0"/>
        <w:spacing w:after="200"/>
        <w:jc w:val="left"/>
        <w:widowControl/>
        <w:rPr>
          <w:color w:val="000000"/>
        </w:rPr>
      </w:pPr>
      <w:r>
        <w:rPr>
          <w:color w:val="000000"/>
        </w:rPr>
        <w:t>JUAZEIRO DO NORTE.</w:t>
      </w:r>
      <w:r>
        <w:rPr>
          <w:b/>
          <w:color w:val="000000"/>
        </w:rPr>
        <w:t xml:space="preserve"> Lei nº 3188, de 06 de setembro de 2007</w:t>
      </w:r>
      <w:r>
        <w:rPr>
          <w:color w:val="000000"/>
        </w:rPr>
        <w:t xml:space="preserve">. Autoriza a concessão de incentivos fiscais, econômicos e financeiros para empresas que se instalarem no Município de Juazeiro do Norte ou que nele ampliem suas atividades, e dá outras providencias. Disponível em: </w:t>
      </w:r>
      <w:hyperlink r:id="rId12" w:history="1">
        <w:r>
          <w:rPr>
            <w:color w:val="1155cc"/>
            <w:u w:color="auto" w:val="single"/>
          </w:rPr>
          <w:t>https://www.juazeirodonorte.ce.gov.br/arquivos/1784/LEI%20MUNICIPAL_3188_2007_0000001.pdf</w:t>
        </w:r>
      </w:hyperlink>
      <w:r>
        <w:rPr>
          <w:color w:val="000000"/>
        </w:rPr>
        <w:t>. Acesso em: 31 jul. 2023.</w:t>
      </w:r>
      <w:r>
        <w:rPr>
          <w:color w:val="000000"/>
        </w:rPr>
      </w:r>
    </w:p>
    <w:p>
      <w:pPr>
        <w:ind w:firstLine="0"/>
        <w:spacing w:after="200"/>
        <w:jc w:val="left"/>
        <w:widowControl/>
        <w:rPr>
          <w:color w:val="000000"/>
        </w:rPr>
      </w:pPr>
      <w:r>
        <w:rPr>
          <w:color w:val="000000"/>
        </w:rPr>
        <w:t>JUAZEIRO DO NORTE.</w:t>
      </w:r>
      <w:r>
        <w:rPr>
          <w:b/>
          <w:color w:val="000000"/>
        </w:rPr>
        <w:t xml:space="preserve"> Lei nº 4204, de 14 de junho de 2013</w:t>
      </w:r>
      <w:r>
        <w:rPr>
          <w:color w:val="000000"/>
        </w:rPr>
        <w:t xml:space="preserve">. Concede incentivo fiscal para empresas do seguimento de CALL CENTER, no Imposto sobre Serviço de Qualquer Natureza – ISSQN e no Imposto Predial e Territorial Urbano – IPTU e dá outras providências. Disponível em: </w:t>
      </w:r>
      <w:hyperlink r:id="rId13" w:history="1">
        <w:r>
          <w:rPr>
            <w:color w:val="1155cc"/>
            <w:u w:color="auto" w:val="single"/>
          </w:rPr>
          <w:t>https://www.juazeirodonorte.ce.gov.br/arquivos/2776/LEI%20MUNICIPAL_4204_2013_0000001.pdf</w:t>
        </w:r>
      </w:hyperlink>
      <w:r>
        <w:rPr>
          <w:color w:val="000000"/>
        </w:rPr>
        <w:t>. Acesso em: 31 jul. 2023.</w:t>
      </w:r>
      <w:r>
        <w:rPr>
          <w:color w:val="000000"/>
        </w:rPr>
      </w:r>
    </w:p>
    <w:p>
      <w:pPr>
        <w:ind w:firstLine="0"/>
        <w:spacing w:after="200"/>
        <w:jc w:val="left"/>
        <w:widowControl/>
        <w:rPr>
          <w:color w:val="000000"/>
        </w:rPr>
      </w:pPr>
      <w:r>
        <w:rPr>
          <w:color w:val="000000"/>
        </w:rPr>
        <w:t xml:space="preserve">PATRIOLINO, Luana. De volta ao Mapa da Fome, Brasil tem 60 mi de pessoas com insegurança alimentar. </w:t>
      </w:r>
      <w:r>
        <w:rPr>
          <w:b/>
          <w:color w:val="000000"/>
        </w:rPr>
        <w:t>Correio Braziliense</w:t>
      </w:r>
      <w:r>
        <w:rPr>
          <w:color w:val="000000"/>
        </w:rPr>
        <w:t xml:space="preserve">. Brasília, 7 jul. 2022. Disponível em: </w:t>
      </w:r>
      <w:hyperlink r:id="rId14" w:history="1">
        <w:r>
          <w:rPr>
            <w:color w:val="1155cc"/>
            <w:u w:color="auto" w:val="single"/>
          </w:rPr>
          <w:t>https://www.correiobraziliense.com.br/brasil/2022/07/5020611-pais-esta-de-volta-ao-mapa-da-fome-da-onu.html</w:t>
        </w:r>
      </w:hyperlink>
      <w:r>
        <w:rPr>
          <w:color w:val="000000"/>
        </w:rPr>
        <w:t>. Acesso em: 31 jul. 2023.</w:t>
      </w:r>
      <w:r>
        <w:rPr>
          <w:color w:val="000000"/>
        </w:rPr>
      </w:r>
    </w:p>
    <w:p>
      <w:pPr>
        <w:ind w:firstLine="0"/>
        <w:spacing w:after="200"/>
        <w:jc w:val="left"/>
        <w:widowControl/>
        <w:rPr>
          <w:color w:val="000000"/>
        </w:rPr>
      </w:pPr>
      <w:r>
        <w:rPr>
          <w:color w:val="000000"/>
        </w:rPr>
        <w:t xml:space="preserve">PAULSEN, Leandro. </w:t>
      </w:r>
      <w:r>
        <w:rPr>
          <w:b/>
          <w:color w:val="000000"/>
        </w:rPr>
        <w:t>Curso de direito tributário completo</w:t>
      </w:r>
      <w:r>
        <w:rPr>
          <w:color w:val="000000"/>
        </w:rPr>
        <w:t>.São Paulo, SP: Saraiva Educação, 11. ed., 2020.</w:t>
      </w:r>
    </w:p>
    <w:p>
      <w:pPr>
        <w:ind w:firstLine="0"/>
        <w:spacing w:after="200"/>
        <w:jc w:val="left"/>
        <w:widowControl/>
        <w:rPr>
          <w:color w:val="000000"/>
        </w:rPr>
      </w:pPr>
      <w:r>
        <w:rPr>
          <w:color w:val="000000"/>
        </w:rPr>
        <w:t xml:space="preserve">PIMENTEL, Samuel. Fome atinge 2,4 milhões de pessoas no Ceará. </w:t>
      </w:r>
      <w:r>
        <w:rPr>
          <w:b/>
          <w:color w:val="000000"/>
        </w:rPr>
        <w:t>O POVO</w:t>
      </w:r>
      <w:r>
        <w:rPr>
          <w:color w:val="000000"/>
        </w:rPr>
        <w:t xml:space="preserve">. Ceará, 15 set. 2022. Disponível em: </w:t>
      </w:r>
      <w:hyperlink r:id="rId15" w:history="1">
        <w:r>
          <w:rPr>
            <w:color w:val="1155cc"/>
            <w:u w:color="auto" w:val="single"/>
          </w:rPr>
          <w:t>https://mais.opovo.com.br/jornal/economia/2022/09/15/fome-atinge-24-milhoes-de-pessoas-no-ceara.html</w:t>
        </w:r>
      </w:hyperlink>
      <w:r>
        <w:rPr>
          <w:color w:val="000000"/>
        </w:rPr>
        <w:t>. Acesso em: 31 jul. 2023.</w:t>
      </w:r>
      <w:r>
        <w:rPr>
          <w:color w:val="000000"/>
        </w:rPr>
      </w:r>
    </w:p>
    <w:p>
      <w:pPr>
        <w:ind w:firstLine="0"/>
        <w:spacing w:after="200"/>
        <w:jc w:val="left"/>
        <w:widowControl/>
        <w:rPr>
          <w:color w:val="000000"/>
        </w:rPr>
      </w:pPr>
      <w:r>
        <w:rPr>
          <w:color w:val="000000"/>
        </w:rPr>
        <w:t xml:space="preserve">RAIS - Relação Anual de Informações Sociais. Rais Estabelecimentos. </w:t>
      </w:r>
      <w:r>
        <w:rPr>
          <w:b/>
          <w:color w:val="000000"/>
        </w:rPr>
        <w:t>MTE</w:t>
      </w:r>
      <w:r>
        <w:rPr>
          <w:color w:val="000000"/>
        </w:rPr>
        <w:t xml:space="preserve">. Brasília, 2022. Disponível em: </w:t>
      </w:r>
      <w:hyperlink r:id="rId16" w:history="1">
        <w:r>
          <w:rPr>
            <w:color w:val="1155cc"/>
            <w:u w:color="auto" w:val="single"/>
          </w:rPr>
          <w:t>https://bi.mte.gov.br/bgcaged/rais.php</w:t>
        </w:r>
      </w:hyperlink>
      <w:r>
        <w:rPr>
          <w:color w:val="000000"/>
        </w:rPr>
        <w:t>. Acesso em: 31 jul. 2023. *Necessário usar login e senha públicos, que são, respectivamente, “basico” e “12345678”.</w:t>
      </w:r>
      <w:r>
        <w:rPr>
          <w:color w:val="000000"/>
        </w:rPr>
      </w:r>
    </w:p>
    <w:p>
      <w:pPr>
        <w:ind w:firstLine="0"/>
        <w:spacing w:after="200"/>
        <w:jc w:val="left"/>
        <w:widowControl/>
        <w:rPr>
          <w:color w:val="000000"/>
        </w:rPr>
      </w:pPr>
      <w:r>
        <w:rPr>
          <w:color w:val="000000"/>
        </w:rPr>
        <w:t xml:space="preserve">Rede PENSSAN - Rede Brasileira de Pesquisa em Soberania e Segurança Alimentar. </w:t>
      </w:r>
      <w:r>
        <w:rPr>
          <w:b/>
          <w:color w:val="000000"/>
        </w:rPr>
        <w:t>II Inquérito Nacional sobre Insegurança Alimentar no Contexto da Pandemia da COVID-19 no Brasil</w:t>
      </w:r>
      <w:r>
        <w:rPr>
          <w:color w:val="000000"/>
        </w:rPr>
        <w:t xml:space="preserve">. São Paulo, SP: Fundação Friedrich Ebert, 2022. Disponível em: </w:t>
      </w:r>
      <w:hyperlink r:id="rId17" w:history="1">
        <w:r>
          <w:rPr>
            <w:color w:val="1155cc"/>
            <w:u w:color="auto" w:val="single"/>
          </w:rPr>
          <w:t>https://olheparaafome.com.br/wp-content/uploads/2022/06/Relatorio-II-VIGISAN-2022.pdf</w:t>
        </w:r>
      </w:hyperlink>
      <w:r>
        <w:rPr>
          <w:color w:val="000000"/>
        </w:rPr>
        <w:t>. Acesso em: 31 jul. 2023.</w:t>
      </w:r>
      <w:r>
        <w:rPr>
          <w:color w:val="000000"/>
        </w:rPr>
      </w:r>
    </w:p>
    <w:p>
      <w:pPr>
        <w:ind w:firstLine="0"/>
        <w:spacing w:after="200"/>
        <w:jc w:val="left"/>
        <w:widowControl/>
        <w:rPr>
          <w:color w:val="000000"/>
        </w:rPr>
      </w:pPr>
      <w:r>
        <w:rPr>
          <w:color w:val="000000"/>
        </w:rPr>
        <w:t xml:space="preserve">SCHOUERI, Luís Eduardo. </w:t>
      </w:r>
      <w:r>
        <w:rPr>
          <w:b/>
          <w:color w:val="000000"/>
        </w:rPr>
        <w:t>Direito tributário</w:t>
      </w:r>
      <w:r>
        <w:rPr>
          <w:color w:val="000000"/>
        </w:rPr>
        <w:t>. São Paulo, SP: Saraiva Educação, 9. ed., 2019.</w:t>
      </w:r>
    </w:p>
    <w:p>
      <w:pPr>
        <w:ind w:firstLine="0"/>
        <w:spacing w:line="360" w:lineRule="auto"/>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ind w:firstLine="0"/>
      </w:pPr>
      <w:r/>
    </w:p>
    <w:p>
      <w:r/>
    </w:p>
    <w:sectPr>
      <w:footnotePr>
        <w:pos w:val="pageBottom"/>
        <w:numFmt w:val="decimal"/>
        <w:numStart w:val="1"/>
        <w:numRestart w:val="continuous"/>
      </w:footnotePr>
      <w:endnotePr>
        <w:pos w:val="docEnd"/>
        <w:numFmt w:val="decimal"/>
        <w:numStart w:val="1"/>
        <w:numRestart w:val="continuous"/>
      </w:endnotePr>
      <w:headerReference w:type="default" r:id="rId18"/>
      <w:footerReference w:type="default" r:id="rId19"/>
      <w:headerReference w:type="first" r:id="rId20"/>
      <w:footerReference w:type="first" r:id="rId21"/>
      <w:type w:val="nextPage"/>
      <w:pgSz w:h="16838" w:w="11906"/>
      <w:pgMar w:left="1700" w:top="1700" w:right="1133" w:bottom="1133" w:header="454" w:footer="454"/>
      <w:paperSrc w:first="0" w:other="0" a="0" b="0"/>
      <w:pgNumType w:fmt="decimal" w:start="1"/>
      <w:titlePg/>
      <w:tmGutter w:val="3"/>
      <w:mirrorMargins w:val="0"/>
      <w:tmSection w:h="-2">
        <w:tmHeader w:id="0" w:h="0" edge="454" text="0">
          <w:shd w:val="none"/>
        </w:tmHeader>
        <w:tmFooter w:id="0" w:h="0" edge="454" text="0">
          <w:shd w:val="none"/>
        </w:tmFooter>
        <w:tmHeader w:id="2" w:h="0" edge="454" text="0">
          <w:shd w:val="none"/>
        </w:tmHeader>
        <w:tmFooter w:id="2" w:h="0" edge="4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Georgia">
    <w:panose1 w:val="02040502050405020303"/>
    <w:charset w:val="00"/>
    <w:family w:val="roman"/>
    <w:pitch w:val="default"/>
  </w:font>
  <w:font w:name="Arial Unicode MS">
    <w:panose1 w:val="020B0604020202020204"/>
    <w:charset w:val="00"/>
    <w:family w:val="auto"/>
    <w:pitch w:val="default"/>
  </w:font>
  <w:font w:name="Tahoma">
    <w:panose1 w:val="020B0604030504040204"/>
    <w:charset w:val="00"/>
    <w:family w:val="swiss"/>
    <w:pitch w:val="default"/>
  </w:font>
  <w:font w:name="Lohit Devanagari">
    <w:panose1 w:val="020B0604020202020204"/>
    <w:charset w:val="00"/>
    <w:family w:val="auto"/>
    <w:pitch w:val="default"/>
  </w:font>
  <w:font w:name="Calibri">
    <w:panose1 w:val="020F0502020204030204"/>
    <w:charset w:val="00"/>
    <w:family w:val="swiss"/>
    <w:pitch w:val="default"/>
  </w:font>
  <w:font w:name="Calibri-Bold">
    <w:panose1 w:val="020B0604020202020204"/>
    <w:charset w:val="00"/>
    <w:family w:val="auto"/>
    <w:pitch w:val="default"/>
  </w:font>
  <w:font w:name="Calibri-Italic">
    <w:panose1 w:val="020B0604020202020204"/>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ind w:firstLine="0"/>
      <w:spacing/>
      <w:jc w:val="center"/>
    </w:pPr>
    <w:r>
      <w:rPr>
        <w:noProof/>
      </w:rPr>
      <mc:AlternateContent>
        <mc:Choice Requires="wps">
          <w:drawing>
            <wp:anchor distT="0" distB="0" distL="114300" distR="114300" simplePos="0" relativeHeight="251658245" behindDoc="0" locked="0" layoutInCell="0" hidden="0" allowOverlap="1">
              <wp:simplePos x="0" y="0"/>
              <wp:positionH relativeFrom="column">
                <wp:posOffset>-1244600</wp:posOffset>
              </wp:positionH>
              <wp:positionV relativeFrom="paragraph">
                <wp:posOffset>342900</wp:posOffset>
              </wp:positionV>
              <wp:extent cx="7733030" cy="194310"/>
              <wp:effectExtent l="12700" t="12700" r="12700" b="12700"/>
              <wp:wrapNone/>
              <wp:docPr id="5" name="Shape 2"/>
              <wp:cNvGraphicFramePr/>
              <a:graphic xmlns:a="http://schemas.openxmlformats.org/drawingml/2006/main">
                <a:graphicData uri="http://schemas.microsoft.com/office/word/2010/wordprocessingShape">
                  <wps:wsp>
                    <wps:cNvSpPr>
                      <a:extLst>
                        <a:ext uri="smNativeData">
                          <sm:smNativeData xmlns:sm="smNativeData" val="SMDATA_12_Rh8vZRMAAAAlAAAAZAAAAA0AAAAAkAAAAJAAAACQAAAAkAAAAAAAAAABAAAAAAAAAAEAAABQAAAAAAAAAAAA4D8AAAAAAADgPwAAAAAAAOA/AAAAAAAA4D8AAAAAAADgPwAAAAAAAOA/AAAAAAAA4D8AAAAAAADgPwAAAAAAAOA/AAAAAAAA4D8CAAAAjAAAAAEAAAAAAAAAABg2AAAAAAAAAAAAAAAAAAAAAAAAAAAAAAAAAAAAAAAAAAAAZAAAAAEAAABAAAAAAAAAAAAAAAAAAAAAAAAAAAAAAAAAAAAAAAAAAAAAAAAAAAAAAAAAAAAAAAAAAAAAAAAAAAAAAAAAAAAAAAAAAAAAAAAAAAAAAAAAAAAAAAAAAAAAFAAAADwAAAABAAAAAAAAADFTjwAUAAAAAQAAABQAAAAUAAAAFAAAAAEAAAAAAAAASwAAAEsAAAAAAAAASwAAAEs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JCgAAAAAAAAAAAAAAAAAAACAAAAWPj//wAAAAACAAAAHAIAAJIvAAAyAQAAAAAAAPz+//+QQAAAKAAAAAgAAAABAAAAAQAAAA=="/>
                        </a:ext>
                      </a:extLst>
                    </wps:cNvSpPr>
                    <wps:spPr>
                      <a:xfrm>
                        <a:off x="0" y="0"/>
                        <a:ext cx="7733030" cy="194310"/>
                      </a:xfrm>
                      <a:prstGeom prst="rect">
                        <a:avLst/>
                      </a:prstGeom>
                      <a:solidFill>
                        <a:srgbClr val="001836"/>
                      </a:solidFill>
                      <a:ln w="12700">
                        <a:solidFill>
                          <a:srgbClr val="31538F"/>
                        </a:solidFill>
                      </a:ln>
                    </wps:spPr>
                    <wps:txbx>
                      <w:txbxContent>
                        <w:p>
                          <w:pPr>
                            <w:ind w:firstLine="0"/>
                            <w:spacing w:after="0"/>
                            <w:jc w:val="left"/>
                          </w:pPr>
                          <w:r/>
                        </w:p>
                      </w:txbxContent>
                    </wps:txbx>
                    <wps:bodyPr spcFirstLastPara="1" vertOverflow="clip" horzOverflow="clip" lIns="91440" tIns="91440" rIns="91440" bIns="91440" anchor="ctr" upright="1">
                      <a:prstTxWarp prst="textNoShape">
                        <a:avLst/>
                      </a:prstTxWarp>
                      <a:noAutofit/>
                    </wps:bodyPr>
                  </wps:wsp>
                </a:graphicData>
              </a:graphic>
            </wp:anchor>
          </w:drawing>
        </mc:Choice>
        <mc:Fallback>
          <w:pict>
            <v:rect id="Shape 2" o:spid="_x0000_s3073" style="position:absolute;margin-left:-98.00pt;margin-top:27.00pt;width:608.90pt;height:15.30pt;z-index:251658245;mso-wrap-distance-left:9.00pt;mso-wrap-distance-top:0.00pt;mso-wrap-distance-right:9.00pt;mso-wrap-distance-bottom:0.00pt;mso-wrap-style:square" strokeweight="1.00pt" strokecolor="#31538f" fillcolor="#001836" v:ext="SMDATA_12_Rh8vZRMAAAAlAAAAZAAAAA0AAAAAkAAAAJAAAACQAAAAkAAAAAAAAAABAAAAAAAAAAEAAABQAAAAAAAAAAAA4D8AAAAAAADgPwAAAAAAAOA/AAAAAAAA4D8AAAAAAADgPwAAAAAAAOA/AAAAAAAA4D8AAAAAAADgPwAAAAAAAOA/AAAAAAAA4D8CAAAAjAAAAAEAAAAAAAAAABg2AAAAAAAAAAAAAAAAAAAAAAAAAAAAAAAAAAAAAAAAAAAAZAAAAAEAAABAAAAAAAAAAAAAAAAAAAAAAAAAAAAAAAAAAAAAAAAAAAAAAAAAAAAAAAAAAAAAAAAAAAAAAAAAAAAAAAAAAAAAAAAAAAAAAAAAAAAAAAAAAAAAAAAAAAAAFAAAADwAAAABAAAAAAAAADFTjwAUAAAAAQAAABQAAAAUAAAAFAAAAAEAAAAAAAAASwAAAEsAAAAAAAAASwAAAEs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JCgAAAAAAAAAAAAAAAAAAACAAAAWPj//wAAAAACAAAAHAIAAJIvAAAyAQAAAAAAAPz+//+QQAAAKAAAAAgAAAABAAAAAQAAAA==" o:insetmode="custom">
              <v:fill color2="#000000" type="solid" angle="90"/>
              <w10:wrap type="none" anchorx="text" anchory="text"/>
              <v:textbox style="v-text-anchor:middle" inset="7.2pt,7.2pt,7.2pt,7.2pt">
                <w:txbxContent>
                  <w:p>
                    <w:pPr>
                      <w:ind w:firstLine="0"/>
                      <w:spacing w:after="0"/>
                      <w:jc w:val="left"/>
                    </w:pPr>
                    <w:r/>
                  </w:p>
                </w:txbxContent>
              </v:textbox>
            </v:rect>
          </w:pict>
        </mc:Fallback>
      </mc:AlternateContent>
    </w:r>
    <w:r>
      <w:rPr>
        <w:color w:val="001836"/>
      </w:rPr>
      <w:t>© IV CONPESQ, 3, 4 e 5 de outubro de 2023, Juazeiro do Norte, CE, Brasil.</w: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ind w:firstLine="0"/>
      <w:spacing/>
      <w:jc w:val="center"/>
    </w:pPr>
    <w:r>
      <w:rPr>
        <w:noProof/>
      </w:rPr>
      <mc:AlternateContent>
        <mc:Choice Requires="wps">
          <w:drawing>
            <wp:anchor distT="0" distB="0" distL="114300" distR="114300" simplePos="0" relativeHeight="251658243" behindDoc="0" locked="0" layoutInCell="0" hidden="0" allowOverlap="1">
              <wp:simplePos x="0" y="0"/>
              <wp:positionH relativeFrom="column">
                <wp:posOffset>-1244600</wp:posOffset>
              </wp:positionH>
              <wp:positionV relativeFrom="paragraph">
                <wp:posOffset>342900</wp:posOffset>
              </wp:positionV>
              <wp:extent cx="7733030" cy="194945"/>
              <wp:effectExtent l="12700" t="12700" r="12700" b="12700"/>
              <wp:wrapNone/>
              <wp:docPr id="3" name="Shape 4"/>
              <wp:cNvGraphicFramePr/>
              <a:graphic xmlns:a="http://schemas.openxmlformats.org/drawingml/2006/main">
                <a:graphicData uri="http://schemas.microsoft.com/office/word/2010/wordprocessingShape">
                  <wps:wsp>
                    <wps:cNvSpPr>
                      <a:extLst>
                        <a:ext uri="smNativeData">
                          <sm:smNativeData xmlns:sm="smNativeData" val="SMDATA_12_Rh8vZRMAAAAlAAAAZAAAAA0AAAAAkAAAAJAAAACQAAAAkAAAAAAAAAABAAAAAAAAAAEAAABQAAAAAAAAAAAA4D8AAAAAAADgPwAAAAAAAOA/AAAAAAAA4D8AAAAAAADgPwAAAAAAAOA/AAAAAAAA4D8AAAAAAADgPwAAAAAAAOA/AAAAAAAA4D8CAAAAjAAAAAEAAAAAAAAAABg2AAAAAAAAAAAAAAAAAAAAAAAAAAAAAAAAAAAAAAAAAAAAZAAAAAEAAABAAAAAAAAAAAAAAAAAAAAAAAAAAAAAAAAAAAAAAAAAAAAAAAAAAAAAAAAAAAAAAAAAAAAAAAAAAAAAAAAAAAAAAAAAAAAAAAAAAAAAAAAAAAAAAAAAAAAAFAAAADwAAAABAAAAAAAAADFTjwAUAAAAAQAAABQAAAAUAAAAFAAAAAEAAAAAAAAASwAAAEsAAAAAAAAASwAAAEs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JCgAAAAAAAAAAAAAAAAAAACAAAAWPj//wAAAAACAAAAHAIAAJIvAAAzAQAAAgAAAPz+//+QQAAAKAAAAAgAAAABAAAAAQAAAA=="/>
                        </a:ext>
                      </a:extLst>
                    </wps:cNvSpPr>
                    <wps:spPr>
                      <a:xfrm>
                        <a:off x="0" y="0"/>
                        <a:ext cx="7733030" cy="194945"/>
                      </a:xfrm>
                      <a:prstGeom prst="rect">
                        <a:avLst/>
                      </a:prstGeom>
                      <a:solidFill>
                        <a:srgbClr val="001836"/>
                      </a:solidFill>
                      <a:ln w="12700">
                        <a:solidFill>
                          <a:srgbClr val="31538F"/>
                        </a:solidFill>
                      </a:ln>
                    </wps:spPr>
                    <wps:txbx>
                      <w:txbxContent>
                        <w:p>
                          <w:pPr>
                            <w:ind w:firstLine="0"/>
                            <w:spacing w:after="0"/>
                            <w:jc w:val="left"/>
                          </w:pPr>
                          <w:r/>
                        </w:p>
                      </w:txbxContent>
                    </wps:txbx>
                    <wps:bodyPr spcFirstLastPara="1" vertOverflow="clip" horzOverflow="clip" lIns="91440" tIns="91440" rIns="91440" bIns="91440" anchor="ctr" upright="1">
                      <a:prstTxWarp prst="textNoShape">
                        <a:avLst/>
                      </a:prstTxWarp>
                      <a:noAutofit/>
                    </wps:bodyPr>
                  </wps:wsp>
                </a:graphicData>
              </a:graphic>
            </wp:anchor>
          </w:drawing>
        </mc:Choice>
        <mc:Fallback>
          <w:pict>
            <v:rect id="Shape 4" o:spid="_x0000_s5121" style="position:absolute;margin-left:-98.00pt;margin-top:27.00pt;width:608.90pt;height:15.35pt;z-index:251658243;mso-wrap-distance-left:9.00pt;mso-wrap-distance-top:0.00pt;mso-wrap-distance-right:9.00pt;mso-wrap-distance-bottom:0.00pt;mso-wrap-style:square" strokeweight="1.00pt" strokecolor="#31538f" fillcolor="#001836" v:ext="SMDATA_12_Rh8vZRMAAAAlAAAAZAAAAA0AAAAAkAAAAJAAAACQAAAAkAAAAAAAAAABAAAAAAAAAAEAAABQAAAAAAAAAAAA4D8AAAAAAADgPwAAAAAAAOA/AAAAAAAA4D8AAAAAAADgPwAAAAAAAOA/AAAAAAAA4D8AAAAAAADgPwAAAAAAAOA/AAAAAAAA4D8CAAAAjAAAAAEAAAAAAAAAABg2AAAAAAAAAAAAAAAAAAAAAAAAAAAAAAAAAAAAAAAAAAAAZAAAAAEAAABAAAAAAAAAAAAAAAAAAAAAAAAAAAAAAAAAAAAAAAAAAAAAAAAAAAAAAAAAAAAAAAAAAAAAAAAAAAAAAAAAAAAAAAAAAAAAAAAAAAAAAAAAAAAAAAAAAAAAFAAAADwAAAABAAAAAAAAADFTjwAUAAAAAQAAABQAAAAUAAAAFAAAAAEAAAAAAAAASwAAAEsAAAAAAAAASwAAAEs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JCgAAAAAAAAAAAAAAAAAAACAAAAWPj//wAAAAACAAAAHAIAAJIvAAAzAQAAAgAAAPz+//+QQAAAKAAAAAgAAAABAAAAAQAAAA==" o:insetmode="custom">
              <v:fill color2="#000000" type="solid" angle="90"/>
              <w10:wrap type="none" anchorx="text" anchory="text"/>
              <v:textbox style="v-text-anchor:middle" inset="7.2pt,7.2pt,7.2pt,7.2pt">
                <w:txbxContent>
                  <w:p>
                    <w:pPr>
                      <w:ind w:firstLine="0"/>
                      <w:spacing w:after="0"/>
                      <w:jc w:val="left"/>
                    </w:pPr>
                    <w:r/>
                  </w:p>
                </w:txbxContent>
              </v:textbox>
            </v:rect>
          </w:pict>
        </mc:Fallback>
      </mc:AlternateContent>
    </w:r>
    <w:r>
      <w:rPr>
        <w:color w:val="001836"/>
      </w:rPr>
      <w:t>© IV CONPESQ, 3, 4 e 5 de outubro de 2023, Juazeiro do Norte, CE, Brasil.</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id="1">
    <w:p>
      <w:pPr>
        <w:pStyle w:val="para31"/>
        <w:spacing w:after="0"/>
        <w:jc w:val="both"/>
        <w:suppressAutoHyphens/>
        <w:hyphenationLines w:val="0"/>
        <w:tabs defTabSz="708"/>
        <w:rPr>
          <w:rFonts w:eastAsia="Arial Unicode MS"/>
          <w:szCs w:val="20"/>
          <w:lang w:bidi="ar-sa"/>
        </w:rPr>
      </w:pPr>
      <w:r>
        <w:rPr>
          <w:rStyle w:val="char17"/>
          <w:rFonts w:eastAsia="Arial Unicode MS"/>
          <w:vertAlign w:val="superscript"/>
          <w:lang w:bidi="ar-sa"/>
        </w:rPr>
      </w:r>
      <w:r>
        <w:rPr>
          <w:rStyle w:val="char17"/>
          <w:rFonts w:eastAsia="Arial Unicode MS"/>
          <w:vertAlign w:val="superscript"/>
          <w:lang w:bidi="ar-sa"/>
        </w:rPr>
        <w:footnoteRef/>
      </w:r>
      <w:r>
        <w:rPr>
          <w:rFonts w:eastAsia="Arial Unicode MS"/>
          <w:lang w:bidi="ar-sa"/>
        </w:rPr>
        <w:t xml:space="preserve"> </w:t>
      </w:r>
      <w:r>
        <w:rPr>
          <w:rFonts w:eastAsia="Arial Unicode MS"/>
          <w:szCs w:val="20"/>
          <w:lang w:bidi="ar-sa"/>
        </w:rPr>
        <w:t xml:space="preserve">Graduando em Direito - Centro Universitário Paraíso - UniFAP, </w:t>
      </w:r>
      <w:hyperlink r:id="rId1" w:history="1">
        <w:r>
          <w:rPr>
            <w:rStyle w:val="char32"/>
            <w:rFonts w:eastAsia="Arial Unicode MS"/>
            <w:szCs w:val="20"/>
            <w:lang w:bidi="ar-sa"/>
          </w:rPr>
          <w:t>valdembergnobre@gmail.com</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ind w:firstLine="0"/>
      <w:spacing w:after="240"/>
      <w:jc w:val="center"/>
      <w:tabs defTabSz="720">
        <w:tab w:val="center" w:pos="4252" w:leader="none"/>
        <w:tab w:val="right" w:pos="8504" w:leader="none"/>
      </w:tab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noProof/>
      </w:rPr>
      <w:drawing>
        <wp:anchor distT="0" distB="0" distL="0" distR="0" simplePos="0" relativeHeight="251658246" behindDoc="1" locked="0" layoutInCell="0" hidden="0" allowOverlap="1">
          <wp:simplePos x="0" y="0"/>
          <wp:positionH relativeFrom="column">
            <wp:posOffset>2790190</wp:posOffset>
          </wp:positionH>
          <wp:positionV relativeFrom="paragraph">
            <wp:posOffset>132715</wp:posOffset>
          </wp:positionV>
          <wp:extent cx="991235" cy="210185"/>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a:extLst>
                      <a:ext uri="smNativeData">
                        <sm:smNativeData xmlns:sm="smNativeData" val="SMDATA_14_Rh8vZ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AAAAAQIAAAAAAAAAAAAAAAAAAAAgAAACoRAAAAAAAAAgAAANEAAAAZBgAASwEAAAAAAADOFwAAlwIAACgAAAAIAAAAAQAAAAEAAAA="/>
                      </a:ext>
                    </a:extLst>
                  </pic:cNvPicPr>
                </pic:nvPicPr>
                <pic:blipFill>
                  <a:blip r:embed="rId1"/>
                  <a:stretch>
                    <a:fillRect/>
                  </a:stretch>
                </pic:blipFill>
                <pic:spPr>
                  <a:xfrm>
                    <a:off x="0" y="0"/>
                    <a:ext cx="991235" cy="210185"/>
                  </a:xfrm>
                  <a:prstGeom prst="rect">
                    <a:avLst/>
                  </a:prstGeom>
                  <a:noFill/>
                  <a:ln w="9525">
                    <a:noFill/>
                  </a:ln>
                </pic:spPr>
              </pic:pic>
            </a:graphicData>
          </a:graphic>
        </wp:anchor>
      </w:drawing>
    </w:r>
    <w:r>
      <w:rPr>
        <w:noProof/>
      </w:rPr>
      <w:drawing>
        <wp:inline distT="0" distB="0" distL="0" distR="0">
          <wp:extent cx="2181860" cy="55372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descr="Texto&#10;&#10;Descrição gerada automaticamente com confiança média"/>
                  <pic:cNvPicPr>
                    <a:extLst>
                      <a:ext uri="smNativeData">
                        <sm:smNativeData xmlns:sm="smNativeData" val="SMDATA_14_Rh8vZ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gwgAAEQHAACdCAAAmQk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AAAAAXoAAAAAAAAAAAAAAAAAAAAAAAAAAAAAAAAAAAAAAAAAAAAABsDQAAaAMAAAAAAAAAAAAAAAAAACgAAAAIAAAAAQAAAAEAAAA="/>
                      </a:ext>
                    </a:extLst>
                  </pic:cNvPicPr>
                </pic:nvPicPr>
                <pic:blipFill>
                  <a:blip r:embed="rId2"/>
                  <a:srcRect l="21790" t="18600" r="22050" b="24570"/>
                  <a:stretch>
                    <a:fillRect/>
                  </a:stretch>
                </pic:blipFill>
                <pic:spPr>
                  <a:xfrm>
                    <a:off x="0" y="0"/>
                    <a:ext cx="2181860" cy="553720"/>
                  </a:xfrm>
                  <a:prstGeom prst="rect">
                    <a:avLst/>
                  </a:prstGeom>
                  <a:noFill/>
                  <a:ln w="9525">
                    <a:noFill/>
                  </a:ln>
                </pic:spPr>
              </pic:pic>
            </a:graphicData>
          </a:graphic>
        </wp:inline>
      </w:drawing>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ind w:firstLine="0"/>
      <w:spacing/>
      <w:jc w:val="center"/>
      <w:tabs defTabSz="720">
        <w:tab w:val="center" w:pos="4252" w:leader="none"/>
        <w:tab w:val="right" w:pos="8504" w:leader="none"/>
      </w:tab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noProof/>
      </w:rPr>
      <mc:AlternateContent>
        <mc:Choice Requires="wps">
          <w:drawing>
            <wp:anchor distT="0" distB="0" distL="0" distR="0" simplePos="0" relativeHeight="251658244" behindDoc="1" locked="0" layoutInCell="0" hidden="0" allowOverlap="1">
              <wp:simplePos x="0" y="0"/>
              <wp:positionH relativeFrom="column">
                <wp:posOffset>-1092200</wp:posOffset>
              </wp:positionH>
              <wp:positionV relativeFrom="paragraph">
                <wp:posOffset>-266700</wp:posOffset>
              </wp:positionV>
              <wp:extent cx="7581900" cy="1458595"/>
              <wp:effectExtent l="0" t="0" r="0" b="0"/>
              <wp:wrapNone/>
              <wp:docPr id="4" name="Shape 3"/>
              <wp:cNvGraphicFramePr/>
              <a:graphic xmlns:a="http://schemas.openxmlformats.org/drawingml/2006/main">
                <a:graphicData uri="http://schemas.microsoft.com/office/word/2010/wordprocessingShape">
                  <wps:wsp>
                    <wps:cNvSpPr>
                      <a:extLst>
                        <a:ext uri="smNativeData">
                          <sm:smNativeData xmlns:sm="smNativeData" val="SMDATA_12_Rh8vZRMAAAAlAAAASAEAAA0AAAAAkAAAAJAAAACQAAAAkAAAAAAAAAABAAAAAAAAAAEAAABQAAAAAAAAAAAA4D8AAAAAAADgPwAAAAAAAOA/AAAAAAAA4D8AAAAAAADgPwAAAAAAAOA/AAAAAAAA4D8AAAAAAADgPwAAAAAAAOA/AAAAAAAA4D8CAAAAjAAAAAEAAAACAAAA////AAAAAAAAAAAAAAAAAFwlsG3ZbBZFnME/eSVvUW0B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IAAAA+P///wgAAAD4////ECcAABAnAAAAAAAAAAAAAAAAAAAAZAAAAAAAAAAAAAAAAAAAAAAAABQAAAAAAAAAwMD/AAAAAABkAAAAMgAAAAAAAABkAAAAAAAAAH9/fwAKAAAAIQAAAEAAAAA8AAAAAAAAABAgAAAAAAAAAAAAAAAAAAACAAAAHQwAAAAAAAACAAAAh+v///kIAACkLgAAAgAAAMESAABN7f//KAAAAAgAAAABAAAAAQAAAA=="/>
                        </a:ext>
                      </a:extLst>
                    </wps:cNvSpPr>
                    <wps:spPr>
                      <a:xfrm rot="5400000">
                        <a:off x="0" y="0"/>
                        <a:ext cx="7581900" cy="1458595"/>
                      </a:xfrm>
                      <a:prstGeom prst="flowChartDelay">
                        <a:avLst/>
                      </a:prstGeom>
                      <a:blipFill>
                        <a:blip r:embed="rId1">
                          <a:alphaRepl a="0"/>
                        </a:blip>
                        <a:stretch>
                          <a:fillRect l="80" t="-80" r="80" b="-80"/>
                        </a:stretch>
                      </a:blipFill>
                      <a:ln>
                        <a:noFill/>
                      </a:ln>
                    </wps:spPr>
                    <wps:txbx>
                      <w:txbxContent>
                        <w:p>
                          <w:pPr>
                            <w:ind w:firstLine="0"/>
                            <w:spacing w:after="0"/>
                            <w:jc w:val="left"/>
                          </w:pPr>
                          <w:r/>
                        </w:p>
                      </w:txbxContent>
                    </wps:txbx>
                    <wps:bodyPr spcFirstLastPara="1" vertOverflow="clip" horzOverflow="clip" lIns="91440" tIns="91440" rIns="91440" bIns="91440" anchor="ctr" upright="1">
                      <a:prstTxWarp prst="textNoShape">
                        <a:avLst/>
                      </a:prstTxWarp>
                      <a:noAutofit/>
                    </wps:bodyPr>
                  </wps:wsp>
                </a:graphicData>
              </a:graphic>
            </wp:anchor>
          </w:drawing>
        </mc:Choice>
        <mc:Fallback>
          <w:pict>
            <v:shapetype id="_x0000_t135" coordsize="21600,21600" o:spt="135" path="m10800,qx21600,10800,10800,21600l,21600,,xe">
              <v:stroke joinstyle="miter"/>
              <v:path gradientshapeok="t" o:connecttype="rect" textboxrect="0,3163,18437,18437"/>
            </v:shapetype>
            <v:shape id="Shape 3" o:spid="_x0000_s4097" type="#_x0000_t135" style="position:absolute;margin-left:-86.02pt;margin-top:-20.98pt;width:597.00pt;height:114.85pt;rotation:90.0;z-index:251658244;mso-wrap-distance-left:0.00pt;mso-wrap-distance-top:0.00pt;mso-wrap-distance-right:0.00pt;mso-wrap-distance-bottom:0.00pt;mso-wrap-style:square" stroked="f" fillcolor="#ffffff" v:ext="SMDATA_12_Rh8vZRMAAAAlAAAASAEAAA0AAAAAkAAAAJAAAACQAAAAkAAAAAAAAAABAAAAAAAAAAEAAABQAAAAAAAAAAAA4D8AAAAAAADgPwAAAAAAAOA/AAAAAAAA4D8AAAAAAADgPwAAAAAAAOA/AAAAAAAA4D8AAAAAAADgPwAAAAAAAOA/AAAAAAAA4D8CAAAAjAAAAAEAAAACAAAA////AAAAAAAAAAAAAAAAAFwlsG3ZbBZFnME/eSVvUW0B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IAAAA+P///wgAAAD4////ECcAABAnAAAAAAAAAAAAAAAAAAAAZAAAAAAAAAAAAAAAAAAAAAAAABQAAAAAAAAAwMD/AAAAAABkAAAAMgAAAAAAAABkAAAAAAAAAH9/fwAKAAAAIQAAAEAAAAA8AAAAAAAAABAgAAAAAAAAAAAAAAAAAAACAAAAHQwAAAAAAAACAAAAh+v///kIAACkLgAAAgAAAMESAABN7f//KAAAAAgAAAABAAAAAQAAAA==" o:insetmode="custom">
              <v:fill r:id="rId1" color2="#000000" type="frame" opacity="0f" angle="90"/>
              <w10:wrap type="none" anchorx="text" anchory="text"/>
              <v:textbox style="v-text-anchor:middle" inset="7.2pt,7.2pt,7.2pt,7.2pt">
                <w:txbxContent>
                  <w:p>
                    <w:pPr>
                      <w:ind w:firstLine="0"/>
                      <w:spacing w:after="0"/>
                      <w:jc w:val="left"/>
                    </w:pPr>
                    <w:r/>
                  </w:p>
                </w:txbxContent>
              </v:textbox>
            </v:shape>
          </w:pict>
        </mc:Fallback>
      </mc:AlternateContent>
    </w:r>
    <w:r>
      <w:rPr>
        <w:noProof/>
      </w:rPr>
      <w:drawing>
        <wp:inline distT="0" distB="0" distL="0" distR="0">
          <wp:extent cx="3856355" cy="977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a:extLst>
                      <a:ext uri="smNativeData">
                        <sm:smNativeData xmlns:sm="smNativeData" val="SMDATA_14_Rh8vZ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gwgAAEQHAACdCAAAmQk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AAAAAXoAAAAAAAAAAAAAAAAAAAAAAAAAAAAAAAAAAAAAAAAAAAAAC5FwAABAYAAAIAAAAAAAAAAAAAACgAAAAIAAAAAQAAAAEAAAA="/>
                      </a:ext>
                    </a:extLst>
                  </pic:cNvPicPr>
                </pic:nvPicPr>
                <pic:blipFill>
                  <a:blip r:embed="rId2"/>
                  <a:srcRect l="21790" t="18600" r="22050" b="24570"/>
                  <a:stretch>
                    <a:fillRect/>
                  </a:stretch>
                </pic:blipFill>
                <pic:spPr>
                  <a:xfrm>
                    <a:off x="0" y="0"/>
                    <a:ext cx="3856355" cy="977900"/>
                  </a:xfrm>
                  <a:prstGeom prst="rect">
                    <a:avLst/>
                  </a:prstGeom>
                  <a:noFill/>
                  <a:ln w="9525">
                    <a:noFill/>
                  </a:ln>
                </pic:spPr>
              </pic:pic>
            </a:graphicData>
          </a:graphic>
        </wp:inline>
      </w:drawing>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0"/>
  <w:captions>
    <w:caption w:name="Tabela" w:pos="below" w:numFmt="decimal"/>
    <w:caption w:name="Figura" w:pos="below" w:numFmt="decimal"/>
    <w:caption w:name="Imagem"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decimal"/>
    <w:numStart w:val="1"/>
    <w:numRestart w:val="continuous"/>
  </w:endnotePr>
  <w:compat/>
  <w:compatSetting w:name="compatibilityMode" w:uri="http://schemas.microsoft.com/office/word" w:val="15"/>
  <w:shapeDefaults>
    <o:shapedefaults v:ext="edit" spidmax="5122"/>
    <o:shapelayout v:ext="edit">
      <o:rules v:ext="edit"/>
    </o:shapelayout>
  </w:shapeDefaults>
  <w:tmPrefOne w:val="17"/>
  <w:tmPrefTwo w:val="1"/>
  <w:tmFmtPref w:val="55065707"/>
  <w:tmCommentsPr>
    <w:tmCommentsPlace w:val="0"/>
    <w:tmCommentsWidth w:val="3119"/>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1"/>
    <w:tmLastPosCaret>
      <w:tmLastPosPgfIdx w:val="0"/>
      <w:tmLastPosIdx w:val="25"/>
    </w:tmLastPosCaret>
    <w:tmLastPosAnchor>
      <w:tmLastPosPgfIdx w:val="0"/>
      <w:tmLastPosIdx w:val="0"/>
    </w:tmLastPosAnchor>
    <w:tmLastPosTblRect w:left="0" w:top="0" w:right="0" w:bottom="0"/>
  </w:tmLastPos>
  <w:tmAppRevision w:date="1697587014" w:val="982"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color w:val="00000a"/>
        <w:sz w:val="24"/>
        <w:szCs w:val="24"/>
        <w:lang w:val="pt-br" w:eastAsia="zh-cn" w:bidi="ar-sa"/>
      </w:rPr>
    </w:rPrDefault>
    <w:pPrDefault>
      <w:pPr>
        <w:ind w:firstLine="709"/>
        <w:spacing w:after="120"/>
        <w:jc w:val="both"/>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ind w:firstLine="0"/>
      <w:spacing w:before="480" w:line="360" w:lineRule="auto"/>
      <w:keepNext/>
      <w:widowControl/>
    </w:pPr>
    <w:rPr>
      <w:b/>
      <w:smallCaps/>
      <w:color w:val="000000"/>
    </w:rPr>
  </w:style>
  <w:style w:type="paragraph" w:styleId="para2">
    <w:name w:val="heading 2"/>
    <w:qFormat/>
    <w:basedOn w:val="para0"/>
    <w:next w:val="para0"/>
    <w:pPr>
      <w:ind w:firstLine="0"/>
      <w:spacing w:before="480" w:after="240" w:line="360" w:lineRule="auto"/>
      <w:widowControl/>
    </w:pPr>
    <w:rPr>
      <w:b/>
      <w:color w:val="000000"/>
    </w:rPr>
  </w:style>
  <w:style w:type="paragraph" w:styleId="para3">
    <w:name w:val="heading 3"/>
    <w:qFormat/>
    <w:basedOn w:val="para0"/>
    <w:next w:val="para0"/>
    <w:pPr>
      <w:ind w:left="624" w:hanging="624"/>
      <w:spacing w:before="480" w:after="240" w:line="360" w:lineRule="auto"/>
      <w:widowControl/>
    </w:pPr>
    <w:rPr>
      <w:color w:val="000000"/>
    </w:rPr>
  </w:style>
  <w:style w:type="paragraph" w:styleId="para4">
    <w:name w:val="heading 4"/>
    <w:qFormat/>
    <w:basedOn w:val="para0"/>
    <w:next w:val="para0"/>
    <w:pPr>
      <w:ind w:left="851" w:hanging="851"/>
      <w:spacing w:before="480" w:after="240" w:line="360" w:lineRule="auto"/>
      <w:jc w:val="left"/>
      <w:widowControl/>
    </w:pPr>
    <w:rPr>
      <w:i/>
      <w:color w:val="000000"/>
    </w:rPr>
  </w:style>
  <w:style w:type="paragraph" w:styleId="para5">
    <w:name w:val="heading 5"/>
    <w:qFormat/>
    <w:basedOn w:val="para0"/>
    <w:next w:val="para0"/>
    <w:pPr>
      <w:ind w:firstLine="0"/>
      <w:spacing w:before="40" w:line="360" w:lineRule="auto"/>
      <w:jc w:val="left"/>
      <w:widowControl/>
    </w:pPr>
    <w:rPr>
      <w:i/>
      <w:color w:val="000000"/>
      <w:sz w:val="22"/>
      <w:szCs w:val="22"/>
    </w:rPr>
  </w:style>
  <w:style w:type="paragraph" w:styleId="para6">
    <w:name w:val="heading 6"/>
    <w:qFormat/>
    <w:basedOn w:val="para0"/>
    <w:next w:val="para0"/>
    <w:pPr>
      <w:ind w:left="1152" w:hanging="1152"/>
      <w:spacing w:before="240" w:after="60" w:line="360" w:lineRule="auto"/>
      <w:widowControl/>
    </w:pPr>
    <w:rPr>
      <w:i/>
      <w:color w:val="000000"/>
      <w:sz w:val="22"/>
      <w:szCs w:val="22"/>
    </w:rPr>
  </w:style>
  <w:style w:type="paragraph" w:styleId="para7">
    <w:name w:val="Title"/>
    <w:qFormat/>
    <w:basedOn w:val="para0"/>
    <w:next w:val="para0"/>
    <w:pPr>
      <w:spacing w:before="240" w:after="60"/>
      <w:jc w:val="center"/>
    </w:pPr>
    <w:rPr>
      <w:b/>
      <w:smallCaps/>
      <w:sz w:val="28"/>
      <w:szCs w:val="28"/>
    </w:rPr>
  </w:style>
  <w:style w:type="paragraph" w:styleId="para8" w:customStyle="1">
    <w:name w:val="Normal*"/>
    <w:qFormat/>
    <w:pPr>
      <w:suppressAutoHyphens/>
      <w:hyphenationLines w:val="0"/>
    </w:pPr>
    <w:rPr>
      <w:rFonts w:eastAsia="Arial Unicode MS"/>
      <w:color w:val="00000a"/>
      <w:sz w:val="24"/>
      <w:szCs w:val="24"/>
      <w:lang w:val="pt-br"/>
    </w:rPr>
  </w:style>
  <w:style w:type="paragraph" w:styleId="para9" w:customStyle="1">
    <w:name w:val="heading 1"/>
    <w:qFormat/>
    <w:basedOn w:val="para0"/>
    <w:next w:val="para0"/>
    <w:pPr>
      <w:ind w:firstLine="0"/>
      <w:spacing w:before="480" w:line="360" w:lineRule="auto"/>
      <w:keepNext/>
      <w:outlineLvl w:val="0"/>
      <w:widowControl/>
    </w:pPr>
    <w:rPr>
      <w:b/>
      <w:caps/>
      <w:color w:val="auto"/>
      <w:szCs w:val="20"/>
    </w:rPr>
  </w:style>
  <w:style w:type="paragraph" w:styleId="para10" w:customStyle="1">
    <w:name w:val="heading 2"/>
    <w:qFormat/>
    <w:basedOn w:val="para0"/>
    <w:next w:val="para0"/>
    <w:pPr>
      <w:ind w:firstLine="0"/>
      <w:spacing w:before="480" w:after="240" w:line="360" w:lineRule="auto"/>
      <w:outlineLvl w:val="1"/>
      <w:widowControl/>
    </w:pPr>
    <w:rPr>
      <w:b/>
      <w:bCs/>
      <w:color w:val="auto"/>
      <w:szCs w:val="20"/>
    </w:rPr>
  </w:style>
  <w:style w:type="paragraph" w:styleId="para11" w:customStyle="1">
    <w:name w:val="heading 3"/>
    <w:qFormat/>
    <w:basedOn w:val="para0"/>
    <w:next w:val="para0"/>
    <w:pPr>
      <w:ind w:left="624" w:hanging="624"/>
      <w:spacing w:before="480" w:after="240" w:line="360" w:lineRule="auto"/>
      <w:outlineLvl w:val="2"/>
      <w:widowControl/>
    </w:pPr>
    <w:rPr>
      <w:rFonts w:cs="Arial"/>
      <w:color w:val="auto"/>
      <w:szCs w:val="20"/>
    </w:rPr>
  </w:style>
  <w:style w:type="paragraph" w:styleId="para12" w:customStyle="1">
    <w:name w:val="heading 4"/>
    <w:qFormat/>
    <w:basedOn w:val="para11"/>
    <w:next w:val="para0"/>
    <w:pPr>
      <w:ind w:left="851" w:hanging="851"/>
      <w:spacing/>
      <w:jc w:val="left"/>
      <w:outlineLvl w:val="3"/>
    </w:pPr>
    <w:rPr>
      <w:i/>
    </w:rPr>
  </w:style>
  <w:style w:type="paragraph" w:styleId="para13" w:customStyle="1">
    <w:name w:val="heading 5"/>
    <w:qFormat/>
    <w:basedOn w:val="para0"/>
    <w:next w:val="para0"/>
    <w:pPr>
      <w:ind w:firstLine="0"/>
      <w:spacing w:before="40" w:line="360" w:lineRule="auto"/>
      <w:jc w:val="left"/>
      <w:outlineLvl w:val="4"/>
      <w:widowControl/>
    </w:pPr>
    <w:rPr>
      <w:i/>
      <w:iCs/>
      <w:color w:val="auto"/>
      <w:sz w:val="22"/>
      <w:szCs w:val="22"/>
      <w:lang w:val="pt-pt"/>
    </w:rPr>
  </w:style>
  <w:style w:type="paragraph" w:styleId="para14" w:customStyle="1">
    <w:name w:val="heading 6"/>
    <w:qFormat/>
    <w:basedOn w:val="para0"/>
    <w:next w:val="para0"/>
    <w:pPr>
      <w:spacing w:before="240" w:after="60" w:line="360" w:lineRule="auto"/>
      <w:outlineLvl w:val="5"/>
      <w:widowControl/>
    </w:pPr>
    <w:rPr>
      <w:rFonts w:cs="Arial"/>
      <w:i/>
      <w:iCs/>
      <w:color w:val="auto"/>
      <w:sz w:val="22"/>
      <w:szCs w:val="22"/>
      <w:lang w:val="pt-pt"/>
    </w:rPr>
  </w:style>
  <w:style w:type="paragraph" w:styleId="para15">
    <w:name w:val="heading 7"/>
    <w:qFormat/>
    <w:basedOn w:val="para0"/>
    <w:next w:val="para0"/>
    <w:pPr>
      <w:spacing w:before="240" w:after="60" w:line="360" w:lineRule="auto"/>
      <w:outlineLvl w:val="6"/>
      <w:widowControl/>
    </w:pPr>
    <w:rPr>
      <w:rFonts w:cs="Arial"/>
      <w:color w:val="auto"/>
      <w:szCs w:val="20"/>
      <w:lang w:val="pt-pt"/>
    </w:rPr>
  </w:style>
  <w:style w:type="paragraph" w:styleId="para16">
    <w:name w:val="heading 8"/>
    <w:qFormat/>
    <w:basedOn w:val="para0"/>
    <w:next w:val="para0"/>
    <w:pPr>
      <w:spacing w:before="240" w:after="60" w:line="360" w:lineRule="auto"/>
      <w:outlineLvl w:val="7"/>
      <w:widowControl/>
    </w:pPr>
    <w:rPr>
      <w:rFonts w:cs="Arial"/>
      <w:i/>
      <w:iCs/>
      <w:color w:val="auto"/>
      <w:szCs w:val="20"/>
      <w:lang w:val="pt-pt"/>
    </w:rPr>
  </w:style>
  <w:style w:type="paragraph" w:styleId="para17">
    <w:name w:val="heading 9"/>
    <w:qFormat/>
    <w:basedOn w:val="para0"/>
    <w:next w:val="para0"/>
    <w:pPr>
      <w:spacing w:before="240" w:after="60" w:line="360" w:lineRule="auto"/>
      <w:outlineLvl w:val="8"/>
      <w:widowControl/>
    </w:pPr>
    <w:rPr>
      <w:rFonts w:cs="Arial"/>
      <w:i/>
      <w:iCs/>
      <w:color w:val="auto"/>
      <w:sz w:val="18"/>
      <w:szCs w:val="18"/>
      <w:lang w:val="pt-pt"/>
    </w:rPr>
  </w:style>
  <w:style w:type="paragraph" w:styleId="para18" w:customStyle="1">
    <w:name w:val="Title"/>
    <w:qFormat/>
    <w:basedOn w:val="para0"/>
    <w:next w:val="para19"/>
    <w:pPr>
      <w:spacing w:before="240" w:after="60"/>
      <w:jc w:val="center"/>
      <w:outlineLvl w:val="0"/>
    </w:pPr>
    <w:rPr>
      <w:b/>
      <w:bCs/>
      <w:caps/>
      <w:sz w:val="28"/>
      <w:szCs w:val="32"/>
    </w:rPr>
  </w:style>
  <w:style w:type="paragraph" w:styleId="para19">
    <w:name w:val="Body Text"/>
    <w:qFormat/>
    <w:basedOn w:val="para0"/>
  </w:style>
  <w:style w:type="paragraph" w:styleId="para20">
    <w:name w:val="List"/>
    <w:qFormat/>
    <w:basedOn w:val="para19"/>
    <w:rPr>
      <w:rFonts w:cs="Lohit Devanagari"/>
    </w:rPr>
  </w:style>
  <w:style w:type="paragraph" w:styleId="para21">
    <w:name w:val="caption"/>
    <w:qFormat/>
    <w:basedOn w:val="para0"/>
    <w:pPr>
      <w:spacing w:before="120"/>
      <w:suppressLineNumbers/>
    </w:pPr>
    <w:rPr>
      <w:rFonts w:cs="Lohit Devanagari"/>
      <w:i/>
      <w:iCs/>
    </w:rPr>
  </w:style>
  <w:style w:type="paragraph" w:styleId="para22" w:customStyle="1">
    <w:name w:val="Índice"/>
    <w:qFormat/>
    <w:basedOn w:val="para0"/>
    <w:pPr>
      <w:suppressLineNumbers/>
    </w:pPr>
    <w:rPr>
      <w:rFonts w:cs="Lohit Devanagari"/>
    </w:rPr>
  </w:style>
  <w:style w:type="paragraph" w:styleId="para23">
    <w:name w:val="Balloon Text"/>
    <w:qFormat/>
    <w:basedOn w:val="para0"/>
    <w:pPr>
      <w:ind w:firstLine="0"/>
      <w:spacing/>
      <w:jc w:val="left"/>
      <w:widowControl/>
    </w:pPr>
    <w:rPr>
      <w:rFonts w:ascii="Tahoma" w:hAnsi="Tahoma" w:eastAsia="Calibri"/>
      <w:sz w:val="16"/>
      <w:szCs w:val="16"/>
    </w:rPr>
  </w:style>
  <w:style w:type="paragraph" w:styleId="para24" w:customStyle="1">
    <w:name w:val="Título da seção primária"/>
    <w:qFormat/>
    <w:basedOn w:val="para0"/>
    <w:pPr>
      <w:ind w:firstLine="0"/>
    </w:pPr>
    <w:rPr>
      <w:b/>
      <w:sz w:val="26"/>
    </w:rPr>
  </w:style>
  <w:style w:type="paragraph" w:styleId="para25" w:customStyle="1">
    <w:name w:val="Referências"/>
    <w:qFormat/>
    <w:basedOn w:val="para0"/>
    <w:pPr>
      <w:ind w:firstLine="0"/>
      <w:spacing w:before="120"/>
      <w:jc w:val="left"/>
    </w:pPr>
    <w:rPr>
      <w:rFonts w:cs="Arial"/>
    </w:rPr>
  </w:style>
  <w:style w:type="paragraph" w:styleId="para26" w:customStyle="1">
    <w:name w:val="Leyenda de figura o tabla"/>
    <w:qFormat/>
    <w:basedOn w:val="para0"/>
    <w:pPr>
      <w:spacing w:before="120" w:after="360"/>
      <w:jc w:val="center"/>
      <w:widowControl/>
    </w:pPr>
    <w:rPr>
      <w:i/>
      <w:sz w:val="18"/>
      <w:lang w:val="en-us"/>
    </w:rPr>
  </w:style>
  <w:style w:type="paragraph" w:styleId="para27" w:customStyle="1">
    <w:name w:val="Tabla-Texto"/>
    <w:qFormat/>
    <w:basedOn w:val="para0"/>
    <w:pPr>
      <w:spacing w:before="20" w:after="20"/>
      <w:widowControl/>
    </w:pPr>
    <w:rPr>
      <w:sz w:val="18"/>
      <w:lang w:val="en-us"/>
    </w:rPr>
  </w:style>
  <w:style w:type="paragraph" w:styleId="para28">
    <w:name w:val="Header"/>
    <w:qFormat/>
    <w:basedOn w:val="para0"/>
    <w:pPr>
      <w:tabs defTabSz="720">
        <w:tab w:val="center" w:pos="4252" w:leader="none"/>
        <w:tab w:val="right" w:pos="8504" w:leader="none"/>
      </w:tabs>
    </w:pPr>
  </w:style>
  <w:style w:type="paragraph" w:styleId="para29">
    <w:name w:val="Footer"/>
    <w:qFormat/>
    <w:basedOn w:val="para0"/>
    <w:pPr>
      <w:tabs defTabSz="720">
        <w:tab w:val="center" w:pos="4252" w:leader="none"/>
        <w:tab w:val="right" w:pos="8504" w:leader="none"/>
      </w:tabs>
    </w:pPr>
  </w:style>
  <w:style w:type="paragraph" w:styleId="para30">
    <w:name w:val="Endnote Text"/>
    <w:qFormat/>
    <w:basedOn w:val="para0"/>
    <w:rPr>
      <w:sz w:val="20"/>
      <w:szCs w:val="20"/>
    </w:rPr>
  </w:style>
  <w:style w:type="paragraph" w:styleId="para31">
    <w:name w:val="Footnote Text"/>
    <w:qFormat/>
    <w:basedOn w:val="para0"/>
    <w:pPr>
      <w:ind w:firstLine="0"/>
      <w:spacing/>
      <w:jc w:val="left"/>
    </w:pPr>
    <w:rPr>
      <w:sz w:val="20"/>
    </w:rPr>
  </w:style>
  <w:style w:type="paragraph" w:styleId="para32" w:customStyle="1">
    <w:name w:val="Frame Contents"/>
    <w:qFormat/>
    <w:basedOn w:val="para0"/>
  </w:style>
  <w:style w:type="paragraph" w:styleId="para33" w:customStyle="1">
    <w:name w:val="Linha horizontal"/>
    <w:qFormat/>
    <w:basedOn w:val="para0"/>
    <w:pPr>
      <w:spacing w:after="283"/>
      <w:jc w:val="left"/>
      <w:suppressLineNumbers/>
      <w:pBdr>
        <w:top w:val="nil" w:sz="0" w:space="3" w:color="000000" tmln="20, 20, 20, 0, 60"/>
        <w:left w:val="nil" w:sz="0" w:space="3" w:color="000000" tmln="20, 20, 20, 0, 60"/>
        <w:bottom w:val="double" w:sz="6" w:space="0" w:color="808080" tmln="5, 5, 5, 0, 0"/>
        <w:right w:val="nil" w:sz="0" w:space="3" w:color="000000" tmln="20, 20, 20, 0, 60"/>
        <w:between w:val="nil" w:sz="0" w:space="0" w:color="000000" tmln="20, 20, 20, 0, 0"/>
      </w:pBdr>
      <w:shd w:val="none"/>
    </w:pPr>
    <w:rPr>
      <w:sz w:val="12"/>
      <w:szCs w:val="12"/>
    </w:rPr>
  </w:style>
  <w:style w:type="paragraph" w:styleId="para34" w:customStyle="1">
    <w:name w:val="Conteúdo da tabela"/>
    <w:qFormat/>
    <w:basedOn w:val="para0"/>
    <w:pPr>
      <w:suppressLineNumbers/>
    </w:pPr>
  </w:style>
  <w:style w:type="paragraph" w:styleId="para35" w:customStyle="1">
    <w:name w:val="Endnote Symbol"/>
    <w:qFormat/>
    <w:basedOn w:val="para0"/>
    <w:pPr>
      <w:ind w:left="339" w:hanging="339"/>
      <w:spacing/>
      <w:jc w:val="left"/>
      <w:suppressLineNumbers/>
    </w:pPr>
    <w:rPr>
      <w:sz w:val="20"/>
      <w:szCs w:val="20"/>
    </w:rPr>
  </w:style>
  <w:style w:type="paragraph" w:styleId="para36" w:customStyle="1">
    <w:name w:val="Título de tabela"/>
    <w:qFormat/>
    <w:basedOn w:val="para34"/>
  </w:style>
  <w:style w:type="paragraph" w:styleId="para37" w:customStyle="1">
    <w:name w:val="Resumos e palavras-chaves"/>
    <w:qFormat/>
    <w:basedOn w:val="para0"/>
    <w:pPr>
      <w:ind w:firstLine="0"/>
      <w:spacing w:before="240" w:after="240"/>
    </w:pPr>
    <w:rPr>
      <w:sz w:val="22"/>
    </w:rPr>
  </w:style>
  <w:style w:type="paragraph" w:styleId="para38" w:customStyle="1">
    <w:name w:val="Referência"/>
    <w:qFormat/>
    <w:basedOn w:val="para0"/>
    <w:pPr>
      <w:ind w:firstLine="0"/>
      <w:spacing w:after="240" w:line="360" w:lineRule="auto"/>
      <w:jc w:val="left"/>
      <w:widowControl/>
    </w:pPr>
    <w:rPr>
      <w:color w:val="000000"/>
      <w:lang w:val="pt-pt"/>
    </w:rPr>
  </w:style>
  <w:style w:type="paragraph" w:styleId="para39" w:customStyle="1">
    <w:name w:val="Seção Terciária"/>
    <w:qFormat/>
    <w:basedOn w:val="para11"/>
    <w:rPr>
      <w:b/>
      <w:i/>
    </w:rPr>
  </w:style>
  <w:style w:type="paragraph" w:styleId="para40">
    <w:name w:val="List Paragraph"/>
    <w:qFormat/>
    <w:basedOn w:val="para0"/>
    <w:pPr>
      <w:ind w:left="720"/>
      <w:contextualSpacing/>
    </w:pPr>
  </w:style>
  <w:style w:type="paragraph" w:styleId="para41" w:customStyle="1">
    <w:name w:val="annotation text"/>
    <w:qFormat/>
    <w:basedOn w:val="para0"/>
    <w:rPr>
      <w:sz w:val="20"/>
      <w:szCs w:val="20"/>
    </w:rPr>
  </w:style>
  <w:style w:type="paragraph" w:styleId="para42" w:customStyle="1">
    <w:name w:val="annotation subject"/>
    <w:qFormat/>
    <w:basedOn w:val="para41"/>
    <w:next w:val="para41"/>
    <w:rPr>
      <w:b/>
      <w:bCs/>
    </w:rPr>
  </w:style>
  <w:style w:type="paragraph" w:styleId="para43">
    <w:name w:val="Body Text Indent"/>
    <w:qFormat/>
    <w:basedOn w:val="para0"/>
    <w:pPr>
      <w:ind w:left="283"/>
    </w:pPr>
  </w:style>
  <w:style w:type="paragraph" w:styleId="para44" w:customStyle="1">
    <w:name w:val="Seção Primária"/>
    <w:qFormat/>
    <w:basedOn w:val="para24"/>
    <w:pPr>
      <w:spacing w:before="480" w:after="280" w:line="360" w:lineRule="auto"/>
    </w:pPr>
    <w:rPr>
      <w:caps/>
      <w:sz w:val="24"/>
    </w:rPr>
  </w:style>
  <w:style w:type="paragraph" w:styleId="para45" w:customStyle="1">
    <w:name w:val="Subseção2_XVIII_ENANCIB"/>
    <w:qFormat/>
    <w:basedOn w:val="para11"/>
    <w:pPr>
      <w:spacing w:before="120" w:after="120" w:line="240" w:lineRule="auto"/>
      <w:jc w:val="left"/>
      <w:keepNext/>
    </w:pPr>
    <w:rPr>
      <w:rFonts w:ascii="Calibri" w:hAnsi="Calibri" w:cs="Calibri"/>
      <w:bCs/>
      <w:i/>
      <w:szCs w:val="26"/>
      <w:lang w:val="en-us"/>
    </w:rPr>
  </w:style>
  <w:style w:type="paragraph" w:styleId="para46">
    <w:name w:val="Subtitle"/>
    <w:qFormat/>
    <w:basedOn w:val="para0"/>
    <w:next w:val="para0"/>
    <w:pPr>
      <w:spacing w:before="360" w:after="80"/>
      <w:keepNext/>
      <w:keepLines/>
    </w:pPr>
    <w:rPr>
      <w:rFonts w:ascii="Georgia" w:hAnsi="Georgia" w:eastAsia="Georgia" w:cs="Georgia"/>
      <w:i/>
      <w:color w:val="666666"/>
      <w:sz w:val="48"/>
      <w:szCs w:val="48"/>
    </w:rPr>
  </w:style>
  <w:style w:type="character" w:styleId="char0" w:default="1">
    <w:name w:val="Default Paragraph Font"/>
  </w:style>
  <w:style w:type="character" w:styleId="char1" w:customStyle="1">
    <w:name w:val="Texto de balão Char"/>
    <w:rPr>
      <w:rFonts w:ascii="Tahoma" w:hAnsi="Tahoma" w:cs="Tahoma"/>
      <w:sz w:val="16"/>
      <w:szCs w:val="16"/>
    </w:rPr>
  </w:style>
  <w:style w:type="character" w:styleId="char2" w:customStyle="1">
    <w:name w:val="Corpo de texto Char"/>
    <w:rPr>
      <w:rFonts w:ascii="Arial" w:hAnsi="Arial" w:eastAsia="Arial Unicode MS" w:cs="Times New Roman"/>
      <w:sz w:val="24"/>
      <w:szCs w:val="24"/>
    </w:rPr>
  </w:style>
  <w:style w:type="character" w:styleId="char3" w:customStyle="1">
    <w:name w:val="Título Char"/>
    <w:rPr>
      <w:rFonts w:ascii="Arial" w:hAnsi="Arial" w:eastAsia="Times New Roman" w:cs="Times New Roman"/>
      <w:b/>
      <w:bCs/>
      <w:caps/>
      <w:sz w:val="28"/>
      <w:szCs w:val="32"/>
    </w:rPr>
  </w:style>
  <w:style w:type="character" w:styleId="char4" w:customStyle="1">
    <w:name w:val="Internet Link"/>
    <w:rPr>
      <w:color w:val="0000ff"/>
      <w:u w:color="auto" w:val="single"/>
    </w:rPr>
  </w:style>
  <w:style w:type="character" w:styleId="char5" w:customStyle="1">
    <w:name w:val="Cabeçalho Char"/>
    <w:rPr>
      <w:rFonts w:ascii="Arial" w:hAnsi="Arial" w:eastAsia="Arial Unicode MS" w:cs="Times New Roman"/>
      <w:sz w:val="24"/>
      <w:szCs w:val="24"/>
    </w:rPr>
  </w:style>
  <w:style w:type="character" w:styleId="char6" w:customStyle="1">
    <w:name w:val="Rodapé Char"/>
    <w:rPr>
      <w:rFonts w:ascii="Arial" w:hAnsi="Arial" w:eastAsia="Arial Unicode MS" w:cs="Times New Roman"/>
      <w:sz w:val="24"/>
      <w:szCs w:val="24"/>
    </w:rPr>
  </w:style>
  <w:style w:type="character" w:styleId="char7">
    <w:name w:val="Strong"/>
    <w:rPr>
      <w:b/>
      <w:bCs/>
    </w:rPr>
  </w:style>
  <w:style w:type="character" w:styleId="char8" w:customStyle="1">
    <w:name w:val="Texto de nota de fim Char"/>
    <w:rPr>
      <w:rFonts w:ascii="Arial" w:hAnsi="Arial" w:eastAsia="Arial Unicode MS"/>
    </w:rPr>
  </w:style>
  <w:style w:type="character" w:styleId="char9" w:customStyle="1">
    <w:name w:val="Âncora da nota de fim"/>
    <w:rPr>
      <w:vertAlign w:val="superscript"/>
    </w:rPr>
  </w:style>
  <w:style w:type="character" w:styleId="char10" w:customStyle="1">
    <w:name w:val="Endnote Characters"/>
  </w:style>
  <w:style w:type="character" w:styleId="char11" w:customStyle="1">
    <w:name w:val="Texto de nota de rodapé Char"/>
    <w:rPr>
      <w:rFonts w:ascii="Arial" w:hAnsi="Arial" w:eastAsia="Arial Unicode MS"/>
    </w:rPr>
  </w:style>
  <w:style w:type="character" w:styleId="char12" w:customStyle="1">
    <w:name w:val="Âncora da nota de rodapé"/>
    <w:rPr>
      <w:vertAlign w:val="superscript"/>
    </w:rPr>
  </w:style>
  <w:style w:type="character" w:styleId="char13" w:customStyle="1">
    <w:name w:val="Footnote Characters"/>
  </w:style>
  <w:style w:type="character" w:styleId="char14" w:customStyle="1">
    <w:name w:val="Footnote Anchor"/>
    <w:rPr>
      <w:vertAlign w:val="superscript"/>
    </w:rPr>
  </w:style>
  <w:style w:type="character" w:styleId="char15" w:customStyle="1">
    <w:name w:val="Endnote Anchor"/>
    <w:rPr>
      <w:vertAlign w:val="superscript"/>
    </w:rPr>
  </w:style>
  <w:style w:type="character" w:styleId="char16" w:customStyle="1">
    <w:name w:val="Link da Internet"/>
    <w:rPr>
      <w:color w:val="000080"/>
      <w:u w:color="auto" w:val="single"/>
    </w:rPr>
  </w:style>
  <w:style w:type="character" w:styleId="char17" w:customStyle="1">
    <w:name w:val="Caracteres de nota de rodapé"/>
  </w:style>
  <w:style w:type="character" w:styleId="char18" w:customStyle="1">
    <w:name w:val="Caracteres de nota de fim"/>
  </w:style>
  <w:style w:type="character" w:styleId="char19" w:customStyle="1">
    <w:name w:val="Símbolos de numeração"/>
  </w:style>
  <w:style w:type="character" w:styleId="char20" w:customStyle="1">
    <w:name w:val="ListLabel 1"/>
    <w:rPr>
      <w:rFonts w:ascii="Times New Roman" w:hAnsi="Times New Roman"/>
      <w:sz w:val="20"/>
      <w:szCs w:val="20"/>
    </w:rPr>
  </w:style>
  <w:style w:type="character" w:styleId="char21" w:customStyle="1">
    <w:name w:val="ListLabel 2"/>
    <w:rPr>
      <w:rFonts w:ascii="Times New Roman" w:hAnsi="Times New Roman"/>
      <w:sz w:val="20"/>
      <w:szCs w:val="20"/>
    </w:rPr>
  </w:style>
  <w:style w:type="character" w:styleId="char22" w:customStyle="1">
    <w:name w:val="Título 1 Char"/>
    <w:basedOn w:val="char0"/>
    <w:rPr>
      <w:rFonts w:ascii="Times New Roman" w:hAnsi="Times New Roman" w:eastAsia="Times New Roman"/>
      <w:b/>
      <w:caps/>
      <w:sz w:val="24"/>
    </w:rPr>
  </w:style>
  <w:style w:type="character" w:styleId="char23" w:customStyle="1">
    <w:name w:val="Título 2 Char"/>
    <w:basedOn w:val="char0"/>
    <w:rPr>
      <w:rFonts w:ascii="Times New Roman" w:hAnsi="Times New Roman" w:eastAsia="Times New Roman"/>
      <w:b/>
      <w:bCs/>
      <w:sz w:val="24"/>
    </w:rPr>
  </w:style>
  <w:style w:type="character" w:styleId="char24" w:customStyle="1">
    <w:name w:val="Título 3 Char"/>
    <w:basedOn w:val="char0"/>
    <w:rPr>
      <w:rFonts w:ascii="Times New Roman" w:hAnsi="Times New Roman" w:eastAsia="Times New Roman" w:cs="Arial"/>
      <w:sz w:val="24"/>
    </w:rPr>
  </w:style>
  <w:style w:type="character" w:styleId="char25" w:customStyle="1">
    <w:name w:val="Título 4 Char"/>
    <w:basedOn w:val="char0"/>
    <w:rPr>
      <w:rFonts w:ascii="Times New Roman" w:hAnsi="Times New Roman" w:eastAsia="Times New Roman" w:cs="Arial"/>
      <w:i/>
      <w:sz w:val="24"/>
    </w:rPr>
  </w:style>
  <w:style w:type="character" w:styleId="char26" w:customStyle="1">
    <w:name w:val="Título 5 Char"/>
    <w:basedOn w:val="char0"/>
    <w:rPr>
      <w:rFonts w:ascii="Times New Roman" w:hAnsi="Times New Roman" w:eastAsia="Times New Roman"/>
      <w:i/>
      <w:iCs/>
      <w:sz w:val="22"/>
      <w:szCs w:val="22"/>
      <w:lang w:val="pt-pt"/>
    </w:rPr>
  </w:style>
  <w:style w:type="character" w:styleId="char27" w:customStyle="1">
    <w:name w:val="Título 6 Char"/>
    <w:basedOn w:val="char0"/>
    <w:rPr>
      <w:rFonts w:ascii="Arial" w:hAnsi="Arial" w:eastAsia="Times New Roman" w:cs="Arial"/>
      <w:i/>
      <w:iCs/>
      <w:sz w:val="22"/>
      <w:szCs w:val="22"/>
      <w:lang w:val="pt-pt"/>
    </w:rPr>
  </w:style>
  <w:style w:type="character" w:styleId="char28" w:customStyle="1">
    <w:name w:val="Título 7 Char"/>
    <w:basedOn w:val="char0"/>
    <w:rPr>
      <w:rFonts w:ascii="Arial" w:hAnsi="Arial" w:eastAsia="Times New Roman" w:cs="Arial"/>
      <w:sz w:val="24"/>
      <w:lang w:val="pt-pt"/>
    </w:rPr>
  </w:style>
  <w:style w:type="character" w:styleId="char29" w:customStyle="1">
    <w:name w:val="Título 8 Char"/>
    <w:basedOn w:val="char0"/>
    <w:rPr>
      <w:rFonts w:ascii="Arial" w:hAnsi="Arial" w:eastAsia="Times New Roman" w:cs="Arial"/>
      <w:i/>
      <w:iCs/>
      <w:sz w:val="24"/>
      <w:lang w:val="pt-pt"/>
    </w:rPr>
  </w:style>
  <w:style w:type="character" w:styleId="char30" w:customStyle="1">
    <w:name w:val="Título 9 Char"/>
    <w:basedOn w:val="char0"/>
    <w:rPr>
      <w:rFonts w:ascii="Arial" w:hAnsi="Arial" w:eastAsia="Times New Roman" w:cs="Arial"/>
      <w:i/>
      <w:iCs/>
      <w:sz w:val="18"/>
      <w:szCs w:val="18"/>
      <w:lang w:val="pt-pt"/>
    </w:rPr>
  </w:style>
  <w:style w:type="character" w:styleId="char31" w:customStyle="1">
    <w:name w:val="Referência Char"/>
    <w:rPr>
      <w:rFonts w:ascii="Times New Roman" w:hAnsi="Times New Roman" w:eastAsia="Times New Roman"/>
      <w:color w:val="000000"/>
      <w:sz w:val="24"/>
      <w:szCs w:val="24"/>
      <w:lang w:val="pt-pt"/>
    </w:rPr>
  </w:style>
  <w:style w:type="character" w:styleId="char32">
    <w:name w:val="Hyperlink"/>
    <w:basedOn w:val="char0"/>
    <w:rPr>
      <w:color w:val="0563c1"/>
      <w:u w:color="auto" w:val="single"/>
    </w:rPr>
  </w:style>
  <w:style w:type="character" w:styleId="char33">
    <w:name w:val="FollowedHyperlink"/>
    <w:basedOn w:val="char0"/>
    <w:rPr>
      <w:color w:val="954f72"/>
      <w:u w:color="auto" w:val="single"/>
    </w:rPr>
  </w:style>
  <w:style w:type="character" w:styleId="char34" w:customStyle="1">
    <w:name w:val="Resumos e palavras-chaves Char"/>
    <w:basedOn w:val="char0"/>
    <w:rPr>
      <w:rFonts w:ascii="Times New Roman" w:hAnsi="Times New Roman" w:eastAsia="Arial Unicode MS"/>
      <w:color w:val="00000a"/>
      <w:sz w:val="22"/>
      <w:szCs w:val="24"/>
    </w:rPr>
  </w:style>
  <w:style w:type="character" w:styleId="char35" w:customStyle="1">
    <w:name w:val="Unresolved Mention"/>
    <w:basedOn w:val="char0"/>
    <w:rPr>
      <w:color w:val="605e5c"/>
      <w:shd w:val="clear" w:fill="e1dfdd"/>
    </w:rPr>
  </w:style>
  <w:style w:type="character" w:styleId="char36">
    <w:name w:val="Footnote Reference"/>
    <w:basedOn w:val="char0"/>
    <w:rPr>
      <w:vertAlign w:val="superscript"/>
    </w:rPr>
  </w:style>
  <w:style w:type="character" w:styleId="char37" w:customStyle="1">
    <w:name w:val="Seção Terciária Char"/>
    <w:basedOn w:val="char24"/>
    <w:rPr>
      <w:b/>
      <w:i/>
    </w:rPr>
  </w:style>
  <w:style w:type="character" w:styleId="char38" w:customStyle="1">
    <w:name w:val="annotation reference"/>
    <w:basedOn w:val="char0"/>
    <w:rPr>
      <w:sz w:val="16"/>
      <w:szCs w:val="16"/>
    </w:rPr>
  </w:style>
  <w:style w:type="character" w:styleId="char39" w:customStyle="1">
    <w:name w:val="Texto de comentário Char"/>
    <w:basedOn w:val="char0"/>
    <w:rPr>
      <w:rFonts w:ascii="Arial" w:hAnsi="Arial" w:eastAsia="Arial Unicode MS"/>
      <w:color w:val="00000a"/>
    </w:rPr>
  </w:style>
  <w:style w:type="character" w:styleId="char40" w:customStyle="1">
    <w:name w:val="Assunto do comentário Char"/>
    <w:basedOn w:val="char39"/>
    <w:rPr>
      <w:b/>
      <w:bCs/>
    </w:rPr>
  </w:style>
  <w:style w:type="character" w:styleId="char41" w:customStyle="1">
    <w:name w:val="Recuo de corpo de texto Char"/>
    <w:basedOn w:val="char0"/>
    <w:rPr>
      <w:rFonts w:ascii="Arial" w:hAnsi="Arial" w:eastAsia="Arial Unicode MS"/>
      <w:color w:val="00000a"/>
      <w:sz w:val="24"/>
      <w:szCs w:val="24"/>
    </w:rPr>
  </w:style>
  <w:style w:type="character" w:styleId="char42" w:customStyle="1">
    <w:name w:val="Título da seção primária Char"/>
    <w:basedOn w:val="char0"/>
    <w:rPr>
      <w:rFonts w:ascii="Arial" w:hAnsi="Arial" w:eastAsia="Arial Unicode MS"/>
      <w:b/>
      <w:color w:val="00000a"/>
      <w:sz w:val="26"/>
      <w:szCs w:val="24"/>
    </w:rPr>
  </w:style>
  <w:style w:type="character" w:styleId="char43" w:customStyle="1">
    <w:name w:val="Seção Primária Char"/>
    <w:basedOn w:val="char42"/>
    <w:rPr>
      <w:rFonts w:ascii="Times New Roman" w:hAnsi="Times New Roman"/>
      <w:caps/>
      <w:sz w:val="24"/>
    </w:rPr>
  </w:style>
  <w:style w:type="character" w:styleId="char44" w:customStyle="1">
    <w:name w:val="fontstyle01"/>
    <w:basedOn w:val="char0"/>
    <w:rPr>
      <w:rFonts w:ascii="Calibri" w:hAnsi="Calibri"/>
      <w:b w:val="0"/>
      <w:bCs w:val="0"/>
      <w:i w:val="0"/>
      <w:iCs w:val="0"/>
      <w:color w:val="663300"/>
      <w:sz w:val="96"/>
      <w:szCs w:val="96"/>
    </w:rPr>
  </w:style>
  <w:style w:type="character" w:styleId="char45" w:customStyle="1">
    <w:name w:val="fontstyle21"/>
    <w:basedOn w:val="char0"/>
    <w:rPr>
      <w:rFonts w:ascii="Calibri-Bold" w:hAnsi="Calibri-Bold"/>
      <w:b/>
      <w:bCs/>
      <w:i w:val="0"/>
      <w:iCs w:val="0"/>
      <w:color w:val="411c11"/>
      <w:sz w:val="50"/>
      <w:szCs w:val="50"/>
    </w:rPr>
  </w:style>
  <w:style w:type="character" w:styleId="char46" w:customStyle="1">
    <w:name w:val="fontstyle31"/>
    <w:basedOn w:val="char0"/>
    <w:rPr>
      <w:rFonts w:ascii="Calibri-Italic" w:hAnsi="Calibri-Italic"/>
      <w:b w:val="0"/>
      <w:bCs w:val="0"/>
      <w:i/>
      <w:iCs/>
      <w:color w:val="411c11"/>
      <w:sz w:val="50"/>
      <w:szCs w:val="50"/>
    </w:rPr>
  </w:style>
  <w:style w:type="table" w:default="1" w:styleId="TableNormal">
    <w:name w:val="Tabela normal"/>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Ind w:w="0" w:type="dxa"/>
      <w:tblCellMar>
        <w:top w:w="0" w:type="dxa"/>
        <w:left w:w="108" w:type="dxa"/>
        <w:bottom w:w="0" w:type="dxa"/>
        <w:right w:w="108" w:type="dxa"/>
      </w:tblCellMar>
    </w:tblPr>
  </w:style>
  <w:style w:type="table" w:styleId="TableGrid">
    <w:name w:val="Table Grid"/>
    <w:basedOn w:val="NormalTable"/>
    <w:uiPriority w:val="59"/>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color w:val="00000a"/>
        <w:sz w:val="24"/>
        <w:szCs w:val="24"/>
        <w:lang w:val="pt-br" w:eastAsia="zh-cn" w:bidi="ar-sa"/>
      </w:rPr>
    </w:rPrDefault>
    <w:pPrDefault>
      <w:pPr>
        <w:ind w:firstLine="709"/>
        <w:spacing w:after="120"/>
        <w:jc w:val="both"/>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ind w:firstLine="0"/>
      <w:spacing w:before="480" w:line="360" w:lineRule="auto"/>
      <w:keepNext/>
      <w:widowControl/>
    </w:pPr>
    <w:rPr>
      <w:b/>
      <w:smallCaps/>
      <w:color w:val="000000"/>
    </w:rPr>
  </w:style>
  <w:style w:type="paragraph" w:styleId="para2">
    <w:name w:val="heading 2"/>
    <w:qFormat/>
    <w:basedOn w:val="para0"/>
    <w:next w:val="para0"/>
    <w:pPr>
      <w:ind w:firstLine="0"/>
      <w:spacing w:before="480" w:after="240" w:line="360" w:lineRule="auto"/>
      <w:widowControl/>
    </w:pPr>
    <w:rPr>
      <w:b/>
      <w:color w:val="000000"/>
    </w:rPr>
  </w:style>
  <w:style w:type="paragraph" w:styleId="para3">
    <w:name w:val="heading 3"/>
    <w:qFormat/>
    <w:basedOn w:val="para0"/>
    <w:next w:val="para0"/>
    <w:pPr>
      <w:ind w:left="624" w:hanging="624"/>
      <w:spacing w:before="480" w:after="240" w:line="360" w:lineRule="auto"/>
      <w:widowControl/>
    </w:pPr>
    <w:rPr>
      <w:color w:val="000000"/>
    </w:rPr>
  </w:style>
  <w:style w:type="paragraph" w:styleId="para4">
    <w:name w:val="heading 4"/>
    <w:qFormat/>
    <w:basedOn w:val="para0"/>
    <w:next w:val="para0"/>
    <w:pPr>
      <w:ind w:left="851" w:hanging="851"/>
      <w:spacing w:before="480" w:after="240" w:line="360" w:lineRule="auto"/>
      <w:jc w:val="left"/>
      <w:widowControl/>
    </w:pPr>
    <w:rPr>
      <w:i/>
      <w:color w:val="000000"/>
    </w:rPr>
  </w:style>
  <w:style w:type="paragraph" w:styleId="para5">
    <w:name w:val="heading 5"/>
    <w:qFormat/>
    <w:basedOn w:val="para0"/>
    <w:next w:val="para0"/>
    <w:pPr>
      <w:ind w:firstLine="0"/>
      <w:spacing w:before="40" w:line="360" w:lineRule="auto"/>
      <w:jc w:val="left"/>
      <w:widowControl/>
    </w:pPr>
    <w:rPr>
      <w:i/>
      <w:color w:val="000000"/>
      <w:sz w:val="22"/>
      <w:szCs w:val="22"/>
    </w:rPr>
  </w:style>
  <w:style w:type="paragraph" w:styleId="para6">
    <w:name w:val="heading 6"/>
    <w:qFormat/>
    <w:basedOn w:val="para0"/>
    <w:next w:val="para0"/>
    <w:pPr>
      <w:ind w:left="1152" w:hanging="1152"/>
      <w:spacing w:before="240" w:after="60" w:line="360" w:lineRule="auto"/>
      <w:widowControl/>
    </w:pPr>
    <w:rPr>
      <w:i/>
      <w:color w:val="000000"/>
      <w:sz w:val="22"/>
      <w:szCs w:val="22"/>
    </w:rPr>
  </w:style>
  <w:style w:type="paragraph" w:styleId="para7">
    <w:name w:val="Title"/>
    <w:qFormat/>
    <w:basedOn w:val="para0"/>
    <w:next w:val="para0"/>
    <w:pPr>
      <w:spacing w:before="240" w:after="60"/>
      <w:jc w:val="center"/>
    </w:pPr>
    <w:rPr>
      <w:b/>
      <w:smallCaps/>
      <w:sz w:val="28"/>
      <w:szCs w:val="28"/>
    </w:rPr>
  </w:style>
  <w:style w:type="paragraph" w:styleId="para8" w:customStyle="1">
    <w:name w:val="Normal*"/>
    <w:qFormat/>
    <w:pPr>
      <w:suppressAutoHyphens/>
      <w:hyphenationLines w:val="0"/>
    </w:pPr>
    <w:rPr>
      <w:rFonts w:eastAsia="Arial Unicode MS"/>
      <w:color w:val="00000a"/>
      <w:sz w:val="24"/>
      <w:szCs w:val="24"/>
      <w:lang w:val="pt-br"/>
    </w:rPr>
  </w:style>
  <w:style w:type="paragraph" w:styleId="para9" w:customStyle="1">
    <w:name w:val="heading 1"/>
    <w:qFormat/>
    <w:basedOn w:val="para0"/>
    <w:next w:val="para0"/>
    <w:pPr>
      <w:ind w:firstLine="0"/>
      <w:spacing w:before="480" w:line="360" w:lineRule="auto"/>
      <w:keepNext/>
      <w:outlineLvl w:val="0"/>
      <w:widowControl/>
    </w:pPr>
    <w:rPr>
      <w:b/>
      <w:caps/>
      <w:color w:val="auto"/>
      <w:szCs w:val="20"/>
    </w:rPr>
  </w:style>
  <w:style w:type="paragraph" w:styleId="para10" w:customStyle="1">
    <w:name w:val="heading 2"/>
    <w:qFormat/>
    <w:basedOn w:val="para0"/>
    <w:next w:val="para0"/>
    <w:pPr>
      <w:ind w:firstLine="0"/>
      <w:spacing w:before="480" w:after="240" w:line="360" w:lineRule="auto"/>
      <w:outlineLvl w:val="1"/>
      <w:widowControl/>
    </w:pPr>
    <w:rPr>
      <w:b/>
      <w:bCs/>
      <w:color w:val="auto"/>
      <w:szCs w:val="20"/>
    </w:rPr>
  </w:style>
  <w:style w:type="paragraph" w:styleId="para11" w:customStyle="1">
    <w:name w:val="heading 3"/>
    <w:qFormat/>
    <w:basedOn w:val="para0"/>
    <w:next w:val="para0"/>
    <w:pPr>
      <w:ind w:left="624" w:hanging="624"/>
      <w:spacing w:before="480" w:after="240" w:line="360" w:lineRule="auto"/>
      <w:outlineLvl w:val="2"/>
      <w:widowControl/>
    </w:pPr>
    <w:rPr>
      <w:rFonts w:cs="Arial"/>
      <w:color w:val="auto"/>
      <w:szCs w:val="20"/>
    </w:rPr>
  </w:style>
  <w:style w:type="paragraph" w:styleId="para12" w:customStyle="1">
    <w:name w:val="heading 4"/>
    <w:qFormat/>
    <w:basedOn w:val="para11"/>
    <w:next w:val="para0"/>
    <w:pPr>
      <w:ind w:left="851" w:hanging="851"/>
      <w:spacing/>
      <w:jc w:val="left"/>
      <w:outlineLvl w:val="3"/>
    </w:pPr>
    <w:rPr>
      <w:i/>
    </w:rPr>
  </w:style>
  <w:style w:type="paragraph" w:styleId="para13" w:customStyle="1">
    <w:name w:val="heading 5"/>
    <w:qFormat/>
    <w:basedOn w:val="para0"/>
    <w:next w:val="para0"/>
    <w:pPr>
      <w:ind w:firstLine="0"/>
      <w:spacing w:before="40" w:line="360" w:lineRule="auto"/>
      <w:jc w:val="left"/>
      <w:outlineLvl w:val="4"/>
      <w:widowControl/>
    </w:pPr>
    <w:rPr>
      <w:i/>
      <w:iCs/>
      <w:color w:val="auto"/>
      <w:sz w:val="22"/>
      <w:szCs w:val="22"/>
      <w:lang w:val="pt-pt"/>
    </w:rPr>
  </w:style>
  <w:style w:type="paragraph" w:styleId="para14" w:customStyle="1">
    <w:name w:val="heading 6"/>
    <w:qFormat/>
    <w:basedOn w:val="para0"/>
    <w:next w:val="para0"/>
    <w:pPr>
      <w:spacing w:before="240" w:after="60" w:line="360" w:lineRule="auto"/>
      <w:outlineLvl w:val="5"/>
      <w:widowControl/>
    </w:pPr>
    <w:rPr>
      <w:rFonts w:cs="Arial"/>
      <w:i/>
      <w:iCs/>
      <w:color w:val="auto"/>
      <w:sz w:val="22"/>
      <w:szCs w:val="22"/>
      <w:lang w:val="pt-pt"/>
    </w:rPr>
  </w:style>
  <w:style w:type="paragraph" w:styleId="para15">
    <w:name w:val="heading 7"/>
    <w:qFormat/>
    <w:basedOn w:val="para0"/>
    <w:next w:val="para0"/>
    <w:pPr>
      <w:spacing w:before="240" w:after="60" w:line="360" w:lineRule="auto"/>
      <w:outlineLvl w:val="6"/>
      <w:widowControl/>
    </w:pPr>
    <w:rPr>
      <w:rFonts w:cs="Arial"/>
      <w:color w:val="auto"/>
      <w:szCs w:val="20"/>
      <w:lang w:val="pt-pt"/>
    </w:rPr>
  </w:style>
  <w:style w:type="paragraph" w:styleId="para16">
    <w:name w:val="heading 8"/>
    <w:qFormat/>
    <w:basedOn w:val="para0"/>
    <w:next w:val="para0"/>
    <w:pPr>
      <w:spacing w:before="240" w:after="60" w:line="360" w:lineRule="auto"/>
      <w:outlineLvl w:val="7"/>
      <w:widowControl/>
    </w:pPr>
    <w:rPr>
      <w:rFonts w:cs="Arial"/>
      <w:i/>
      <w:iCs/>
      <w:color w:val="auto"/>
      <w:szCs w:val="20"/>
      <w:lang w:val="pt-pt"/>
    </w:rPr>
  </w:style>
  <w:style w:type="paragraph" w:styleId="para17">
    <w:name w:val="heading 9"/>
    <w:qFormat/>
    <w:basedOn w:val="para0"/>
    <w:next w:val="para0"/>
    <w:pPr>
      <w:spacing w:before="240" w:after="60" w:line="360" w:lineRule="auto"/>
      <w:outlineLvl w:val="8"/>
      <w:widowControl/>
    </w:pPr>
    <w:rPr>
      <w:rFonts w:cs="Arial"/>
      <w:i/>
      <w:iCs/>
      <w:color w:val="auto"/>
      <w:sz w:val="18"/>
      <w:szCs w:val="18"/>
      <w:lang w:val="pt-pt"/>
    </w:rPr>
  </w:style>
  <w:style w:type="paragraph" w:styleId="para18" w:customStyle="1">
    <w:name w:val="Title"/>
    <w:qFormat/>
    <w:basedOn w:val="para0"/>
    <w:next w:val="para19"/>
    <w:pPr>
      <w:spacing w:before="240" w:after="60"/>
      <w:jc w:val="center"/>
      <w:outlineLvl w:val="0"/>
    </w:pPr>
    <w:rPr>
      <w:b/>
      <w:bCs/>
      <w:caps/>
      <w:sz w:val="28"/>
      <w:szCs w:val="32"/>
    </w:rPr>
  </w:style>
  <w:style w:type="paragraph" w:styleId="para19">
    <w:name w:val="Body Text"/>
    <w:qFormat/>
    <w:basedOn w:val="para0"/>
  </w:style>
  <w:style w:type="paragraph" w:styleId="para20">
    <w:name w:val="List"/>
    <w:qFormat/>
    <w:basedOn w:val="para19"/>
    <w:rPr>
      <w:rFonts w:cs="Lohit Devanagari"/>
    </w:rPr>
  </w:style>
  <w:style w:type="paragraph" w:styleId="para21">
    <w:name w:val="caption"/>
    <w:qFormat/>
    <w:basedOn w:val="para0"/>
    <w:pPr>
      <w:spacing w:before="120"/>
      <w:suppressLineNumbers/>
    </w:pPr>
    <w:rPr>
      <w:rFonts w:cs="Lohit Devanagari"/>
      <w:i/>
      <w:iCs/>
    </w:rPr>
  </w:style>
  <w:style w:type="paragraph" w:styleId="para22" w:customStyle="1">
    <w:name w:val="Índice"/>
    <w:qFormat/>
    <w:basedOn w:val="para0"/>
    <w:pPr>
      <w:suppressLineNumbers/>
    </w:pPr>
    <w:rPr>
      <w:rFonts w:cs="Lohit Devanagari"/>
    </w:rPr>
  </w:style>
  <w:style w:type="paragraph" w:styleId="para23">
    <w:name w:val="Balloon Text"/>
    <w:qFormat/>
    <w:basedOn w:val="para0"/>
    <w:pPr>
      <w:ind w:firstLine="0"/>
      <w:spacing/>
      <w:jc w:val="left"/>
      <w:widowControl/>
    </w:pPr>
    <w:rPr>
      <w:rFonts w:ascii="Tahoma" w:hAnsi="Tahoma" w:eastAsia="Calibri"/>
      <w:sz w:val="16"/>
      <w:szCs w:val="16"/>
    </w:rPr>
  </w:style>
  <w:style w:type="paragraph" w:styleId="para24" w:customStyle="1">
    <w:name w:val="Título da seção primária"/>
    <w:qFormat/>
    <w:basedOn w:val="para0"/>
    <w:pPr>
      <w:ind w:firstLine="0"/>
    </w:pPr>
    <w:rPr>
      <w:b/>
      <w:sz w:val="26"/>
    </w:rPr>
  </w:style>
  <w:style w:type="paragraph" w:styleId="para25" w:customStyle="1">
    <w:name w:val="Referências"/>
    <w:qFormat/>
    <w:basedOn w:val="para0"/>
    <w:pPr>
      <w:ind w:firstLine="0"/>
      <w:spacing w:before="120"/>
      <w:jc w:val="left"/>
    </w:pPr>
    <w:rPr>
      <w:rFonts w:cs="Arial"/>
    </w:rPr>
  </w:style>
  <w:style w:type="paragraph" w:styleId="para26" w:customStyle="1">
    <w:name w:val="Leyenda de figura o tabla"/>
    <w:qFormat/>
    <w:basedOn w:val="para0"/>
    <w:pPr>
      <w:spacing w:before="120" w:after="360"/>
      <w:jc w:val="center"/>
      <w:widowControl/>
    </w:pPr>
    <w:rPr>
      <w:i/>
      <w:sz w:val="18"/>
      <w:lang w:val="en-us"/>
    </w:rPr>
  </w:style>
  <w:style w:type="paragraph" w:styleId="para27" w:customStyle="1">
    <w:name w:val="Tabla-Texto"/>
    <w:qFormat/>
    <w:basedOn w:val="para0"/>
    <w:pPr>
      <w:spacing w:before="20" w:after="20"/>
      <w:widowControl/>
    </w:pPr>
    <w:rPr>
      <w:sz w:val="18"/>
      <w:lang w:val="en-us"/>
    </w:rPr>
  </w:style>
  <w:style w:type="paragraph" w:styleId="para28">
    <w:name w:val="Header"/>
    <w:qFormat/>
    <w:basedOn w:val="para0"/>
    <w:pPr>
      <w:tabs defTabSz="720">
        <w:tab w:val="center" w:pos="4252" w:leader="none"/>
        <w:tab w:val="right" w:pos="8504" w:leader="none"/>
      </w:tabs>
    </w:pPr>
  </w:style>
  <w:style w:type="paragraph" w:styleId="para29">
    <w:name w:val="Footer"/>
    <w:qFormat/>
    <w:basedOn w:val="para0"/>
    <w:pPr>
      <w:tabs defTabSz="720">
        <w:tab w:val="center" w:pos="4252" w:leader="none"/>
        <w:tab w:val="right" w:pos="8504" w:leader="none"/>
      </w:tabs>
    </w:pPr>
  </w:style>
  <w:style w:type="paragraph" w:styleId="para30">
    <w:name w:val="Endnote Text"/>
    <w:qFormat/>
    <w:basedOn w:val="para0"/>
    <w:rPr>
      <w:sz w:val="20"/>
      <w:szCs w:val="20"/>
    </w:rPr>
  </w:style>
  <w:style w:type="paragraph" w:styleId="para31">
    <w:name w:val="Footnote Text"/>
    <w:qFormat/>
    <w:basedOn w:val="para0"/>
    <w:pPr>
      <w:ind w:firstLine="0"/>
      <w:spacing/>
      <w:jc w:val="left"/>
    </w:pPr>
    <w:rPr>
      <w:sz w:val="20"/>
    </w:rPr>
  </w:style>
  <w:style w:type="paragraph" w:styleId="para32" w:customStyle="1">
    <w:name w:val="Frame Contents"/>
    <w:qFormat/>
    <w:basedOn w:val="para0"/>
  </w:style>
  <w:style w:type="paragraph" w:styleId="para33" w:customStyle="1">
    <w:name w:val="Linha horizontal"/>
    <w:qFormat/>
    <w:basedOn w:val="para0"/>
    <w:pPr>
      <w:spacing w:after="283"/>
      <w:jc w:val="left"/>
      <w:suppressLineNumbers/>
      <w:pBdr>
        <w:top w:val="nil" w:sz="0" w:space="3" w:color="000000" tmln="20, 20, 20, 0, 60"/>
        <w:left w:val="nil" w:sz="0" w:space="3" w:color="000000" tmln="20, 20, 20, 0, 60"/>
        <w:bottom w:val="double" w:sz="6" w:space="0" w:color="808080" tmln="5, 5, 5, 0, 0"/>
        <w:right w:val="nil" w:sz="0" w:space="3" w:color="000000" tmln="20, 20, 20, 0, 60"/>
        <w:between w:val="nil" w:sz="0" w:space="0" w:color="000000" tmln="20, 20, 20, 0, 0"/>
      </w:pBdr>
      <w:shd w:val="none"/>
    </w:pPr>
    <w:rPr>
      <w:sz w:val="12"/>
      <w:szCs w:val="12"/>
    </w:rPr>
  </w:style>
  <w:style w:type="paragraph" w:styleId="para34" w:customStyle="1">
    <w:name w:val="Conteúdo da tabela"/>
    <w:qFormat/>
    <w:basedOn w:val="para0"/>
    <w:pPr>
      <w:suppressLineNumbers/>
    </w:pPr>
  </w:style>
  <w:style w:type="paragraph" w:styleId="para35" w:customStyle="1">
    <w:name w:val="Endnote Symbol"/>
    <w:qFormat/>
    <w:basedOn w:val="para0"/>
    <w:pPr>
      <w:ind w:left="339" w:hanging="339"/>
      <w:spacing/>
      <w:jc w:val="left"/>
      <w:suppressLineNumbers/>
    </w:pPr>
    <w:rPr>
      <w:sz w:val="20"/>
      <w:szCs w:val="20"/>
    </w:rPr>
  </w:style>
  <w:style w:type="paragraph" w:styleId="para36" w:customStyle="1">
    <w:name w:val="Título de tabela"/>
    <w:qFormat/>
    <w:basedOn w:val="para34"/>
  </w:style>
  <w:style w:type="paragraph" w:styleId="para37" w:customStyle="1">
    <w:name w:val="Resumos e palavras-chaves"/>
    <w:qFormat/>
    <w:basedOn w:val="para0"/>
    <w:pPr>
      <w:ind w:firstLine="0"/>
      <w:spacing w:before="240" w:after="240"/>
    </w:pPr>
    <w:rPr>
      <w:sz w:val="22"/>
    </w:rPr>
  </w:style>
  <w:style w:type="paragraph" w:styleId="para38" w:customStyle="1">
    <w:name w:val="Referência"/>
    <w:qFormat/>
    <w:basedOn w:val="para0"/>
    <w:pPr>
      <w:ind w:firstLine="0"/>
      <w:spacing w:after="240" w:line="360" w:lineRule="auto"/>
      <w:jc w:val="left"/>
      <w:widowControl/>
    </w:pPr>
    <w:rPr>
      <w:color w:val="000000"/>
      <w:lang w:val="pt-pt"/>
    </w:rPr>
  </w:style>
  <w:style w:type="paragraph" w:styleId="para39" w:customStyle="1">
    <w:name w:val="Seção Terciária"/>
    <w:qFormat/>
    <w:basedOn w:val="para11"/>
    <w:rPr>
      <w:b/>
      <w:i/>
    </w:rPr>
  </w:style>
  <w:style w:type="paragraph" w:styleId="para40">
    <w:name w:val="List Paragraph"/>
    <w:qFormat/>
    <w:basedOn w:val="para0"/>
    <w:pPr>
      <w:ind w:left="720"/>
      <w:contextualSpacing/>
    </w:pPr>
  </w:style>
  <w:style w:type="paragraph" w:styleId="para41" w:customStyle="1">
    <w:name w:val="annotation text"/>
    <w:qFormat/>
    <w:basedOn w:val="para0"/>
    <w:rPr>
      <w:sz w:val="20"/>
      <w:szCs w:val="20"/>
    </w:rPr>
  </w:style>
  <w:style w:type="paragraph" w:styleId="para42" w:customStyle="1">
    <w:name w:val="annotation subject"/>
    <w:qFormat/>
    <w:basedOn w:val="para41"/>
    <w:next w:val="para41"/>
    <w:rPr>
      <w:b/>
      <w:bCs/>
    </w:rPr>
  </w:style>
  <w:style w:type="paragraph" w:styleId="para43">
    <w:name w:val="Body Text Indent"/>
    <w:qFormat/>
    <w:basedOn w:val="para0"/>
    <w:pPr>
      <w:ind w:left="283"/>
    </w:pPr>
  </w:style>
  <w:style w:type="paragraph" w:styleId="para44" w:customStyle="1">
    <w:name w:val="Seção Primária"/>
    <w:qFormat/>
    <w:basedOn w:val="para24"/>
    <w:pPr>
      <w:spacing w:before="480" w:after="280" w:line="360" w:lineRule="auto"/>
    </w:pPr>
    <w:rPr>
      <w:caps/>
      <w:sz w:val="24"/>
    </w:rPr>
  </w:style>
  <w:style w:type="paragraph" w:styleId="para45" w:customStyle="1">
    <w:name w:val="Subseção2_XVIII_ENANCIB"/>
    <w:qFormat/>
    <w:basedOn w:val="para11"/>
    <w:pPr>
      <w:spacing w:before="120" w:after="120" w:line="240" w:lineRule="auto"/>
      <w:jc w:val="left"/>
      <w:keepNext/>
    </w:pPr>
    <w:rPr>
      <w:rFonts w:ascii="Calibri" w:hAnsi="Calibri" w:cs="Calibri"/>
      <w:bCs/>
      <w:i/>
      <w:szCs w:val="26"/>
      <w:lang w:val="en-us"/>
    </w:rPr>
  </w:style>
  <w:style w:type="paragraph" w:styleId="para46">
    <w:name w:val="Subtitle"/>
    <w:qFormat/>
    <w:basedOn w:val="para0"/>
    <w:next w:val="para0"/>
    <w:pPr>
      <w:spacing w:before="360" w:after="80"/>
      <w:keepNext/>
      <w:keepLines/>
    </w:pPr>
    <w:rPr>
      <w:rFonts w:ascii="Georgia" w:hAnsi="Georgia" w:eastAsia="Georgia" w:cs="Georgia"/>
      <w:i/>
      <w:color w:val="666666"/>
      <w:sz w:val="48"/>
      <w:szCs w:val="48"/>
    </w:rPr>
  </w:style>
  <w:style w:type="character" w:styleId="char0" w:default="1">
    <w:name w:val="Default Paragraph Font"/>
  </w:style>
  <w:style w:type="character" w:styleId="char1" w:customStyle="1">
    <w:name w:val="Texto de balão Char"/>
    <w:rPr>
      <w:rFonts w:ascii="Tahoma" w:hAnsi="Tahoma" w:cs="Tahoma"/>
      <w:sz w:val="16"/>
      <w:szCs w:val="16"/>
    </w:rPr>
  </w:style>
  <w:style w:type="character" w:styleId="char2" w:customStyle="1">
    <w:name w:val="Corpo de texto Char"/>
    <w:rPr>
      <w:rFonts w:ascii="Arial" w:hAnsi="Arial" w:eastAsia="Arial Unicode MS" w:cs="Times New Roman"/>
      <w:sz w:val="24"/>
      <w:szCs w:val="24"/>
    </w:rPr>
  </w:style>
  <w:style w:type="character" w:styleId="char3" w:customStyle="1">
    <w:name w:val="Título Char"/>
    <w:rPr>
      <w:rFonts w:ascii="Arial" w:hAnsi="Arial" w:eastAsia="Times New Roman" w:cs="Times New Roman"/>
      <w:b/>
      <w:bCs/>
      <w:caps/>
      <w:sz w:val="28"/>
      <w:szCs w:val="32"/>
    </w:rPr>
  </w:style>
  <w:style w:type="character" w:styleId="char4" w:customStyle="1">
    <w:name w:val="Internet Link"/>
    <w:rPr>
      <w:color w:val="0000ff"/>
      <w:u w:color="auto" w:val="single"/>
    </w:rPr>
  </w:style>
  <w:style w:type="character" w:styleId="char5" w:customStyle="1">
    <w:name w:val="Cabeçalho Char"/>
    <w:rPr>
      <w:rFonts w:ascii="Arial" w:hAnsi="Arial" w:eastAsia="Arial Unicode MS" w:cs="Times New Roman"/>
      <w:sz w:val="24"/>
      <w:szCs w:val="24"/>
    </w:rPr>
  </w:style>
  <w:style w:type="character" w:styleId="char6" w:customStyle="1">
    <w:name w:val="Rodapé Char"/>
    <w:rPr>
      <w:rFonts w:ascii="Arial" w:hAnsi="Arial" w:eastAsia="Arial Unicode MS" w:cs="Times New Roman"/>
      <w:sz w:val="24"/>
      <w:szCs w:val="24"/>
    </w:rPr>
  </w:style>
  <w:style w:type="character" w:styleId="char7">
    <w:name w:val="Strong"/>
    <w:rPr>
      <w:b/>
      <w:bCs/>
    </w:rPr>
  </w:style>
  <w:style w:type="character" w:styleId="char8" w:customStyle="1">
    <w:name w:val="Texto de nota de fim Char"/>
    <w:rPr>
      <w:rFonts w:ascii="Arial" w:hAnsi="Arial" w:eastAsia="Arial Unicode MS"/>
    </w:rPr>
  </w:style>
  <w:style w:type="character" w:styleId="char9" w:customStyle="1">
    <w:name w:val="Âncora da nota de fim"/>
    <w:rPr>
      <w:vertAlign w:val="superscript"/>
    </w:rPr>
  </w:style>
  <w:style w:type="character" w:styleId="char10" w:customStyle="1">
    <w:name w:val="Endnote Characters"/>
  </w:style>
  <w:style w:type="character" w:styleId="char11" w:customStyle="1">
    <w:name w:val="Texto de nota de rodapé Char"/>
    <w:rPr>
      <w:rFonts w:ascii="Arial" w:hAnsi="Arial" w:eastAsia="Arial Unicode MS"/>
    </w:rPr>
  </w:style>
  <w:style w:type="character" w:styleId="char12" w:customStyle="1">
    <w:name w:val="Âncora da nota de rodapé"/>
    <w:rPr>
      <w:vertAlign w:val="superscript"/>
    </w:rPr>
  </w:style>
  <w:style w:type="character" w:styleId="char13" w:customStyle="1">
    <w:name w:val="Footnote Characters"/>
  </w:style>
  <w:style w:type="character" w:styleId="char14" w:customStyle="1">
    <w:name w:val="Footnote Anchor"/>
    <w:rPr>
      <w:vertAlign w:val="superscript"/>
    </w:rPr>
  </w:style>
  <w:style w:type="character" w:styleId="char15" w:customStyle="1">
    <w:name w:val="Endnote Anchor"/>
    <w:rPr>
      <w:vertAlign w:val="superscript"/>
    </w:rPr>
  </w:style>
  <w:style w:type="character" w:styleId="char16" w:customStyle="1">
    <w:name w:val="Link da Internet"/>
    <w:rPr>
      <w:color w:val="000080"/>
      <w:u w:color="auto" w:val="single"/>
    </w:rPr>
  </w:style>
  <w:style w:type="character" w:styleId="char17" w:customStyle="1">
    <w:name w:val="Caracteres de nota de rodapé"/>
  </w:style>
  <w:style w:type="character" w:styleId="char18" w:customStyle="1">
    <w:name w:val="Caracteres de nota de fim"/>
  </w:style>
  <w:style w:type="character" w:styleId="char19" w:customStyle="1">
    <w:name w:val="Símbolos de numeração"/>
  </w:style>
  <w:style w:type="character" w:styleId="char20" w:customStyle="1">
    <w:name w:val="ListLabel 1"/>
    <w:rPr>
      <w:rFonts w:ascii="Times New Roman" w:hAnsi="Times New Roman"/>
      <w:sz w:val="20"/>
      <w:szCs w:val="20"/>
    </w:rPr>
  </w:style>
  <w:style w:type="character" w:styleId="char21" w:customStyle="1">
    <w:name w:val="ListLabel 2"/>
    <w:rPr>
      <w:rFonts w:ascii="Times New Roman" w:hAnsi="Times New Roman"/>
      <w:sz w:val="20"/>
      <w:szCs w:val="20"/>
    </w:rPr>
  </w:style>
  <w:style w:type="character" w:styleId="char22" w:customStyle="1">
    <w:name w:val="Título 1 Char"/>
    <w:basedOn w:val="char0"/>
    <w:rPr>
      <w:rFonts w:ascii="Times New Roman" w:hAnsi="Times New Roman" w:eastAsia="Times New Roman"/>
      <w:b/>
      <w:caps/>
      <w:sz w:val="24"/>
    </w:rPr>
  </w:style>
  <w:style w:type="character" w:styleId="char23" w:customStyle="1">
    <w:name w:val="Título 2 Char"/>
    <w:basedOn w:val="char0"/>
    <w:rPr>
      <w:rFonts w:ascii="Times New Roman" w:hAnsi="Times New Roman" w:eastAsia="Times New Roman"/>
      <w:b/>
      <w:bCs/>
      <w:sz w:val="24"/>
    </w:rPr>
  </w:style>
  <w:style w:type="character" w:styleId="char24" w:customStyle="1">
    <w:name w:val="Título 3 Char"/>
    <w:basedOn w:val="char0"/>
    <w:rPr>
      <w:rFonts w:ascii="Times New Roman" w:hAnsi="Times New Roman" w:eastAsia="Times New Roman" w:cs="Arial"/>
      <w:sz w:val="24"/>
    </w:rPr>
  </w:style>
  <w:style w:type="character" w:styleId="char25" w:customStyle="1">
    <w:name w:val="Título 4 Char"/>
    <w:basedOn w:val="char0"/>
    <w:rPr>
      <w:rFonts w:ascii="Times New Roman" w:hAnsi="Times New Roman" w:eastAsia="Times New Roman" w:cs="Arial"/>
      <w:i/>
      <w:sz w:val="24"/>
    </w:rPr>
  </w:style>
  <w:style w:type="character" w:styleId="char26" w:customStyle="1">
    <w:name w:val="Título 5 Char"/>
    <w:basedOn w:val="char0"/>
    <w:rPr>
      <w:rFonts w:ascii="Times New Roman" w:hAnsi="Times New Roman" w:eastAsia="Times New Roman"/>
      <w:i/>
      <w:iCs/>
      <w:sz w:val="22"/>
      <w:szCs w:val="22"/>
      <w:lang w:val="pt-pt"/>
    </w:rPr>
  </w:style>
  <w:style w:type="character" w:styleId="char27" w:customStyle="1">
    <w:name w:val="Título 6 Char"/>
    <w:basedOn w:val="char0"/>
    <w:rPr>
      <w:rFonts w:ascii="Arial" w:hAnsi="Arial" w:eastAsia="Times New Roman" w:cs="Arial"/>
      <w:i/>
      <w:iCs/>
      <w:sz w:val="22"/>
      <w:szCs w:val="22"/>
      <w:lang w:val="pt-pt"/>
    </w:rPr>
  </w:style>
  <w:style w:type="character" w:styleId="char28" w:customStyle="1">
    <w:name w:val="Título 7 Char"/>
    <w:basedOn w:val="char0"/>
    <w:rPr>
      <w:rFonts w:ascii="Arial" w:hAnsi="Arial" w:eastAsia="Times New Roman" w:cs="Arial"/>
      <w:sz w:val="24"/>
      <w:lang w:val="pt-pt"/>
    </w:rPr>
  </w:style>
  <w:style w:type="character" w:styleId="char29" w:customStyle="1">
    <w:name w:val="Título 8 Char"/>
    <w:basedOn w:val="char0"/>
    <w:rPr>
      <w:rFonts w:ascii="Arial" w:hAnsi="Arial" w:eastAsia="Times New Roman" w:cs="Arial"/>
      <w:i/>
      <w:iCs/>
      <w:sz w:val="24"/>
      <w:lang w:val="pt-pt"/>
    </w:rPr>
  </w:style>
  <w:style w:type="character" w:styleId="char30" w:customStyle="1">
    <w:name w:val="Título 9 Char"/>
    <w:basedOn w:val="char0"/>
    <w:rPr>
      <w:rFonts w:ascii="Arial" w:hAnsi="Arial" w:eastAsia="Times New Roman" w:cs="Arial"/>
      <w:i/>
      <w:iCs/>
      <w:sz w:val="18"/>
      <w:szCs w:val="18"/>
      <w:lang w:val="pt-pt"/>
    </w:rPr>
  </w:style>
  <w:style w:type="character" w:styleId="char31" w:customStyle="1">
    <w:name w:val="Referência Char"/>
    <w:rPr>
      <w:rFonts w:ascii="Times New Roman" w:hAnsi="Times New Roman" w:eastAsia="Times New Roman"/>
      <w:color w:val="000000"/>
      <w:sz w:val="24"/>
      <w:szCs w:val="24"/>
      <w:lang w:val="pt-pt"/>
    </w:rPr>
  </w:style>
  <w:style w:type="character" w:styleId="char32">
    <w:name w:val="Hyperlink"/>
    <w:basedOn w:val="char0"/>
    <w:rPr>
      <w:color w:val="0563c1"/>
      <w:u w:color="auto" w:val="single"/>
    </w:rPr>
  </w:style>
  <w:style w:type="character" w:styleId="char33">
    <w:name w:val="FollowedHyperlink"/>
    <w:basedOn w:val="char0"/>
    <w:rPr>
      <w:color w:val="954f72"/>
      <w:u w:color="auto" w:val="single"/>
    </w:rPr>
  </w:style>
  <w:style w:type="character" w:styleId="char34" w:customStyle="1">
    <w:name w:val="Resumos e palavras-chaves Char"/>
    <w:basedOn w:val="char0"/>
    <w:rPr>
      <w:rFonts w:ascii="Times New Roman" w:hAnsi="Times New Roman" w:eastAsia="Arial Unicode MS"/>
      <w:color w:val="00000a"/>
      <w:sz w:val="22"/>
      <w:szCs w:val="24"/>
    </w:rPr>
  </w:style>
  <w:style w:type="character" w:styleId="char35" w:customStyle="1">
    <w:name w:val="Unresolved Mention"/>
    <w:basedOn w:val="char0"/>
    <w:rPr>
      <w:color w:val="605e5c"/>
      <w:shd w:val="clear" w:fill="e1dfdd"/>
    </w:rPr>
  </w:style>
  <w:style w:type="character" w:styleId="char36">
    <w:name w:val="Footnote Reference"/>
    <w:basedOn w:val="char0"/>
    <w:rPr>
      <w:vertAlign w:val="superscript"/>
    </w:rPr>
  </w:style>
  <w:style w:type="character" w:styleId="char37" w:customStyle="1">
    <w:name w:val="Seção Terciária Char"/>
    <w:basedOn w:val="char24"/>
    <w:rPr>
      <w:b/>
      <w:i/>
    </w:rPr>
  </w:style>
  <w:style w:type="character" w:styleId="char38" w:customStyle="1">
    <w:name w:val="annotation reference"/>
    <w:basedOn w:val="char0"/>
    <w:rPr>
      <w:sz w:val="16"/>
      <w:szCs w:val="16"/>
    </w:rPr>
  </w:style>
  <w:style w:type="character" w:styleId="char39" w:customStyle="1">
    <w:name w:val="Texto de comentário Char"/>
    <w:basedOn w:val="char0"/>
    <w:rPr>
      <w:rFonts w:ascii="Arial" w:hAnsi="Arial" w:eastAsia="Arial Unicode MS"/>
      <w:color w:val="00000a"/>
    </w:rPr>
  </w:style>
  <w:style w:type="character" w:styleId="char40" w:customStyle="1">
    <w:name w:val="Assunto do comentário Char"/>
    <w:basedOn w:val="char39"/>
    <w:rPr>
      <w:b/>
      <w:bCs/>
    </w:rPr>
  </w:style>
  <w:style w:type="character" w:styleId="char41" w:customStyle="1">
    <w:name w:val="Recuo de corpo de texto Char"/>
    <w:basedOn w:val="char0"/>
    <w:rPr>
      <w:rFonts w:ascii="Arial" w:hAnsi="Arial" w:eastAsia="Arial Unicode MS"/>
      <w:color w:val="00000a"/>
      <w:sz w:val="24"/>
      <w:szCs w:val="24"/>
    </w:rPr>
  </w:style>
  <w:style w:type="character" w:styleId="char42" w:customStyle="1">
    <w:name w:val="Título da seção primária Char"/>
    <w:basedOn w:val="char0"/>
    <w:rPr>
      <w:rFonts w:ascii="Arial" w:hAnsi="Arial" w:eastAsia="Arial Unicode MS"/>
      <w:b/>
      <w:color w:val="00000a"/>
      <w:sz w:val="26"/>
      <w:szCs w:val="24"/>
    </w:rPr>
  </w:style>
  <w:style w:type="character" w:styleId="char43" w:customStyle="1">
    <w:name w:val="Seção Primária Char"/>
    <w:basedOn w:val="char42"/>
    <w:rPr>
      <w:rFonts w:ascii="Times New Roman" w:hAnsi="Times New Roman"/>
      <w:caps/>
      <w:sz w:val="24"/>
    </w:rPr>
  </w:style>
  <w:style w:type="character" w:styleId="char44" w:customStyle="1">
    <w:name w:val="fontstyle01"/>
    <w:basedOn w:val="char0"/>
    <w:rPr>
      <w:rFonts w:ascii="Calibri" w:hAnsi="Calibri"/>
      <w:b w:val="0"/>
      <w:bCs w:val="0"/>
      <w:i w:val="0"/>
      <w:iCs w:val="0"/>
      <w:color w:val="663300"/>
      <w:sz w:val="96"/>
      <w:szCs w:val="96"/>
    </w:rPr>
  </w:style>
  <w:style w:type="character" w:styleId="char45" w:customStyle="1">
    <w:name w:val="fontstyle21"/>
    <w:basedOn w:val="char0"/>
    <w:rPr>
      <w:rFonts w:ascii="Calibri-Bold" w:hAnsi="Calibri-Bold"/>
      <w:b/>
      <w:bCs/>
      <w:i w:val="0"/>
      <w:iCs w:val="0"/>
      <w:color w:val="411c11"/>
      <w:sz w:val="50"/>
      <w:szCs w:val="50"/>
    </w:rPr>
  </w:style>
  <w:style w:type="character" w:styleId="char46" w:customStyle="1">
    <w:name w:val="fontstyle31"/>
    <w:basedOn w:val="char0"/>
    <w:rPr>
      <w:rFonts w:ascii="Calibri-Italic" w:hAnsi="Calibri-Italic"/>
      <w:b w:val="0"/>
      <w:bCs w:val="0"/>
      <w:i/>
      <w:iCs/>
      <w:color w:val="411c11"/>
      <w:sz w:val="50"/>
      <w:szCs w:val="50"/>
    </w:rPr>
  </w:style>
  <w:style w:type="table" w:default="1" w:styleId="TableNormal">
    <w:name w:val="Tabela normal"/>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Ind w:w="0" w:type="dxa"/>
      <w:tblCellMar>
        <w:top w:w="0" w:type="dxa"/>
        <w:left w:w="108" w:type="dxa"/>
        <w:bottom w:w="0" w:type="dxa"/>
        <w:right w:w="108" w:type="dxa"/>
      </w:tblCellMar>
    </w:tblPr>
  </w:style>
  <w:style w:type="table" w:styleId="TableGrid">
    <w:name w:val="Table Grid"/>
    <w:basedOn w:val="NormalTable"/>
    <w:uiPriority w:val="59"/>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footnotes" Target="footnotes.xml"/><Relationship Id="rId8" Type="http://schemas.openxmlformats.org/officeDocument/2006/relationships/hyperlink" Target="http://www.planalto.gov.br/ccivil_03/Constituicao/Constitui&#231;ao.htm" TargetMode="External"/><Relationship Id="rId9" Type="http://schemas.openxmlformats.org/officeDocument/2006/relationships/hyperlink" Target="https://www.planalto.gov.br/ccivil_03/leis/l5172compilado.htm" TargetMode="External"/><Relationship Id="rId10" Type="http://schemas.openxmlformats.org/officeDocument/2006/relationships/hyperlink" Target="https://doi.org/10.4060/cc0639en" TargetMode="External"/><Relationship Id="rId11" Type="http://schemas.openxmlformats.org/officeDocument/2006/relationships/hyperlink" Target="https://concla.ibge.gov.br/busca-online-cnae.html?view=divisao&amp;tipo=cnae&amp;versao=10&amp;divisao=56" TargetMode="External"/><Relationship Id="rId12" Type="http://schemas.openxmlformats.org/officeDocument/2006/relationships/hyperlink" Target="https://www.juazeirodonorte.ce.gov.br/arquivos/1784/LEI%20MUNICIPAL_3188_2007_0000001.pdf" TargetMode="External"/><Relationship Id="rId13" Type="http://schemas.openxmlformats.org/officeDocument/2006/relationships/hyperlink" Target="https://www.juazeirodonorte.ce.gov.br/arquivos/2776/LEI%20MUNICIPAL_4204_2013_0000001.pdf" TargetMode="External"/><Relationship Id="rId14" Type="http://schemas.openxmlformats.org/officeDocument/2006/relationships/hyperlink" Target="https://www.correiobraziliense.com.br/brasil/2022/07/5020611-pais-esta-de-volta-ao-mapa-da-fome-da-onu.html" TargetMode="External"/><Relationship Id="rId15" Type="http://schemas.openxmlformats.org/officeDocument/2006/relationships/hyperlink" Target="https://mais.opovo.com.br/jornal/economia/2022/09/15/fome-atinge-24-milhoes-de-pessoas-no-ceara.html" TargetMode="External"/><Relationship Id="rId16" Type="http://schemas.openxmlformats.org/officeDocument/2006/relationships/hyperlink" Target="https://bi.mte.gov.br/bgcaged/rais.php" TargetMode="External"/><Relationship Id="rId17" Type="http://schemas.openxmlformats.org/officeDocument/2006/relationships/hyperlink" Target="https://olheparaafome.com.br/wp-content/uploads/2022/06/Relatorio-II-VIGISAN-2022.pdf"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header" Target="header2.xml"/><Relationship Id="rId21" Type="http://schemas.openxmlformats.org/officeDocument/2006/relationships/footer" Target="footer2.xml"/></Relationships>
</file>

<file path=word/_rels/footnotes.xml.rels><?xml version="1.0" encoding="UTF-8" standalone="yes" ?>
<Relationships xmlns="http://schemas.openxmlformats.org/package/2006/relationships"><Relationship Id="rId1" Type="http://schemas.openxmlformats.org/officeDocument/2006/relationships/hyperlink" Target="mailto:valdembergnobre@gmail.com" TargetMode="External"/></Relationships>
</file>

<file path=word/_rels/header1.xml.rels><?xml version="1.0" encoding="UTF-8" standalone="yes" ?>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rev.982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DGI</dc:creator>
  <cp:keywords/>
  <dc:description/>
  <cp:lastModifiedBy/>
  <cp:revision>1</cp:revision>
  <dcterms:created xsi:type="dcterms:W3CDTF">2022-07-19T13:04:00Z</dcterms:created>
  <dcterms:modified xsi:type="dcterms:W3CDTF">2023-10-17T23:56:54Z</dcterms:modified>
</cp:coreProperties>
</file>