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480" w:before="72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 importância do ato de ler</w:t>
      </w:r>
      <w:r w:rsidDel="00000000" w:rsidR="00000000" w:rsidRPr="00000000">
        <w:rPr>
          <w:b w:val="1"/>
          <w:sz w:val="32"/>
          <w:szCs w:val="32"/>
          <w:rtl w:val="0"/>
        </w:rPr>
        <w:t xml:space="preserve">: </w:t>
      </w:r>
      <w:r w:rsidDel="00000000" w:rsidR="00000000" w:rsidRPr="00000000">
        <w:rPr>
          <w:sz w:val="32"/>
          <w:szCs w:val="32"/>
          <w:rtl w:val="0"/>
        </w:rPr>
        <w:t xml:space="preserve">Os círculos de leitura e seus desdobramentos teórico-práticos.</w:t>
      </w:r>
    </w:p>
    <w:p w:rsidR="00000000" w:rsidDel="00000000" w:rsidP="00000000" w:rsidRDefault="00000000" w:rsidRPr="00000000" w14:paraId="00000002">
      <w:pPr>
        <w:spacing w:before="120" w:lineRule="auto"/>
        <w:ind w:firstLine="0"/>
        <w:jc w:val="right"/>
        <w:rPr/>
      </w:pPr>
      <w:r w:rsidDel="00000000" w:rsidR="00000000" w:rsidRPr="00000000">
        <w:rPr>
          <w:b w:val="1"/>
          <w:rtl w:val="0"/>
        </w:rPr>
        <w:t xml:space="preserve">Elaine Maria Silva Moura</w:t>
      </w:r>
      <w:r w:rsidDel="00000000" w:rsidR="00000000" w:rsidRPr="00000000">
        <w:rPr>
          <w:b w:val="1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ind w:firstLine="0"/>
        <w:jc w:val="right"/>
        <w:rPr>
          <w:b w:val="1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Camila do Espirito Santo Prado de Oliveira</w:t>
      </w:r>
      <w:r w:rsidDel="00000000" w:rsidR="00000000" w:rsidRPr="00000000">
        <w:rPr>
          <w:b w:val="1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Busca-se, ao escrever este texto,</w:t>
      </w:r>
      <w:r w:rsidDel="00000000" w:rsidR="00000000" w:rsidRPr="00000000">
        <w:rPr>
          <w:rtl w:val="0"/>
        </w:rPr>
        <w:t xml:space="preserve"> dar corpo e forma teórica à experiência vivida junto ao Projeto Círculos de Leitura, o qual, vinculado à Pró-reitoria de Extensão (PROEX) da Universidade Federal do Cariri (UFCA), tem atuado em parceria com os ensinos fundamental e médio públicos, desde junho de 2022, no Cariri Cearense. Tomando como referência bibliográfica os estudos concernentes ao processo de leitura e à sua importância, bem como textos decoloniais, cuja proposta de interpretação do mundo convergem e atribuem fundamental relevância a língua e à linguagem, seja ela falada e ou escrita. Objetiva-se no presente trabalho explorar a tese de que a linguagem é um ponto de intersecção entre a formação e o desenvolvimento da compreensão subjetiva, ao mesmo tempo em que promove a socialização e o sentimento de coletividade em cada pessoa. Defendendo a linguagem e a língua,  e por consequência a leitura, enquanto instrumento para liberdade, autonomia e conhecimento de mundo, visamos contribuir com o debate a partir de experiências concretas, além de promover discussões internas e externas à academia com a publicização do presente texto.</w:t>
      </w:r>
    </w:p>
    <w:p w:rsidR="00000000" w:rsidDel="00000000" w:rsidP="00000000" w:rsidRDefault="00000000" w:rsidRPr="00000000" w14:paraId="00000008">
      <w:pPr>
        <w:spacing w:after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mallCaps w:val="1"/>
          <w:rtl w:val="0"/>
        </w:rPr>
        <w:t xml:space="preserve">LINGUAGEM E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Os escritos platônicos já traziam a necessidade de se pensar o diálogo como processo vivo de produção de conhecimento (PLATÃO (427-347 a.c.), 2007). Autoras e autores como Conceição Evaristo e bell hooks, Paulo Freire e Daniel Pennac, apostam na escrita e principalmente na leitura como proposta política e educativa para modificar a realidade.</w:t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Pennac (1993), em todo o seu livro, investe no romance e em uma escrita/interpretação mais poética do processo de leitura e seus atravessamentos. Quando trata do tema, frisa a importância da leitura em detrimento das formas de comunicação em massa, bem como outras problemáticas envolvendo o ler, como o encurtamento do interesse e disponibilidade para a leitura, que a modernidade e as/es/os sujeitas/es/os modernas/es/os têm.</w:t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Freire (1987), relaciona a leitura e principalmente a educação (pedagogia) ao processo de autonomia das pessoas, junto à sua aprendizagem. Para ele, as palavras não se constituem apenas como símbolos representativos, mas como pontos de convergência entre o mundo individual, o mundo coletivo e a produção de epistemologias. 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i w:val="1"/>
          <w:rtl w:val="0"/>
        </w:rPr>
        <w:t xml:space="preserve">alavramundo</w:t>
      </w:r>
      <w:r w:rsidDel="00000000" w:rsidR="00000000" w:rsidRPr="00000000">
        <w:rPr>
          <w:rtl w:val="0"/>
        </w:rPr>
        <w:t xml:space="preserve"> é como o autor chama o processo de leitura que antecede o ato de ler, mas se entrelaça a este, conforme se constrói a subjetividade individual, ou seja, no início do desenvolvimento da personalidade, ainda na infância. Nesse sentido, a leitura da palavra é a leitura do mundo, a leitura do mundo é a leitura da palavra e ao mesmo tempo intervenção particular na realidade, já que, ao ler o mundo se atribui significantes e significados, ao mesmo tempo que se costura o já aprendido ao novo. Por isso, Paulo Freire (1987, 1997), destaca a necessidade de se buscar as palavras que já existem no cotidiano dos educandos, quando ele trata do processo de alfabetização, pois elas já estão imbuídas de sentidos. </w:t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Conceição Evaristo (HERMÍNIO, 2022) e bell hooks (2013) dizem que o processo de escrita e experiência estão interligados. bell trata da </w:t>
      </w:r>
      <w:r w:rsidDel="00000000" w:rsidR="00000000" w:rsidRPr="00000000">
        <w:rPr>
          <w:i w:val="1"/>
          <w:rtl w:val="0"/>
        </w:rPr>
        <w:t xml:space="preserve">autoescrita</w:t>
      </w:r>
      <w:r w:rsidDel="00000000" w:rsidR="00000000" w:rsidRPr="00000000">
        <w:rPr>
          <w:rtl w:val="0"/>
        </w:rPr>
        <w:t xml:space="preserve"> como uma forma dialógica de autoafirmação no mundo, o qual é constantemente apagado pela afirmação de um modelo que, hegemônico, nega tudo aquilo que não faz parte do que é ditado enquanto norma, o masculino-cis-hétero-branco-patriarcal-capitalista. A </w:t>
      </w:r>
      <w:r w:rsidDel="00000000" w:rsidR="00000000" w:rsidRPr="00000000">
        <w:rPr>
          <w:i w:val="1"/>
          <w:rtl w:val="0"/>
        </w:rPr>
        <w:t xml:space="preserve">autoescrita</w:t>
      </w:r>
      <w:r w:rsidDel="00000000" w:rsidR="00000000" w:rsidRPr="00000000">
        <w:rPr>
          <w:rtl w:val="0"/>
        </w:rPr>
        <w:t xml:space="preserve">, dessa forma, serviria para fugir da norma, criando novas palavras, ou modos de dizer, precisamente novos conhecimentos (conceitos e epistemologias) que possibilitariam a ampliação do mundo individual e coletivo, e por consequência o alcance da liberdade.</w:t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Já Conceição Evaristo,  interpretada por Hermínio, afirma que o processo de escrita, mais especificamente o processo de </w:t>
      </w:r>
      <w:r w:rsidDel="00000000" w:rsidR="00000000" w:rsidRPr="00000000">
        <w:rPr>
          <w:i w:val="1"/>
          <w:rtl w:val="0"/>
        </w:rPr>
        <w:t xml:space="preserve">escrevivência</w:t>
      </w:r>
      <w:r w:rsidDel="00000000" w:rsidR="00000000" w:rsidRPr="00000000">
        <w:rPr>
          <w:rtl w:val="0"/>
        </w:rPr>
        <w:t xml:space="preserve">, não diz respeito à experiência particular, mas à forma coletiva que isso toma. A premissa é que o ato de escrever é transgeracional, melhor dizendo, as palavras escritas teriam uma força que perpassa a geração que as escreve, sendo uma aglutinação de sentidos, formas, experiências e escritas de várias gerações de pessoas, na vivência coletiva que, para Conceição Evaristo está enraizado nas mulheres negras escravizadas (HERMÍNIO,  2022), e chega até a contemporaneidade como uma herança geracional.</w:t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As autoras e autores aqui citadas/es/os têm em comum o entendimento do ato de ler e escrever como promotores de realidade, de mundo, de experiência e de existência, ao mesmo tempo que apostam na coletividade como nuclear para esses processos.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2.1 Círculos de Leitura: A prática.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color w:val="ff000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 Projeto Círculos de Leitura, inspirado na premissa freiriana dos Círculos de Cultura (FREIRE, 1997), busca trazer a ideia de coletividade para o encontro com gêneros textuais distintos, tendo nos livros e na leitura compartilhada uma maneira de incentivar a produção de mundos individuais e coletivos, através das trocas entre estes mundos/pessoas.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bookmarkStart w:colFirst="0" w:colLast="0" w:name="_heading=h.pjd2f43wd8gu" w:id="1"/>
      <w:bookmarkEnd w:id="1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implementação dos Círculos nos espaços comunitários também tem a proposta de descentralização de saberes, visto que o conhecimento e a leitura do mundo podem ser feitos em qualquer espaço/lugar.</w:t>
      </w:r>
    </w:p>
    <w:p w:rsidR="00000000" w:rsidDel="00000000" w:rsidP="00000000" w:rsidRDefault="00000000" w:rsidRPr="00000000" w14:paraId="00000016">
      <w:pPr>
        <w:spacing w:line="360" w:lineRule="auto"/>
        <w:rPr/>
      </w:pPr>
      <w:bookmarkStart w:colFirst="0" w:colLast="0" w:name="_heading=h.862zeqolffyu" w:id="2"/>
      <w:bookmarkEnd w:id="2"/>
      <w:r w:rsidDel="00000000" w:rsidR="00000000" w:rsidRPr="00000000">
        <w:rPr>
          <w:rtl w:val="0"/>
        </w:rPr>
        <w:t xml:space="preserve">O coletivo é a prioridade dessa proposta, assim como possibilitar às pessoas participantes dos Círculos visando a ampliação das suas </w:t>
      </w:r>
      <w:r w:rsidDel="00000000" w:rsidR="00000000" w:rsidRPr="00000000">
        <w:rPr>
          <w:i w:val="1"/>
          <w:rtl w:val="0"/>
        </w:rPr>
        <w:t xml:space="preserve">palavrasmundos</w:t>
      </w:r>
      <w:r w:rsidDel="00000000" w:rsidR="00000000" w:rsidRPr="00000000">
        <w:rPr>
          <w:rtl w:val="0"/>
        </w:rPr>
        <w:t xml:space="preserve">, ampliação de repertório cultural e encontro com suas próprias narrativas, como propõe Adichie (2009), Spivak (2010),  hooks (2013) e Kilomba (2019).</w:t>
      </w:r>
    </w:p>
    <w:p w:rsidR="00000000" w:rsidDel="00000000" w:rsidP="00000000" w:rsidRDefault="00000000" w:rsidRPr="00000000" w14:paraId="00000017">
      <w:pPr>
        <w:spacing w:line="360" w:lineRule="auto"/>
        <w:rPr/>
      </w:pPr>
      <w:bookmarkStart w:colFirst="0" w:colLast="0" w:name="_heading=h.vtyx269jevla" w:id="3"/>
      <w:bookmarkEnd w:id="3"/>
      <w:r w:rsidDel="00000000" w:rsidR="00000000" w:rsidRPr="00000000">
        <w:rPr>
          <w:rtl w:val="0"/>
        </w:rPr>
        <w:t xml:space="preserve">Prática que estamos efetivado pelas intervenções realizadas durante o ano de 2022 e que ainda estão sendo executadas neste ano de 2023, na Escola de Ensino Fundamental Izabel da Luz e na Escola de Ensino Médio José Bezerra de Menezes entre crianças e adolescentes dos primeiros e segundos anos, bem como dentro do espaço do ensino superior,  junto a comunidade da Universidade Federal do Cariri (UFCA).</w:t>
      </w:r>
    </w:p>
    <w:p w:rsidR="00000000" w:rsidDel="00000000" w:rsidP="00000000" w:rsidRDefault="00000000" w:rsidRPr="00000000" w14:paraId="00000018">
      <w:pPr>
        <w:spacing w:line="360" w:lineRule="auto"/>
        <w:rPr/>
      </w:pPr>
      <w:bookmarkStart w:colFirst="0" w:colLast="0" w:name="_heading=h.mzq94zwv4eik" w:id="4"/>
      <w:bookmarkEnd w:id="4"/>
      <w:r w:rsidDel="00000000" w:rsidR="00000000" w:rsidRPr="00000000">
        <w:rPr>
          <w:rtl w:val="0"/>
        </w:rPr>
        <w:t xml:space="preserve">No contexto de ensino básico, observou-se, serem espaços educacionais marcados pelas presenças de livros e bibliotecas, mas cada qual a sua maneira, não tem uma grande quantidade de leitores, o que demonstra a precarização da leitura mesmo dentro das instituições educacionais e a necessidade de um olhar ampliado para esse problema, bem como, a expressão das possibilidades de encontros com o ato de ler, dado que a leitura da realidade e das culturas,  muitas vezes transcendem as páginas dos livros e vão de encontro a outros gêneros literários.</w:t>
      </w:r>
    </w:p>
    <w:p w:rsidR="00000000" w:rsidDel="00000000" w:rsidP="00000000" w:rsidRDefault="00000000" w:rsidRPr="00000000" w14:paraId="00000019">
      <w:pPr>
        <w:spacing w:line="360" w:lineRule="auto"/>
        <w:rPr/>
      </w:pPr>
      <w:bookmarkStart w:colFirst="0" w:colLast="0" w:name="_heading=h.l08epp28in3x" w:id="5"/>
      <w:bookmarkEnd w:id="5"/>
      <w:r w:rsidDel="00000000" w:rsidR="00000000" w:rsidRPr="00000000">
        <w:rPr>
          <w:rtl w:val="0"/>
        </w:rPr>
        <w:t xml:space="preserve">Os Círculos de Leitura ocorrem de maneira contínua nos três níveis  de escolarização/educação. A aproximação do projeto com os locais de atuação em 2022, se deu por meio de apresentação escrita do projeto e carta de apresentação, tendo as primeiras comunidades escolares procuradas pela equipe do projeto, aderido à proposta de encontros mensais e ou semanais (como ocorre esse ano de 2023 no ensino médio) com uma ou mais turmas dos anos iniciais (Escola de Ensino Fundamental Municipal Isabel da Luz, e Escola de Ensino Médio José Bezerra de Menezes), ambas situadas em Juazeiro do Norte. Já no ensino superior, ocorre na Universidade Federal do Cariri - UFCA (campus Juazeiro do Norte). O Círculo é uma estratégia de permanência da leitura nos espaços comunitários. A proposta dos Círculos é ler coletivamente e, através de dinâmicas expressivas, trocar impressões, produções artísticas, sentimentos e reflexões sobre o que foi lido, visa desenvolver pensamento crítico.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firstLine="0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3 Conclusão </w:t>
      </w:r>
    </w:p>
    <w:p w:rsidR="00000000" w:rsidDel="00000000" w:rsidP="00000000" w:rsidRDefault="00000000" w:rsidRPr="00000000" w14:paraId="0000001C">
      <w:pPr>
        <w:spacing w:after="0" w:lineRule="auto"/>
        <w:ind w:firstLine="0"/>
        <w:rPr>
          <w:b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bookmarkStart w:colFirst="0" w:colLast="0" w:name="_heading=h.dpnmwa3aq8hh" w:id="6"/>
      <w:bookmarkEnd w:id="6"/>
      <w:r w:rsidDel="00000000" w:rsidR="00000000" w:rsidRPr="00000000">
        <w:rPr>
          <w:rtl w:val="0"/>
        </w:rPr>
        <w:t xml:space="preserve">Quando há possibilidade de construção de um mundo, é justamente quando há espaço para que as palavras sejam construídas, lidas/pronunciadas e vividas pelas pessoas em um processo contínuo, mas não necessariamente linear, já que é político e dialógico.</w:t>
      </w:r>
    </w:p>
    <w:p w:rsidR="00000000" w:rsidDel="00000000" w:rsidP="00000000" w:rsidRDefault="00000000" w:rsidRPr="00000000" w14:paraId="0000001E">
      <w:pPr>
        <w:spacing w:line="360" w:lineRule="auto"/>
        <w:rPr/>
      </w:pPr>
      <w:bookmarkStart w:colFirst="0" w:colLast="0" w:name="_heading=h.u4jqkcd3z84m" w:id="7"/>
      <w:bookmarkEnd w:id="7"/>
      <w:r w:rsidDel="00000000" w:rsidR="00000000" w:rsidRPr="00000000">
        <w:rPr>
          <w:rtl w:val="0"/>
        </w:rPr>
        <w:t xml:space="preserve">Cada nova voz somada à leitura coletiva, é tanto um novo mundo-palavra, quanto uma forma de acentuar as diferenças e pluralidades de vozes que, não são iguais, mas devem ter o mesmo destaque e importância, para que não seja acentuada uma única forma de escrever/ler a realidade.</w:t>
      </w:r>
    </w:p>
    <w:p w:rsidR="00000000" w:rsidDel="00000000" w:rsidP="00000000" w:rsidRDefault="00000000" w:rsidRPr="00000000" w14:paraId="0000001F">
      <w:pPr>
        <w:spacing w:line="360" w:lineRule="auto"/>
        <w:rPr/>
      </w:pPr>
      <w:bookmarkStart w:colFirst="0" w:colLast="0" w:name="_heading=h.h7gm1k94mzbk" w:id="8"/>
      <w:bookmarkEnd w:id="8"/>
      <w:r w:rsidDel="00000000" w:rsidR="00000000" w:rsidRPr="00000000">
        <w:rPr>
          <w:rtl w:val="0"/>
        </w:rPr>
        <w:t xml:space="preserve">Conclui-se, dessa maneira, que a promoção de espaços de encontro de palavras e de escritas é também o cerne de propostas libertadoras, no sentido de promoção de autonomia por meio da conscientização da relevância da língua e das linguagens na construção e modificação do mundo, da realidade vivenciada.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Agradecimentos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Agradecemos primeiramente as instituições de ensino que, em parceria com o Projeto Círculos de Leitura, construíram espaços de trocas riquíssimos entre, para e com os educandos, sendo estas a Escola de Ensino Fundamental Municipal Izabel da Luz, a Escola de Ensino Médio José Bezerra de Menezes. Agradecemos também a Pró-reitoria de Extensão, cujo vínculo possibilitou a concretização dessa proposta extensionista junto a Universidade Federal do Cariri (UFCA) e a implementação do Círculo de Leitura nesses espaço, e por fim agradecimentos à Pró-reitoria de Pós-Graduação, Pesquisa e Inovação (PRPI) da Universidade Federal do Cariri (UFCA) pela possibilidade de publicização da presente pesquisa.</w:t>
      </w:r>
    </w:p>
    <w:p w:rsidR="00000000" w:rsidDel="00000000" w:rsidP="00000000" w:rsidRDefault="00000000" w:rsidRPr="00000000" w14:paraId="0000002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ADICHIE, Chimamanda. </w:t>
      </w:r>
      <w:r w:rsidDel="00000000" w:rsidR="00000000" w:rsidRPr="00000000">
        <w:rPr>
          <w:b w:val="1"/>
          <w:color w:val="000000"/>
          <w:rtl w:val="0"/>
        </w:rPr>
        <w:t xml:space="preserve">O Perigo da História Única.</w:t>
      </w:r>
      <w:r w:rsidDel="00000000" w:rsidR="00000000" w:rsidRPr="00000000">
        <w:rPr>
          <w:color w:val="000000"/>
          <w:rtl w:val="0"/>
        </w:rPr>
        <w:t xml:space="preserve"> Vídeo da palestra da escritora nigeriana no evento Tecnology, Entertainment and Design (TED Global 2009). Disponível em:http://www.ted.com/talks/chimamanda_adichie_the_danger_of_a_single_story?language=pt. Acesso em: 14 de jan. 2021.</w:t>
      </w:r>
    </w:p>
    <w:p w:rsidR="00000000" w:rsidDel="00000000" w:rsidP="00000000" w:rsidRDefault="00000000" w:rsidRPr="00000000" w14:paraId="00000028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FREIRE, Paulo. </w:t>
      </w:r>
      <w:r w:rsidDel="00000000" w:rsidR="00000000" w:rsidRPr="00000000">
        <w:rPr>
          <w:b w:val="1"/>
          <w:color w:val="000000"/>
          <w:rtl w:val="0"/>
        </w:rPr>
        <w:t xml:space="preserve">Educação como prática da liberdade.</w:t>
      </w:r>
      <w:r w:rsidDel="00000000" w:rsidR="00000000" w:rsidRPr="00000000">
        <w:rPr>
          <w:color w:val="000000"/>
          <w:rtl w:val="0"/>
        </w:rPr>
        <w:t xml:space="preserve"> Editora Paz e Terra Ltda: Rio de Janeiro, 1997.</w:t>
      </w:r>
    </w:p>
    <w:p w:rsidR="00000000" w:rsidDel="00000000" w:rsidP="00000000" w:rsidRDefault="00000000" w:rsidRPr="00000000" w14:paraId="0000002A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FREIRE, Paulo. </w:t>
      </w:r>
      <w:r w:rsidDel="00000000" w:rsidR="00000000" w:rsidRPr="00000000">
        <w:rPr>
          <w:b w:val="1"/>
          <w:color w:val="000000"/>
          <w:rtl w:val="0"/>
        </w:rPr>
        <w:t xml:space="preserve">A importância do ato de ler: em três artigos que se completam.</w:t>
      </w:r>
      <w:r w:rsidDel="00000000" w:rsidR="00000000" w:rsidRPr="00000000">
        <w:rPr>
          <w:color w:val="000000"/>
          <w:rtl w:val="0"/>
        </w:rPr>
        <w:t xml:space="preserve"> São Paulo: Autores Associados: Cortez, 1989.</w:t>
      </w:r>
    </w:p>
    <w:p w:rsidR="00000000" w:rsidDel="00000000" w:rsidP="00000000" w:rsidRDefault="00000000" w:rsidRPr="00000000" w14:paraId="0000002C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HERMÍNIO, Beatriz. A escrevivência carrega a escrita da coletividade, afirma Conceição Evaristo. </w:t>
      </w:r>
      <w:r w:rsidDel="00000000" w:rsidR="00000000" w:rsidRPr="00000000">
        <w:rPr>
          <w:b w:val="1"/>
          <w:rtl w:val="0"/>
        </w:rPr>
        <w:t xml:space="preserve">Instituto de Estudos Avançados da Universidade de São Paulo</w:t>
      </w:r>
      <w:r w:rsidDel="00000000" w:rsidR="00000000" w:rsidRPr="00000000">
        <w:rPr>
          <w:rtl w:val="0"/>
        </w:rPr>
        <w:t xml:space="preserve">, 2022. Disponível em: </w:t>
      </w:r>
      <w:r w:rsidDel="00000000" w:rsidR="00000000" w:rsidRPr="00000000">
        <w:rPr>
          <w:rtl w:val="0"/>
        </w:rPr>
        <w:t xml:space="preserve">http://www.iea.usp.br/noticias/a-escrevivencia-carrega-a-escrita-da-coletividade-afirma-conceicao-evaristo#:~:text=Criado%20por%20Concei%C3%A7%C3%A3o%20Evaristo%2C%20o,explicou%20a%20escritora%20e%20educadora</w:t>
      </w:r>
      <w:r w:rsidDel="00000000" w:rsidR="00000000" w:rsidRPr="00000000">
        <w:rPr>
          <w:rtl w:val="0"/>
        </w:rPr>
        <w:t xml:space="preserve">. Acesso em: 01 de ago. 2023.</w:t>
      </w:r>
    </w:p>
    <w:p w:rsidR="00000000" w:rsidDel="00000000" w:rsidP="00000000" w:rsidRDefault="00000000" w:rsidRPr="00000000" w14:paraId="0000002E">
      <w:pPr>
        <w:widowControl w:val="1"/>
        <w:spacing w:after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hooks, bell. </w:t>
      </w:r>
      <w:r w:rsidDel="00000000" w:rsidR="00000000" w:rsidRPr="00000000">
        <w:rPr>
          <w:b w:val="1"/>
          <w:color w:val="000000"/>
          <w:rtl w:val="0"/>
        </w:rPr>
        <w:t xml:space="preserve">Ensinando a Transgredir: a educação como prática da liberdade.</w:t>
      </w:r>
      <w:r w:rsidDel="00000000" w:rsidR="00000000" w:rsidRPr="00000000">
        <w:rPr>
          <w:color w:val="000000"/>
          <w:rtl w:val="0"/>
        </w:rPr>
        <w:t xml:space="preserve"> São Paulo: WMF Martins Fontes, 2013.</w:t>
      </w:r>
    </w:p>
    <w:p w:rsidR="00000000" w:rsidDel="00000000" w:rsidP="00000000" w:rsidRDefault="00000000" w:rsidRPr="00000000" w14:paraId="00000030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KILOMBA, Grada. </w:t>
      </w:r>
      <w:r w:rsidDel="00000000" w:rsidR="00000000" w:rsidRPr="00000000">
        <w:rPr>
          <w:b w:val="1"/>
          <w:color w:val="000000"/>
          <w:rtl w:val="0"/>
        </w:rPr>
        <w:t xml:space="preserve">Memórias da plantação: episódios de racismo  cotidiano.</w:t>
      </w:r>
      <w:r w:rsidDel="00000000" w:rsidR="00000000" w:rsidRPr="00000000">
        <w:rPr>
          <w:color w:val="000000"/>
          <w:rtl w:val="0"/>
        </w:rPr>
        <w:t xml:space="preserve"> 1° Edição. Cobogó, 2019.</w:t>
      </w:r>
    </w:p>
    <w:p w:rsidR="00000000" w:rsidDel="00000000" w:rsidP="00000000" w:rsidRDefault="00000000" w:rsidRPr="00000000" w14:paraId="00000032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PLATÃO (427-347 a.c.). </w:t>
      </w:r>
      <w:r w:rsidDel="00000000" w:rsidR="00000000" w:rsidRPr="00000000">
        <w:rPr>
          <w:b w:val="1"/>
          <w:color w:val="000000"/>
          <w:rtl w:val="0"/>
        </w:rPr>
        <w:t xml:space="preserve">Diálogo I: Teeteto (ou o conhecimento), Sofista (ou o ser), Protágoras (ou sofistas).</w:t>
      </w:r>
      <w:r w:rsidDel="00000000" w:rsidR="00000000" w:rsidRPr="00000000">
        <w:rPr>
          <w:color w:val="000000"/>
          <w:rtl w:val="0"/>
        </w:rPr>
        <w:t xml:space="preserve"> Bauru, São Paulo: EDIPRO, 2007.</w:t>
      </w:r>
    </w:p>
    <w:p w:rsidR="00000000" w:rsidDel="00000000" w:rsidP="00000000" w:rsidRDefault="00000000" w:rsidRPr="00000000" w14:paraId="00000034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PENNAC, Daniel. Como um romance. Rio de Janeiro: Rocco, 1993. p. 118-119.</w:t>
      </w:r>
    </w:p>
    <w:p w:rsidR="00000000" w:rsidDel="00000000" w:rsidP="00000000" w:rsidRDefault="00000000" w:rsidRPr="00000000" w14:paraId="00000036">
      <w:pPr>
        <w:widowControl w:val="1"/>
        <w:spacing w:after="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0" w:lineRule="auto"/>
        <w:ind w:firstLine="0"/>
        <w:jc w:val="left"/>
        <w:rPr/>
      </w:pPr>
      <w:r w:rsidDel="00000000" w:rsidR="00000000" w:rsidRPr="00000000">
        <w:rPr>
          <w:color w:val="000000"/>
          <w:rtl w:val="0"/>
        </w:rPr>
        <w:t xml:space="preserve">SPIVAK, G. O. </w:t>
      </w:r>
      <w:r w:rsidDel="00000000" w:rsidR="00000000" w:rsidRPr="00000000">
        <w:rPr>
          <w:b w:val="1"/>
          <w:color w:val="000000"/>
          <w:rtl w:val="0"/>
        </w:rPr>
        <w:t xml:space="preserve">Pode o subalterno falar?</w:t>
      </w:r>
      <w:r w:rsidDel="00000000" w:rsidR="00000000" w:rsidRPr="00000000">
        <w:rPr>
          <w:color w:val="000000"/>
          <w:rtl w:val="0"/>
        </w:rPr>
        <w:t xml:space="preserve"> Belo Horizonte: Editora UFMG, 2010.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7" w:top="1417" w:left="1701" w:right="1417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ind w:firstLine="0"/>
      <w:jc w:val="center"/>
      <w:rPr/>
    </w:pPr>
    <w:r w:rsidDel="00000000" w:rsidR="00000000" w:rsidRPr="00000000">
      <w:rPr>
        <w:color w:val="001836"/>
        <w:rtl w:val="0"/>
      </w:rPr>
      <w:t xml:space="preserve">© IV CONPESQ, 3, 4 e 5 de outubro de 2023, Juazeiro do Norte, CE, Brasil.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342900</wp:posOffset>
              </wp:positionV>
              <wp:extent cx="7733043" cy="194691"/>
              <wp:effectExtent b="0" l="0" r="0" t="0"/>
              <wp:wrapNone/>
              <wp:docPr id="7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85829" y="3689005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  <a:ln cap="flat" cmpd="sng" w="12700">
                        <a:solidFill>
                          <a:srgbClr val="31538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342900</wp:posOffset>
              </wp:positionV>
              <wp:extent cx="7733043" cy="194691"/>
              <wp:effectExtent b="0" l="0" r="0" t="0"/>
              <wp:wrapNone/>
              <wp:docPr id="7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33043" cy="1946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ind w:firstLine="0"/>
      <w:jc w:val="center"/>
      <w:rPr/>
    </w:pPr>
    <w:r w:rsidDel="00000000" w:rsidR="00000000" w:rsidRPr="00000000">
      <w:rPr>
        <w:color w:val="001836"/>
        <w:rtl w:val="0"/>
      </w:rPr>
      <w:t xml:space="preserve">© IV CONPESQ, 3, 4 e 5 de outubro de 2023, Juazeiro do Norte, CE, Brasil.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342900</wp:posOffset>
              </wp:positionV>
              <wp:extent cx="7733030" cy="194310"/>
              <wp:effectExtent b="0" l="0" r="0" t="0"/>
              <wp:wrapNone/>
              <wp:docPr id="7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85835" y="3689195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  <a:ln cap="flat" cmpd="sng" w="12700">
                        <a:solidFill>
                          <a:srgbClr val="31538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342900</wp:posOffset>
              </wp:positionV>
              <wp:extent cx="7733030" cy="194310"/>
              <wp:effectExtent b="0" l="0" r="0" t="0"/>
              <wp:wrapNone/>
              <wp:docPr id="7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33030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Bacharelanda em Filosofia pela Universidade Federal do Cariri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, e-mail: elaine</w:t>
      </w:r>
      <w:r w:rsidDel="00000000" w:rsidR="00000000" w:rsidRPr="00000000">
        <w:rPr>
          <w:sz w:val="20"/>
          <w:szCs w:val="20"/>
          <w:rtl w:val="0"/>
        </w:rPr>
        <w:t xml:space="preserve">.m.s.moura@aluno.edu.br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</w:footnote>
  <w:footnote w:id="1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Professora dos cursos de Filosofia da Universidade Federal do Cariri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sz w:val="20"/>
          <w:szCs w:val="20"/>
          <w:rtl w:val="0"/>
        </w:rPr>
        <w:t xml:space="preserve">: Camila.prado@ufca.edu.br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3856648" cy="978113"/>
          <wp:effectExtent b="0" l="0" r="0" t="0"/>
          <wp:docPr id="7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567" l="21795" r="22046" t="18604"/>
                  <a:stretch>
                    <a:fillRect/>
                  </a:stretch>
                </pic:blipFill>
                <pic:spPr>
                  <a:xfrm>
                    <a:off x="0" y="0"/>
                    <a:ext cx="3856648" cy="9781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-1092199</wp:posOffset>
              </wp:positionH>
              <wp:positionV relativeFrom="paragraph">
                <wp:posOffset>-266699</wp:posOffset>
              </wp:positionV>
              <wp:extent cx="7581788" cy="1458342"/>
              <wp:effectExtent b="0" l="0" r="0" t="0"/>
              <wp:wrapNone/>
              <wp:docPr id="7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rot="5400000">
                        <a:off x="4622764" y="-6132"/>
                        <a:ext cx="1446472" cy="7572263"/>
                      </a:xfrm>
                      <a:prstGeom prst="flowChartDelay">
                        <a:avLst/>
                      </a:prstGeom>
                      <a:blipFill rotWithShape="0">
                        <a:blip r:embed="rId2">
                          <a:alphaModFix/>
                        </a:blip>
                        <a:stretch>
                          <a:fillRect b="-80" l="80" r="80" t="-80"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-1092199</wp:posOffset>
              </wp:positionH>
              <wp:positionV relativeFrom="paragraph">
                <wp:posOffset>-266699</wp:posOffset>
              </wp:positionV>
              <wp:extent cx="7581788" cy="1458342"/>
              <wp:effectExtent b="0" l="0" r="0" t="0"/>
              <wp:wrapNone/>
              <wp:docPr id="7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1788" cy="145834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82177" cy="553438"/>
          <wp:effectExtent b="0" l="0" r="0" t="0"/>
          <wp:docPr descr="Texto&#10;&#10;Descrição gerada automaticamente com confiança média" id="75" name="image1.png"/>
          <a:graphic>
            <a:graphicData uri="http://schemas.openxmlformats.org/drawingml/2006/picture">
              <pic:pic>
                <pic:nvPicPr>
                  <pic:cNvPr descr="Tex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24567" l="21795" r="22046" t="18604"/>
                  <a:stretch>
                    <a:fillRect/>
                  </a:stretch>
                </pic:blipFill>
                <pic:spPr>
                  <a:xfrm>
                    <a:off x="0" y="0"/>
                    <a:ext cx="2182177" cy="5534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2790441</wp:posOffset>
          </wp:positionH>
          <wp:positionV relativeFrom="paragraph">
            <wp:posOffset>132833</wp:posOffset>
          </wp:positionV>
          <wp:extent cx="991240" cy="210495"/>
          <wp:effectExtent b="0" l="0" r="0" t="0"/>
          <wp:wrapNone/>
          <wp:docPr id="7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00000a"/>
        <w:sz w:val="24"/>
        <w:szCs w:val="24"/>
        <w:lang w:val="pt-BR"/>
      </w:rPr>
    </w:rPrDefault>
    <w:pPrDefault>
      <w:pPr>
        <w:widowControl w:val="0"/>
        <w:spacing w:after="12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1"/>
      <w:spacing w:before="480" w:line="360" w:lineRule="auto"/>
      <w:ind w:firstLine="0"/>
    </w:pPr>
    <w:rPr>
      <w:b w:val="1"/>
      <w:smallCaps w:val="1"/>
      <w:color w:val="000000"/>
    </w:rPr>
  </w:style>
  <w:style w:type="paragraph" w:styleId="Heading2">
    <w:name w:val="heading 2"/>
    <w:basedOn w:val="Normal"/>
    <w:next w:val="Normal"/>
    <w:pPr>
      <w:widowControl w:val="1"/>
      <w:spacing w:after="240" w:before="480" w:line="360" w:lineRule="auto"/>
      <w:ind w:firstLine="0"/>
    </w:pPr>
    <w:rPr>
      <w:b w:val="1"/>
      <w:color w:val="000000"/>
    </w:rPr>
  </w:style>
  <w:style w:type="paragraph" w:styleId="Heading3">
    <w:name w:val="heading 3"/>
    <w:basedOn w:val="Normal"/>
    <w:next w:val="Normal"/>
    <w:pPr>
      <w:widowControl w:val="1"/>
      <w:spacing w:after="240" w:before="480" w:line="360" w:lineRule="auto"/>
      <w:ind w:left="624" w:hanging="624"/>
    </w:pPr>
    <w:rPr>
      <w:color w:val="000000"/>
    </w:rPr>
  </w:style>
  <w:style w:type="paragraph" w:styleId="Heading4">
    <w:name w:val="heading 4"/>
    <w:basedOn w:val="Normal"/>
    <w:next w:val="Normal"/>
    <w:pPr>
      <w:widowControl w:val="1"/>
      <w:spacing w:after="240" w:before="480" w:line="360" w:lineRule="auto"/>
      <w:ind w:left="851" w:hanging="851"/>
      <w:jc w:val="left"/>
    </w:pPr>
    <w:rPr>
      <w:i w:val="1"/>
      <w:color w:val="000000"/>
    </w:rPr>
  </w:style>
  <w:style w:type="paragraph" w:styleId="Heading5">
    <w:name w:val="heading 5"/>
    <w:basedOn w:val="Normal"/>
    <w:next w:val="Normal"/>
    <w:pPr>
      <w:widowControl w:val="1"/>
      <w:spacing w:before="40" w:line="360" w:lineRule="auto"/>
      <w:ind w:left="0" w:firstLine="0"/>
      <w:jc w:val="left"/>
    </w:pPr>
    <w:rPr>
      <w:i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widowControl w:val="1"/>
      <w:spacing w:after="60" w:before="240" w:line="360" w:lineRule="auto"/>
      <w:ind w:left="1152" w:hanging="1152"/>
    </w:pPr>
    <w:rPr>
      <w:i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mallCaps w:val="1"/>
      <w:sz w:val="28"/>
      <w:szCs w:val="28"/>
    </w:rPr>
  </w:style>
  <w:style w:type="paragraph" w:styleId="Normal" w:default="1">
    <w:name w:val="Normal"/>
    <w:qFormat w:val="1"/>
    <w:rsid w:val="00CA3EB6"/>
    <w:pPr>
      <w:widowControl w:val="0"/>
      <w:suppressAutoHyphens w:val="1"/>
      <w:spacing w:after="120"/>
      <w:ind w:firstLine="709"/>
      <w:jc w:val="both"/>
    </w:pPr>
    <w:rPr>
      <w:rFonts w:ascii="Times New Roman" w:eastAsia="Arial Unicode MS" w:hAnsi="Times New Roman"/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 w:val="1"/>
    <w:rsid w:val="00775CAF"/>
    <w:pPr>
      <w:keepNext w:val="1"/>
      <w:widowControl w:val="1"/>
      <w:spacing w:before="480" w:line="360" w:lineRule="auto"/>
      <w:ind w:firstLine="0"/>
      <w:outlineLvl w:val="0"/>
    </w:pPr>
    <w:rPr>
      <w:rFonts w:eastAsia="Times New Roman"/>
      <w:b w:val="1"/>
      <w:caps w:val="1"/>
      <w:color w:val="auto"/>
      <w:szCs w:val="20"/>
      <w:lang w:eastAsia="ar-SA"/>
    </w:rPr>
  </w:style>
  <w:style w:type="paragraph" w:styleId="Ttulo2">
    <w:name w:val="heading 2"/>
    <w:basedOn w:val="Normal"/>
    <w:next w:val="Normal"/>
    <w:link w:val="Ttulo2Char"/>
    <w:qFormat w:val="1"/>
    <w:rsid w:val="00704829"/>
    <w:pPr>
      <w:widowControl w:val="1"/>
      <w:spacing w:after="240" w:before="480" w:line="360" w:lineRule="auto"/>
      <w:ind w:firstLine="0"/>
      <w:outlineLvl w:val="1"/>
    </w:pPr>
    <w:rPr>
      <w:rFonts w:eastAsia="Times New Roman"/>
      <w:b w:val="1"/>
      <w:color w:val="auto"/>
      <w:szCs w:val="20"/>
      <w:lang w:eastAsia="ar-SA"/>
    </w:rPr>
  </w:style>
  <w:style w:type="paragraph" w:styleId="Ttulo3">
    <w:name w:val="heading 3"/>
    <w:basedOn w:val="Normal"/>
    <w:next w:val="Normal"/>
    <w:link w:val="Ttulo3Char"/>
    <w:qFormat w:val="1"/>
    <w:rsid w:val="009C0CF9"/>
    <w:pPr>
      <w:widowControl w:val="1"/>
      <w:numPr>
        <w:ilvl w:val="2"/>
        <w:numId w:val="1"/>
      </w:numPr>
      <w:spacing w:after="240" w:before="480" w:line="360" w:lineRule="auto"/>
      <w:ind w:left="624" w:hanging="624"/>
      <w:outlineLvl w:val="2"/>
    </w:pPr>
    <w:rPr>
      <w:rFonts w:cs="Arial" w:eastAsia="Times New Roman"/>
      <w:color w:val="auto"/>
      <w:szCs w:val="20"/>
      <w:lang w:eastAsia="ar-SA"/>
    </w:rPr>
  </w:style>
  <w:style w:type="paragraph" w:styleId="Ttulo4">
    <w:name w:val="heading 4"/>
    <w:basedOn w:val="Ttulo3"/>
    <w:next w:val="Normal"/>
    <w:link w:val="Ttulo4Char"/>
    <w:qFormat w:val="1"/>
    <w:rsid w:val="009C0CF9"/>
    <w:pPr>
      <w:numPr>
        <w:ilvl w:val="3"/>
      </w:numPr>
      <w:ind w:left="851" w:hanging="851"/>
      <w:jc w:val="left"/>
      <w:outlineLvl w:val="3"/>
    </w:pPr>
    <w:rPr>
      <w:i w:val="1"/>
    </w:rPr>
  </w:style>
  <w:style w:type="paragraph" w:styleId="Ttulo5">
    <w:name w:val="heading 5"/>
    <w:basedOn w:val="Normal"/>
    <w:next w:val="Normal"/>
    <w:link w:val="Ttulo5Char"/>
    <w:qFormat w:val="1"/>
    <w:rsid w:val="009C0CF9"/>
    <w:pPr>
      <w:widowControl w:val="1"/>
      <w:numPr>
        <w:ilvl w:val="4"/>
        <w:numId w:val="1"/>
      </w:numPr>
      <w:spacing w:before="40" w:line="360" w:lineRule="auto"/>
      <w:ind w:left="0" w:firstLine="0"/>
      <w:jc w:val="left"/>
      <w:outlineLvl w:val="4"/>
    </w:pPr>
    <w:rPr>
      <w:rFonts w:eastAsia="Times New Roman"/>
      <w:i w:val="1"/>
      <w:iCs w:val="1"/>
      <w:color w:val="auto"/>
      <w:sz w:val="22"/>
      <w:szCs w:val="22"/>
      <w:lang w:eastAsia="ar-SA" w:val="pt-PT"/>
    </w:rPr>
  </w:style>
  <w:style w:type="paragraph" w:styleId="Ttulo6">
    <w:name w:val="heading 6"/>
    <w:basedOn w:val="Normal"/>
    <w:next w:val="Normal"/>
    <w:link w:val="Ttulo6Char"/>
    <w:qFormat w:val="1"/>
    <w:rsid w:val="009C0CF9"/>
    <w:pPr>
      <w:widowControl w:val="1"/>
      <w:numPr>
        <w:ilvl w:val="5"/>
        <w:numId w:val="1"/>
      </w:numPr>
      <w:spacing w:after="60" w:before="240" w:line="360" w:lineRule="auto"/>
      <w:outlineLvl w:val="5"/>
    </w:pPr>
    <w:rPr>
      <w:rFonts w:cs="Arial" w:eastAsia="Times New Roman"/>
      <w:i w:val="1"/>
      <w:iCs w:val="1"/>
      <w:color w:val="auto"/>
      <w:sz w:val="22"/>
      <w:szCs w:val="22"/>
      <w:lang w:eastAsia="ar-SA" w:val="pt-PT"/>
    </w:rPr>
  </w:style>
  <w:style w:type="paragraph" w:styleId="Ttulo7">
    <w:name w:val="heading 7"/>
    <w:basedOn w:val="Normal"/>
    <w:next w:val="Normal"/>
    <w:link w:val="Ttulo7Char"/>
    <w:qFormat w:val="1"/>
    <w:rsid w:val="009C0CF9"/>
    <w:pPr>
      <w:widowControl w:val="1"/>
      <w:numPr>
        <w:ilvl w:val="6"/>
        <w:numId w:val="1"/>
      </w:numPr>
      <w:spacing w:after="60" w:before="240" w:line="360" w:lineRule="auto"/>
      <w:outlineLvl w:val="6"/>
    </w:pPr>
    <w:rPr>
      <w:rFonts w:cs="Arial" w:eastAsia="Times New Roman"/>
      <w:color w:val="auto"/>
      <w:szCs w:val="20"/>
      <w:lang w:eastAsia="ar-SA" w:val="pt-PT"/>
    </w:rPr>
  </w:style>
  <w:style w:type="paragraph" w:styleId="Ttulo8">
    <w:name w:val="heading 8"/>
    <w:basedOn w:val="Normal"/>
    <w:next w:val="Normal"/>
    <w:link w:val="Ttulo8Char"/>
    <w:qFormat w:val="1"/>
    <w:rsid w:val="009C0CF9"/>
    <w:pPr>
      <w:widowControl w:val="1"/>
      <w:numPr>
        <w:ilvl w:val="7"/>
        <w:numId w:val="1"/>
      </w:numPr>
      <w:spacing w:after="60" w:before="240" w:line="360" w:lineRule="auto"/>
      <w:outlineLvl w:val="7"/>
    </w:pPr>
    <w:rPr>
      <w:rFonts w:cs="Arial" w:eastAsia="Times New Roman"/>
      <w:i w:val="1"/>
      <w:iCs w:val="1"/>
      <w:color w:val="auto"/>
      <w:szCs w:val="20"/>
      <w:lang w:eastAsia="ar-SA" w:val="pt-PT"/>
    </w:rPr>
  </w:style>
  <w:style w:type="paragraph" w:styleId="Ttulo9">
    <w:name w:val="heading 9"/>
    <w:basedOn w:val="Normal"/>
    <w:next w:val="Normal"/>
    <w:link w:val="Ttulo9Char"/>
    <w:qFormat w:val="1"/>
    <w:rsid w:val="009C0CF9"/>
    <w:pPr>
      <w:widowControl w:val="1"/>
      <w:numPr>
        <w:ilvl w:val="8"/>
        <w:numId w:val="1"/>
      </w:numPr>
      <w:spacing w:after="60" w:before="240" w:line="360" w:lineRule="auto"/>
      <w:outlineLvl w:val="8"/>
    </w:pPr>
    <w:rPr>
      <w:rFonts w:cs="Arial" w:eastAsia="Times New Roman"/>
      <w:i w:val="1"/>
      <w:iCs w:val="1"/>
      <w:color w:val="auto"/>
      <w:sz w:val="18"/>
      <w:szCs w:val="18"/>
      <w:lang w:eastAsia="ar-SA" w:val="pt-PT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extodebaloChar" w:customStyle="1">
    <w:name w:val="Texto de balão Char"/>
    <w:qFormat w:val="1"/>
    <w:rPr>
      <w:rFonts w:ascii="Tahoma" w:cs="Tahoma" w:hAnsi="Tahoma"/>
      <w:sz w:val="16"/>
      <w:szCs w:val="16"/>
    </w:rPr>
  </w:style>
  <w:style w:type="character" w:styleId="CorpodetextoChar" w:customStyle="1">
    <w:name w:val="Corpo de texto Char"/>
    <w:qFormat w:val="1"/>
    <w:rPr>
      <w:rFonts w:ascii="Arial" w:cs="Times New Roman" w:eastAsia="Arial Unicode MS" w:hAnsi="Arial"/>
      <w:sz w:val="24"/>
      <w:szCs w:val="24"/>
      <w:lang w:eastAsia="pt-BR"/>
    </w:rPr>
  </w:style>
  <w:style w:type="character" w:styleId="TtuloChar" w:customStyle="1">
    <w:name w:val="Título Char"/>
    <w:qFormat w:val="1"/>
    <w:rPr>
      <w:rFonts w:ascii="Arial" w:cs="Times New Roman" w:eastAsia="Times New Roman" w:hAnsi="Arial"/>
      <w:b w:val="1"/>
      <w:bCs w:val="1"/>
      <w:caps w:val="1"/>
      <w:sz w:val="28"/>
      <w:szCs w:val="32"/>
      <w:lang w:eastAsia="pt-BR"/>
    </w:rPr>
  </w:style>
  <w:style w:type="character" w:styleId="InternetLink" w:customStyle="1">
    <w:name w:val="Internet Link"/>
    <w:qFormat w:val="1"/>
    <w:rPr>
      <w:color w:val="0000ff"/>
      <w:u w:val="single"/>
    </w:rPr>
  </w:style>
  <w:style w:type="character" w:styleId="CabealhoChar" w:customStyle="1">
    <w:name w:val="Cabeçalho Char"/>
    <w:uiPriority w:val="99"/>
    <w:qFormat w:val="1"/>
    <w:rPr>
      <w:rFonts w:ascii="Arial" w:cs="Times New Roman" w:eastAsia="Arial Unicode MS" w:hAnsi="Arial"/>
      <w:sz w:val="24"/>
      <w:szCs w:val="24"/>
      <w:lang w:eastAsia="pt-BR"/>
    </w:rPr>
  </w:style>
  <w:style w:type="character" w:styleId="RodapChar" w:customStyle="1">
    <w:name w:val="Rodapé Char"/>
    <w:uiPriority w:val="99"/>
    <w:qFormat w:val="1"/>
    <w:rPr>
      <w:rFonts w:ascii="Arial" w:cs="Times New Roman" w:eastAsia="Arial Unicode MS" w:hAnsi="Arial"/>
      <w:sz w:val="24"/>
      <w:szCs w:val="24"/>
      <w:lang w:eastAsia="pt-BR"/>
    </w:rPr>
  </w:style>
  <w:style w:type="character" w:styleId="Forte">
    <w:name w:val="Strong"/>
    <w:uiPriority w:val="22"/>
    <w:qFormat w:val="1"/>
    <w:rPr>
      <w:b w:val="1"/>
      <w:bCs w:val="1"/>
    </w:rPr>
  </w:style>
  <w:style w:type="character" w:styleId="TextodenotadefimChar" w:customStyle="1">
    <w:name w:val="Texto de nota de fim Char"/>
    <w:qFormat w:val="1"/>
    <w:rPr>
      <w:rFonts w:ascii="Arial" w:eastAsia="Arial Unicode MS" w:hAnsi="Arial"/>
    </w:rPr>
  </w:style>
  <w:style w:type="character" w:styleId="ncoradanotadefim" w:customStyle="1">
    <w:name w:val="Âncora da nota de fim"/>
    <w:rPr>
      <w:vertAlign w:val="superscript"/>
    </w:rPr>
  </w:style>
  <w:style w:type="character" w:styleId="EndnoteCharacters" w:customStyle="1">
    <w:name w:val="Endnote Characters"/>
    <w:qFormat w:val="1"/>
  </w:style>
  <w:style w:type="character" w:styleId="TextodenotaderodapChar" w:customStyle="1">
    <w:name w:val="Texto de nota de rodapé Char"/>
    <w:qFormat w:val="1"/>
    <w:rPr>
      <w:rFonts w:ascii="Arial" w:eastAsia="Arial Unicode MS" w:hAnsi="Arial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qFormat w:val="1"/>
  </w:style>
  <w:style w:type="character" w:styleId="FootnoteAnchor" w:customStyle="1">
    <w:name w:val="Footnote Anchor"/>
    <w:qFormat w:val="1"/>
    <w:rPr>
      <w:vertAlign w:val="superscript"/>
    </w:rPr>
  </w:style>
  <w:style w:type="character" w:styleId="EndnoteAnchor" w:customStyle="1">
    <w:name w:val="Endnote Anchor"/>
    <w:qFormat w:val="1"/>
    <w:rPr>
      <w:vertAlign w:val="superscript"/>
    </w:rPr>
  </w:style>
  <w:style w:type="character" w:styleId="LinkdaInternet" w:customStyle="1">
    <w:name w:val="Link da Internet"/>
    <w:rPr>
      <w:color w:val="000080"/>
      <w:u w:val="single"/>
    </w:rPr>
  </w:style>
  <w:style w:type="character" w:styleId="Caracteresdenotaderodap" w:customStyle="1">
    <w:name w:val="Caracteres de nota de rodapé"/>
    <w:qFormat w:val="1"/>
  </w:style>
  <w:style w:type="character" w:styleId="Caracteresdenotadefim" w:customStyle="1">
    <w:name w:val="Caracteres de nota de fim"/>
    <w:qFormat w:val="1"/>
  </w:style>
  <w:style w:type="character" w:styleId="Smbolosdenumerao" w:customStyle="1">
    <w:name w:val="Símbolos de numeração"/>
    <w:qFormat w:val="1"/>
  </w:style>
  <w:style w:type="character" w:styleId="ListLabel1" w:customStyle="1">
    <w:name w:val="ListLabel 1"/>
    <w:qFormat w:val="1"/>
    <w:rPr>
      <w:rFonts w:ascii="Times New Roman" w:hAnsi="Times New Roman"/>
      <w:sz w:val="20"/>
      <w:szCs w:val="20"/>
    </w:rPr>
  </w:style>
  <w:style w:type="character" w:styleId="ListLabel2" w:customStyle="1">
    <w:name w:val="ListLabel 2"/>
    <w:qFormat w:val="1"/>
    <w:rPr>
      <w:rFonts w:ascii="Times New Roman" w:hAnsi="Times New Roman"/>
      <w:sz w:val="20"/>
      <w:szCs w:val="20"/>
    </w:rPr>
  </w:style>
  <w:style w:type="paragraph" w:styleId="Ttulo">
    <w:name w:val="Title"/>
    <w:basedOn w:val="Normal"/>
    <w:next w:val="Corpodetexto"/>
    <w:uiPriority w:val="10"/>
    <w:qFormat w:val="1"/>
    <w:pPr>
      <w:spacing w:after="60" w:before="240"/>
      <w:jc w:val="center"/>
      <w:outlineLvl w:val="0"/>
    </w:pPr>
    <w:rPr>
      <w:rFonts w:eastAsia="Times New Roman"/>
      <w:b w:val="1"/>
      <w:bCs w:val="1"/>
      <w:caps w:val="1"/>
      <w:sz w:val="28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 w:val="1"/>
    <w:pPr>
      <w:suppressLineNumbers w:val="1"/>
      <w:spacing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Textodebalo">
    <w:name w:val="Balloon Text"/>
    <w:basedOn w:val="Normal"/>
    <w:qFormat w:val="1"/>
    <w:pPr>
      <w:widowControl w:val="1"/>
      <w:suppressAutoHyphens w:val="0"/>
      <w:ind w:firstLine="0"/>
      <w:jc w:val="left"/>
    </w:pPr>
    <w:rPr>
      <w:rFonts w:ascii="Tahoma" w:eastAsia="Calibri" w:hAnsi="Tahoma"/>
      <w:sz w:val="16"/>
      <w:szCs w:val="16"/>
    </w:rPr>
  </w:style>
  <w:style w:type="paragraph" w:styleId="Ttulodaseoprimria" w:customStyle="1">
    <w:name w:val="Título da seção primária"/>
    <w:basedOn w:val="Normal"/>
    <w:link w:val="TtulodaseoprimriaChar"/>
    <w:qFormat w:val="1"/>
    <w:pPr>
      <w:ind w:firstLine="0"/>
    </w:pPr>
    <w:rPr>
      <w:b w:val="1"/>
      <w:sz w:val="26"/>
    </w:rPr>
  </w:style>
  <w:style w:type="paragraph" w:styleId="Referncias" w:customStyle="1">
    <w:name w:val="Referências"/>
    <w:basedOn w:val="Normal"/>
    <w:qFormat w:val="1"/>
    <w:pPr>
      <w:spacing w:before="120"/>
      <w:ind w:firstLine="0"/>
      <w:jc w:val="left"/>
    </w:pPr>
    <w:rPr>
      <w:rFonts w:cs="Arial"/>
    </w:rPr>
  </w:style>
  <w:style w:type="paragraph" w:styleId="Leyendadefiguraotabla" w:customStyle="1">
    <w:name w:val="Leyenda de figura o tabla"/>
    <w:basedOn w:val="Normal"/>
    <w:qFormat w:val="1"/>
    <w:pPr>
      <w:widowControl w:val="1"/>
      <w:spacing w:after="360" w:before="120"/>
      <w:jc w:val="center"/>
    </w:pPr>
    <w:rPr>
      <w:rFonts w:eastAsia="Times New Roman"/>
      <w:i w:val="1"/>
      <w:sz w:val="18"/>
      <w:lang w:eastAsia="en-US" w:val="en-US"/>
    </w:rPr>
  </w:style>
  <w:style w:type="paragraph" w:styleId="Tabla-Texto" w:customStyle="1">
    <w:name w:val="Tabla-Texto"/>
    <w:basedOn w:val="Normal"/>
    <w:qFormat w:val="1"/>
    <w:pPr>
      <w:widowControl w:val="1"/>
      <w:spacing w:after="20" w:before="20"/>
    </w:pPr>
    <w:rPr>
      <w:rFonts w:eastAsia="Times New Roman"/>
      <w:sz w:val="18"/>
      <w:lang w:eastAsia="en-US" w:val="en-US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 w:val="1"/>
    <w:rPr>
      <w:sz w:val="20"/>
      <w:szCs w:val="20"/>
    </w:rPr>
  </w:style>
  <w:style w:type="paragraph" w:styleId="Textodenotaderodap">
    <w:name w:val="footnote text"/>
    <w:basedOn w:val="Normal"/>
    <w:qFormat w:val="1"/>
    <w:pPr>
      <w:ind w:firstLine="0"/>
      <w:jc w:val="left"/>
    </w:pPr>
    <w:rPr>
      <w:sz w:val="20"/>
    </w:rPr>
  </w:style>
  <w:style w:type="paragraph" w:styleId="FrameContents" w:customStyle="1">
    <w:name w:val="Frame Contents"/>
    <w:basedOn w:val="Normal"/>
    <w:qFormat w:val="1"/>
  </w:style>
  <w:style w:type="paragraph" w:styleId="Linhahorizontal" w:customStyle="1">
    <w:name w:val="Linha horizontal"/>
    <w:basedOn w:val="Normal"/>
    <w:qFormat w:val="1"/>
    <w:pPr>
      <w:suppressLineNumbers w:val="1"/>
      <w:pBdr>
        <w:bottom w:color="808080" w:space="0" w:sz="2" w:val="double"/>
      </w:pBdr>
      <w:spacing w:after="283"/>
      <w:jc w:val="left"/>
    </w:pPr>
    <w:rPr>
      <w:sz w:val="12"/>
      <w:szCs w:val="12"/>
    </w:rPr>
  </w:style>
  <w:style w:type="paragraph" w:styleId="Contedodatabela" w:customStyle="1">
    <w:name w:val="Conteúdo da tabela"/>
    <w:basedOn w:val="Normal"/>
    <w:qFormat w:val="1"/>
    <w:pPr>
      <w:suppressLineNumbers w:val="1"/>
    </w:pPr>
  </w:style>
  <w:style w:type="paragraph" w:styleId="EndnoteSymbol" w:customStyle="1">
    <w:name w:val="Endnote Symbol"/>
    <w:basedOn w:val="Normal"/>
    <w:qFormat w:val="1"/>
    <w:pPr>
      <w:suppressLineNumbers w:val="1"/>
      <w:ind w:left="339" w:hanging="339"/>
      <w:jc w:val="left"/>
    </w:pPr>
    <w:rPr>
      <w:sz w:val="20"/>
      <w:szCs w:val="20"/>
    </w:rPr>
  </w:style>
  <w:style w:type="paragraph" w:styleId="Ttulodetabela" w:customStyle="1">
    <w:name w:val="Título de tabela"/>
    <w:basedOn w:val="Contedodatabela"/>
    <w:qFormat w:val="1"/>
  </w:style>
  <w:style w:type="paragraph" w:styleId="Resumosepalavras-chaves" w:customStyle="1">
    <w:name w:val="Resumos e palavras-chaves"/>
    <w:basedOn w:val="Normal"/>
    <w:link w:val="Resumosepalavras-chavesChar"/>
    <w:qFormat w:val="1"/>
    <w:rsid w:val="0073502A"/>
    <w:pPr>
      <w:spacing w:after="240" w:before="240"/>
      <w:ind w:firstLine="0"/>
    </w:pPr>
    <w:rPr>
      <w:sz w:val="22"/>
    </w:rPr>
  </w:style>
  <w:style w:type="character" w:styleId="Ttulo1Char" w:customStyle="1">
    <w:name w:val="Título 1 Char"/>
    <w:basedOn w:val="Fontepargpadro"/>
    <w:link w:val="Ttulo1"/>
    <w:rsid w:val="00775CAF"/>
    <w:rPr>
      <w:rFonts w:ascii="Times New Roman" w:eastAsia="Times New Roman" w:hAnsi="Times New Roman"/>
      <w:b w:val="1"/>
      <w:caps w:val="1"/>
      <w:sz w:val="24"/>
      <w:lang w:eastAsia="ar-SA"/>
    </w:rPr>
  </w:style>
  <w:style w:type="character" w:styleId="Ttulo2Char" w:customStyle="1">
    <w:name w:val="Título 2 Char"/>
    <w:basedOn w:val="Fontepargpadro"/>
    <w:link w:val="Ttulo2"/>
    <w:rsid w:val="00704829"/>
    <w:rPr>
      <w:rFonts w:ascii="Times New Roman" w:eastAsia="Times New Roman" w:hAnsi="Times New Roman"/>
      <w:b w:val="1"/>
      <w:sz w:val="24"/>
      <w:lang w:eastAsia="ar-SA"/>
    </w:rPr>
  </w:style>
  <w:style w:type="character" w:styleId="Ttulo3Char" w:customStyle="1">
    <w:name w:val="Título 3 Char"/>
    <w:basedOn w:val="Fontepargpadro"/>
    <w:link w:val="Ttulo3"/>
    <w:rsid w:val="009C0CF9"/>
    <w:rPr>
      <w:rFonts w:ascii="Times New Roman" w:cs="Arial" w:eastAsia="Times New Roman" w:hAnsi="Times New Roman"/>
      <w:sz w:val="24"/>
      <w:lang w:eastAsia="ar-SA"/>
    </w:rPr>
  </w:style>
  <w:style w:type="character" w:styleId="Ttulo4Char" w:customStyle="1">
    <w:name w:val="Título 4 Char"/>
    <w:basedOn w:val="Fontepargpadro"/>
    <w:link w:val="Ttulo4"/>
    <w:rsid w:val="009C0CF9"/>
    <w:rPr>
      <w:rFonts w:ascii="Times New Roman" w:cs="Arial" w:eastAsia="Times New Roman" w:hAnsi="Times New Roman"/>
      <w:i w:val="1"/>
      <w:sz w:val="24"/>
      <w:lang w:eastAsia="ar-SA"/>
    </w:rPr>
  </w:style>
  <w:style w:type="character" w:styleId="Ttulo5Char" w:customStyle="1">
    <w:name w:val="Título 5 Char"/>
    <w:basedOn w:val="Fontepargpadro"/>
    <w:link w:val="Ttulo5"/>
    <w:rsid w:val="009C0CF9"/>
    <w:rPr>
      <w:rFonts w:ascii="Times New Roman" w:eastAsia="Times New Roman" w:hAnsi="Times New Roman"/>
      <w:i w:val="1"/>
      <w:iCs w:val="1"/>
      <w:sz w:val="22"/>
      <w:szCs w:val="22"/>
      <w:lang w:eastAsia="ar-SA" w:val="pt-PT"/>
    </w:rPr>
  </w:style>
  <w:style w:type="character" w:styleId="Ttulo6Char" w:customStyle="1">
    <w:name w:val="Título 6 Char"/>
    <w:basedOn w:val="Fontepargpadro"/>
    <w:link w:val="Ttulo6"/>
    <w:rsid w:val="009C0CF9"/>
    <w:rPr>
      <w:rFonts w:ascii="Arial" w:cs="Arial" w:eastAsia="Times New Roman" w:hAnsi="Arial"/>
      <w:i w:val="1"/>
      <w:iCs w:val="1"/>
      <w:sz w:val="22"/>
      <w:szCs w:val="22"/>
      <w:lang w:eastAsia="ar-SA" w:val="pt-PT"/>
    </w:rPr>
  </w:style>
  <w:style w:type="character" w:styleId="Ttulo7Char" w:customStyle="1">
    <w:name w:val="Título 7 Char"/>
    <w:basedOn w:val="Fontepargpadro"/>
    <w:link w:val="Ttulo7"/>
    <w:rsid w:val="009C0CF9"/>
    <w:rPr>
      <w:rFonts w:ascii="Arial" w:cs="Arial" w:eastAsia="Times New Roman" w:hAnsi="Arial"/>
      <w:sz w:val="24"/>
      <w:lang w:eastAsia="ar-SA" w:val="pt-PT"/>
    </w:rPr>
  </w:style>
  <w:style w:type="character" w:styleId="Ttulo8Char" w:customStyle="1">
    <w:name w:val="Título 8 Char"/>
    <w:basedOn w:val="Fontepargpadro"/>
    <w:link w:val="Ttulo8"/>
    <w:rsid w:val="009C0CF9"/>
    <w:rPr>
      <w:rFonts w:ascii="Arial" w:cs="Arial" w:eastAsia="Times New Roman" w:hAnsi="Arial"/>
      <w:i w:val="1"/>
      <w:iCs w:val="1"/>
      <w:sz w:val="24"/>
      <w:lang w:eastAsia="ar-SA" w:val="pt-PT"/>
    </w:rPr>
  </w:style>
  <w:style w:type="character" w:styleId="Ttulo9Char" w:customStyle="1">
    <w:name w:val="Título 9 Char"/>
    <w:basedOn w:val="Fontepargpadro"/>
    <w:link w:val="Ttulo9"/>
    <w:rsid w:val="009C0CF9"/>
    <w:rPr>
      <w:rFonts w:ascii="Arial" w:cs="Arial" w:eastAsia="Times New Roman" w:hAnsi="Arial"/>
      <w:i w:val="1"/>
      <w:iCs w:val="1"/>
      <w:sz w:val="18"/>
      <w:szCs w:val="18"/>
      <w:lang w:eastAsia="ar-SA" w:val="pt-PT"/>
    </w:rPr>
  </w:style>
  <w:style w:type="paragraph" w:styleId="Referncia" w:customStyle="1">
    <w:name w:val="Referência"/>
    <w:basedOn w:val="Normal"/>
    <w:link w:val="RefernciaChar"/>
    <w:qFormat w:val="1"/>
    <w:rsid w:val="009C0CF9"/>
    <w:pPr>
      <w:widowControl w:val="1"/>
      <w:spacing w:after="240" w:line="360" w:lineRule="auto"/>
      <w:ind w:firstLine="0"/>
      <w:jc w:val="left"/>
    </w:pPr>
    <w:rPr>
      <w:rFonts w:eastAsia="Times New Roman"/>
      <w:color w:val="000000"/>
      <w:lang w:eastAsia="ar-SA" w:val="pt-PT"/>
    </w:rPr>
  </w:style>
  <w:style w:type="character" w:styleId="RefernciaChar" w:customStyle="1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eastAsia="ar-SA" w:val="pt-PT"/>
    </w:rPr>
  </w:style>
  <w:style w:type="character" w:styleId="Hyperlink">
    <w:name w:val="Hyperlink"/>
    <w:basedOn w:val="Fontepargpadro"/>
    <w:uiPriority w:val="99"/>
    <w:unhideWhenUsed w:val="1"/>
    <w:rsid w:val="009C0CF9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EC10C1"/>
    <w:rPr>
      <w:color w:val="954f72" w:themeColor="followedHyperlink"/>
      <w:u w:val="single"/>
    </w:rPr>
  </w:style>
  <w:style w:type="character" w:styleId="Resumosepalavras-chavesChar" w:customStyle="1">
    <w:name w:val="Resumos e palavras-chaves Char"/>
    <w:basedOn w:val="Fontepargpadr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EC10C1"/>
    <w:rPr>
      <w:color w:val="605e5c"/>
      <w:shd w:color="auto" w:fill="e1dfdd" w:val="clear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B2226D"/>
    <w:rPr>
      <w:vertAlign w:val="superscript"/>
    </w:rPr>
  </w:style>
  <w:style w:type="paragraph" w:styleId="SeoTerciria" w:customStyle="1">
    <w:name w:val="Seção Terciária"/>
    <w:basedOn w:val="Ttulo3"/>
    <w:link w:val="SeoTerciriaChar"/>
    <w:qFormat w:val="1"/>
    <w:rsid w:val="00704829"/>
    <w:pPr>
      <w:numPr>
        <w:ilvl w:val="0"/>
        <w:numId w:val="0"/>
      </w:numPr>
    </w:pPr>
    <w:rPr>
      <w:b w:val="1"/>
      <w:i w:val="1"/>
    </w:rPr>
  </w:style>
  <w:style w:type="paragraph" w:styleId="PargrafodaLista">
    <w:name w:val="List Paragraph"/>
    <w:basedOn w:val="Normal"/>
    <w:uiPriority w:val="34"/>
    <w:qFormat w:val="1"/>
    <w:rsid w:val="006166F9"/>
    <w:pPr>
      <w:ind w:left="720"/>
      <w:contextualSpacing w:val="1"/>
    </w:pPr>
  </w:style>
  <w:style w:type="character" w:styleId="SeoTerciriaChar" w:customStyle="1">
    <w:name w:val="Seção Terciária Char"/>
    <w:basedOn w:val="Ttulo3Char"/>
    <w:link w:val="SeoTerciria"/>
    <w:rsid w:val="00704829"/>
    <w:rPr>
      <w:rFonts w:ascii="Times New Roman" w:cs="Arial" w:eastAsia="Times New Roman" w:hAnsi="Times New Roman"/>
      <w:b w:val="1"/>
      <w:i w:val="1"/>
      <w:sz w:val="24"/>
      <w:lang w:eastAsia="ar-SA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02130F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02130F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02130F"/>
    <w:rPr>
      <w:rFonts w:ascii="Arial" w:eastAsia="Arial Unicode MS" w:hAnsi="Arial"/>
      <w:b w:val="1"/>
      <w:bCs w:val="1"/>
      <w:color w:val="00000a"/>
    </w:rPr>
  </w:style>
  <w:style w:type="table" w:styleId="Tabelacomgrade">
    <w:name w:val="Table Grid"/>
    <w:basedOn w:val="Tabelanormal"/>
    <w:uiPriority w:val="39"/>
    <w:rsid w:val="00E359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Recuodecorpodetexto">
    <w:name w:val="Body Text Indent"/>
    <w:basedOn w:val="Normal"/>
    <w:link w:val="RecuodecorpodetextoChar"/>
    <w:uiPriority w:val="99"/>
    <w:semiHidden w:val="1"/>
    <w:unhideWhenUsed w:val="1"/>
    <w:rsid w:val="00E11178"/>
    <w:pPr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 w:val="1"/>
    <w:rsid w:val="00E11178"/>
    <w:rPr>
      <w:rFonts w:ascii="Arial" w:eastAsia="Arial Unicode MS" w:hAnsi="Arial"/>
      <w:color w:val="00000a"/>
      <w:sz w:val="24"/>
      <w:szCs w:val="24"/>
    </w:rPr>
  </w:style>
  <w:style w:type="paragraph" w:styleId="SeoPrimria" w:customStyle="1">
    <w:name w:val="Seção Primária"/>
    <w:basedOn w:val="Ttulodaseoprimria"/>
    <w:link w:val="SeoPrimriaChar"/>
    <w:qFormat w:val="1"/>
    <w:rsid w:val="00A27804"/>
    <w:pPr>
      <w:spacing w:after="280" w:before="480" w:line="360" w:lineRule="auto"/>
    </w:pPr>
    <w:rPr>
      <w:caps w:val="1"/>
      <w:sz w:val="24"/>
    </w:rPr>
  </w:style>
  <w:style w:type="character" w:styleId="TtulodaseoprimriaChar" w:customStyle="1">
    <w:name w:val="Título da seção primária Char"/>
    <w:basedOn w:val="Fontepargpadro"/>
    <w:link w:val="Ttulodaseoprimria"/>
    <w:rsid w:val="00F109AC"/>
    <w:rPr>
      <w:rFonts w:ascii="Arial" w:eastAsia="Arial Unicode MS" w:hAnsi="Arial"/>
      <w:b w:val="1"/>
      <w:color w:val="00000a"/>
      <w:sz w:val="26"/>
      <w:szCs w:val="24"/>
    </w:rPr>
  </w:style>
  <w:style w:type="character" w:styleId="SeoPrimriaChar" w:customStyle="1">
    <w:name w:val="Seção Primária Char"/>
    <w:basedOn w:val="TtulodaseoprimriaChar"/>
    <w:link w:val="SeoPrimria"/>
    <w:rsid w:val="00A27804"/>
    <w:rPr>
      <w:rFonts w:ascii="Times New Roman" w:eastAsia="Arial Unicode MS" w:hAnsi="Times New Roman"/>
      <w:b w:val="1"/>
      <w:caps w:val="1"/>
      <w:color w:val="00000a"/>
      <w:sz w:val="24"/>
      <w:szCs w:val="24"/>
    </w:rPr>
  </w:style>
  <w:style w:type="paragraph" w:styleId="Subseo2XVIIIENANCIB" w:customStyle="1">
    <w:name w:val="Subseção2_XVIII_ENANCIB"/>
    <w:basedOn w:val="Ttulo3"/>
    <w:qFormat w:val="1"/>
    <w:rsid w:val="001A07DF"/>
    <w:pPr>
      <w:keepNext w:val="1"/>
      <w:numPr>
        <w:ilvl w:val="0"/>
        <w:numId w:val="0"/>
      </w:numPr>
      <w:suppressAutoHyphens w:val="0"/>
      <w:spacing w:after="120" w:before="120" w:line="240" w:lineRule="auto"/>
      <w:jc w:val="left"/>
    </w:pPr>
    <w:rPr>
      <w:rFonts w:ascii="Calibri" w:cs="Calibri" w:hAnsi="Calibri"/>
      <w:bCs w:val="1"/>
      <w:i w:val="1"/>
      <w:szCs w:val="26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JzlZ5gZXtmp/rhJCmqK0pI0fcw==">CgMxLjAyCGguZ2pkZ3hzMg5oLnBqZDJmNDN3ZDhndTIOaC44NjJ6ZXFvbGZmeXUyDmgudnR5eDI2OWpldmxhMg5oLm16cTk0end2NGVpazIOaC5sMDhlcHAyOGluM3gyDmguZHBubXdhM2FxOGhoMg5oLnU0anFrY2Qzejg0bTIOaC5oN2dtMWs5NG16Yms4AHIhMVN3T0JBZHNrajc2NU43SVpCb01WM05ZMVYtRVNLUmdo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2022-07-19T13:04:00Z</dcterms:created>
  <dc:creator>DGI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