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color w:val="1E3A8A"/>
          <w:sz w:val="44"/>
        </w:rPr>
        <w:t>DOCUMENTACIÓN TÉCNICA, ARQUITECTURA Y GUÍA DE CÓDIGO</w:t>
      </w:r>
    </w:p>
    <w:p>
      <w:pPr>
        <w:spacing w:before="0" w:after="360"/>
        <w:jc w:val="center"/>
      </w:pPr>
      <w:r>
        <w:rPr>
          <w:i/>
          <w:color w:val="2563EB"/>
          <w:sz w:val="26"/>
        </w:rPr>
        <w:t>Portal de Helpdesk y Gestión de Incidencias - Grupo Huerta</w:t>
      </w:r>
    </w:p>
    <w:p>
      <w:pPr>
        <w:spacing w:after="320"/>
        <w:pBdr>
          <w:bottom w:val="single" w:sz="12" w:space="1" w:color="2563E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b/>
                <w:color w:val="2563EB"/>
                <w:sz w:val="21"/>
              </w:rPr>
              <w:t>📌 PRESENTACIÓN PARA EQUIPOS DE DESARROLLO E INGENIERÍA DE SOFTWARE</w:t>
              <w:br/>
            </w:r>
            <w:r>
              <w:rPr>
                <w:color w:val="1F2937"/>
                <w:sz w:val="20"/>
              </w:rPr>
              <w:t>Documento de especificación técnica de nivel de ingeniería. Detalla la arquitectura de código, lenguajes de programación, patrones de diseño (Backend y Frontend), servicios de correo transaccional, flujo de notificaciones SSE y la infraestructura de red con el Firewall Fortinet.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6" w:space="1" w:color="1E3A8A"/>
        </w:pBdr>
      </w:pPr>
      <w:r>
        <w:rPr>
          <w:b/>
          <w:color w:val="1E3A8A"/>
          <w:sz w:val="30"/>
        </w:rPr>
        <w:t>1. RESUMEN GENERAL DEL SISTEMA</w:t>
      </w:r>
    </w:p>
    <w:p>
      <w:pPr>
        <w:spacing w:after="120"/>
      </w:pPr>
      <w:r>
        <w:t>El Portal de Helpdesk de Grupo Huerta es una solución integral y centralizada para la recepción, seguimiento y resolución de tickets de soporte técnico e incidencias operativas. El sistema fue construido bajo un modelo de arquitectura Multi-Tenancy (Multi-Agencia), permitiendo administrar múltiples sucursales y marcas (ej. Suzuki, Volkswagen, etc.) dentro de una misma infraestructura tecnológica, garantizando el aislamiento estricto de datos, personalización visual independiente, control de licencias, servicios de correo automatizados y notificaciones en tiempo real.</w:t>
      </w:r>
    </w:p>
    <w:p>
      <w:pPr>
        <w:keepNext/>
        <w:spacing w:before="360" w:after="120"/>
        <w:pBdr>
          <w:bottom w:val="single" w:sz="6" w:space="1" w:color="1E3A8A"/>
        </w:pBdr>
      </w:pPr>
      <w:r>
        <w:rPr>
          <w:b/>
          <w:color w:val="1E3A8A"/>
          <w:sz w:val="30"/>
        </w:rPr>
        <w:t>2. GUÍA TÉCNICA DE DESARROLLO: LENGUAJES, ARQUITECTURA Y PATRONES DE CÓDIGO</w:t>
      </w:r>
    </w:p>
    <w:p>
      <w:pPr>
        <w:spacing w:after="120"/>
      </w:pPr>
      <w:r>
        <w:t>Esta sección describe minuciosamente cómo se estructuró y programó la aplicación, los patrones de diseño de software aplicados y los estándares de ingeniería implementados tanto en el Servidor (Backend) como en el Cliente (Frontend).</w:t>
      </w:r>
    </w:p>
    <w:p>
      <w:pPr>
        <w:keepNext/>
        <w:spacing w:before="280" w:after="80"/>
      </w:pPr>
      <w:r>
        <w:rPr>
          <w:b/>
          <w:color w:val="2563EB"/>
          <w:sz w:val="25"/>
        </w:rPr>
        <w:t>2.1. Lenguajes de Programación y Tecnologías de Compilación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TypeScript (Estricto): </w:t>
      </w:r>
      <w:r>
        <w:rPr>
          <w:color w:val="1F2937"/>
        </w:rPr>
        <w:t>Lenguaje principal utilizado tanto en el Backend (Node.js) como en el Frontend (React 18). Se habilitó el modo de verificación de tipos estricto (`strict: true` en `tsconfig.json`) para prevenir errores de puntero nulo (`NullPointerException`), variables indefinidas e inconsistencias de tipos durante la compilación.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Transact-SQL (T-SQL): </w:t>
      </w:r>
      <w:r>
        <w:rPr>
          <w:color w:val="1F2937"/>
        </w:rPr>
        <w:t>Lenguaje de base de datos para Microsoft SQL Server. Utilizado para consultas parametrizadas complejas, funciones de ventana (`ROW_NUMBER() OVER (PARTITION BY ...)`), CTEs y transacciones atómicas.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HTML5 / CSS3 / Modern JavaScript (ESNext): </w:t>
      </w:r>
      <w:r>
        <w:rPr>
          <w:color w:val="1F2937"/>
        </w:rPr>
        <w:t>Construcción de componentes semánticos, manipulación de DOM virtual mediante React, variables CSS dinámicas y sintaxis moderna (Async/Await, Destructuring, Optional Chaining).</w:t>
      </w:r>
    </w:p>
    <w:p>
      <w:pPr>
        <w:keepNext/>
        <w:spacing w:before="280" w:after="80"/>
      </w:pPr>
      <w:r>
        <w:rPr>
          <w:b/>
          <w:color w:val="2563EB"/>
          <w:sz w:val="25"/>
        </w:rPr>
        <w:t>2.2. Patrones de Diseño Implementados en el Backend (Node.js / Express)</w:t>
      </w:r>
    </w:p>
    <w:p>
      <w:pPr>
        <w:keepNext/>
        <w:spacing w:before="200" w:after="60"/>
      </w:pPr>
      <w:r>
        <w:rPr>
          <w:b/>
          <w:color w:val="1F2937"/>
          <w:sz w:val="22"/>
        </w:rPr>
        <w:t>A) Arquitectura Modular orientada a Dominios (Feature-Driven Modules)</w:t>
      </w:r>
    </w:p>
    <w:p>
      <w:pPr>
        <w:spacing w:after="80"/>
      </w:pPr>
      <w:r>
        <w:t>En lugar de la estructura monocapa tradicional, el backend se organizó en módulos de dominio independientes dentro de `/src/modules/` (ej. `agencias`, `auth`, `tickets`, `notificaciones`, `manuales`, `areas`, `upload`). Cada módulo encapsula sus propias rutas (`.routes.ts`), controladores (`.controller.ts`) y servicios de lógica de negocio (`.service.ts`).</w:t>
      </w:r>
    </w:p>
    <w:p>
      <w:pPr>
        <w:keepNext/>
        <w:spacing w:before="200" w:after="60"/>
      </w:pPr>
      <w:r>
        <w:rPr>
          <w:b/>
          <w:color w:val="1F2937"/>
          <w:sz w:val="22"/>
        </w:rPr>
        <w:t>B) Patrón Layered Architecture (Ruta ➔ Controlador ➔ Servicio ➔ Modelo)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Capa de Rutas (`*.routes.ts`): </w:t>
      </w:r>
      <w:r>
        <w:rPr>
          <w:color w:val="1F2937"/>
        </w:rPr>
        <w:t>Define los endpoints HTTP, aplica middlewares de autenticación JWT y validadores de entrada (`express-validator`).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Capa de Controlador (`*.controller.ts`): </w:t>
      </w:r>
      <w:r>
        <w:rPr>
          <w:color w:val="1F2937"/>
        </w:rPr>
        <w:t>Recibe el `req` y `res`, extrae parámetros y delega la ejecución a la capa de servicio, gestionando respuestas HTTP limpias (200, 400, 403, 500).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Capa de Servicio (`*.service.ts`): </w:t>
      </w:r>
      <w:r>
        <w:rPr>
          <w:color w:val="1F2937"/>
        </w:rPr>
        <w:t>Contiene la lógica de negocio pura, cálculo de secuenciales, hashing de passwords, coordinación de emails e integración con la base de datos.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Capa de Modelo / Acceso a Datos (`*.model.ts`): </w:t>
      </w:r>
      <w:r>
        <w:rPr>
          <w:color w:val="1F2937"/>
        </w:rPr>
        <w:t>Ejecuta consultas parametrizadas contra SQL Server garantizando el aislamiento de SQL Injection.</w:t>
      </w:r>
    </w:p>
    <w:p>
      <w:pPr>
        <w:keepNext/>
        <w:spacing w:before="200" w:after="60"/>
      </w:pPr>
      <w:r>
        <w:rPr>
          <w:b/>
          <w:color w:val="1F2937"/>
          <w:sz w:val="22"/>
        </w:rPr>
        <w:t>C) Patrón Singleton (Pool de Conexiones a Base de Datos)</w:t>
      </w:r>
    </w:p>
    <w:p>
      <w:pPr>
        <w:spacing w:after="80"/>
      </w:pPr>
      <w:r>
        <w:t>Ubicado en `src/config/database.ts`. Implementa una instancia única y reutilizable del pool de conexiones SQL (`sql.ConnectionPool`). Mantiene un mínimo de 0 y un máximo de 50 conexiones simultáneas activas con reconexión automática y timeouts de 30 segundos, evitando la saturación del motor SQL por creación excesiva de sockets.</w:t>
      </w:r>
    </w:p>
    <w:p>
      <w:pPr>
        <w:keepNext/>
        <w:spacing w:before="200" w:after="60"/>
      </w:pPr>
      <w:r>
        <w:rPr>
          <w:b/>
          <w:color w:val="1F2937"/>
          <w:sz w:val="22"/>
        </w:rPr>
        <w:t>D) Patrón Observer / Event-Driven (Server-Sent Events para Tiempo Real)</w:t>
      </w:r>
    </w:p>
    <w:p>
      <w:pPr>
        <w:spacing w:after="80"/>
      </w:pPr>
      <w:r>
        <w:t>Implementado mediante la clase nativa `EventEmitter` de Node.js en `src/shared/utils/event-emitter.ts`. Cuando ocurre una acción crítica (ej. nuevo ticket o mensaje), el servicio emite un evento (`notificationEvents.emit('new-notification', ...)`). El router SSE escucha en tiempo real (`notificationEvents.on(...)`) y transmite la carga útil directamente al socket del usuario conectado sin consultar la base de datos reiteradamente.</w:t>
      </w:r>
    </w:p>
    <w:p>
      <w:pPr>
        <w:keepNext/>
        <w:spacing w:before="200" w:after="60"/>
      </w:pPr>
      <w:r>
        <w:rPr>
          <w:b/>
          <w:color w:val="1F2937"/>
          <w:sz w:val="22"/>
        </w:rPr>
        <w:t>E) Patrón Strategy / Failover (Motor de Envíos de Correo)</w:t>
      </w:r>
    </w:p>
    <w:p>
      <w:pPr>
        <w:spacing w:after="80"/>
      </w:pPr>
      <w:r>
        <w:t>En `email.service.ts`, el motor evalúa dinámicamente qué estrategia de envío utilizar en tiempo de ejecución. Si existen variables de `EMAILJS`, ejecuta la llamada REST API. Si esta falla o no está configurada, realiza conmutación por error hacia Nodemailer (Gmail SMTP) y posteriormente a Resend API.</w:t>
      </w:r>
    </w:p>
    <w:p>
      <w:pPr>
        <w:keepNext/>
        <w:spacing w:before="200" w:after="60"/>
      </w:pPr>
      <w:r>
        <w:rPr>
          <w:b/>
          <w:color w:val="1F2937"/>
          <w:sz w:val="22"/>
        </w:rPr>
        <w:t>F) Migraciones Automáticas e Idempotencia al Arranque</w:t>
      </w:r>
    </w:p>
    <w:p>
      <w:pPr>
        <w:spacing w:after="80"/>
      </w:pPr>
      <w:r>
        <w:t>En `app.ts`, durante la inicialización del servidor HTTP/HTTPS (`server.listen()`), se ejecuta la función asíncrona `runMigrations()`. Revisa la estructura de la base de datos, altera columnas si es necesario (idempotencia) y calcula automáticamente el número secuencial de tickets mediante un Common Table Expression (CTE) con `ROW_NUMBER()`.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8"/>
              </w:rPr>
              <w:t>// Ejemplo de Migración Idempotente y Numeración Secuencial en Backend (app.ts):</w:t>
              <w:br/>
              <w:t>WITH CTE AS (</w:t>
              <w:br/>
              <w:t xml:space="preserve">    SELECT id, numero_secuencial, </w:t>
              <w:br/>
              <w:t xml:space="preserve">           ROW_NUMBER() OVER (PARTITION BY agencia_id ORDER BY fecha_creacion ASC) as RowNum</w:t>
              <w:br/>
              <w:t xml:space="preserve">    FROM tbl_tickets</w:t>
              <w:br/>
              <w:t>)</w:t>
              <w:br/>
              <w:t>UPDATE CTE SET numero_secuencial = RowNum WHERE numero_secuencial IS NULL;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2563EB"/>
          <w:sz w:val="25"/>
        </w:rPr>
        <w:t>2.3. Patrones de Diseño Implementados en el Frontend (React 18 / TypeScript)</w:t>
      </w:r>
    </w:p>
    <w:p>
      <w:pPr>
        <w:keepNext/>
        <w:spacing w:before="200" w:after="60"/>
      </w:pPr>
      <w:r>
        <w:rPr>
          <w:b/>
          <w:color w:val="1F2937"/>
          <w:sz w:val="22"/>
        </w:rPr>
        <w:t>A) Component-Driven Architecture &amp; SPA (Single Page Application)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División por Componentes: </w:t>
      </w:r>
      <w:r>
        <w:rPr>
          <w:color w:val="1F2937"/>
        </w:rPr>
        <w:t>Componentes funcionales puros de React divididos en `pages/` (Vistas de ruta), `components/` (Modales, Tablas, Gráficas, Menús) y `hooks/` (Hooks personalizados).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Empaquetado ultra rápido con Vite: </w:t>
      </w:r>
      <w:r>
        <w:rPr>
          <w:color w:val="1F2937"/>
        </w:rPr>
        <w:t>Reemplazo de Webpack por Vite para Hot Module Replacement (HMR) instantáneo en desarrollo y compilación optimizada (Tree-shaking) en producción.</w:t>
      </w:r>
    </w:p>
    <w:p>
      <w:pPr>
        <w:keepNext/>
        <w:spacing w:before="200" w:after="60"/>
      </w:pPr>
      <w:r>
        <w:rPr>
          <w:b/>
          <w:color w:val="1F2937"/>
          <w:sz w:val="22"/>
        </w:rPr>
        <w:t>B) Gestor de Estado Global con Context API &amp; Custom Hooks</w:t>
      </w:r>
    </w:p>
    <w:p>
      <w:pPr>
        <w:spacing w:after="80"/>
      </w:pPr>
      <w:r>
        <w:t>Se implementó `AuthContext` (`src/context/AuthContext.tsx`) para gestionar el estado global del usuario logueado, su Token JWT, el rol activo y la agencia correspondiente. Permite que cualquier componente hijo acceda o modifique el estado mediante el hook personalizado `useAuth()` sin requerir librerías pesadas como Redux.</w:t>
      </w:r>
    </w:p>
    <w:p>
      <w:pPr>
        <w:keepNext/>
        <w:spacing w:before="200" w:after="60"/>
      </w:pPr>
      <w:r>
        <w:rPr>
          <w:b/>
          <w:color w:val="1F2937"/>
          <w:sz w:val="22"/>
        </w:rPr>
        <w:t>C) Patrón Interceptor HTTP (Axios Request/Response Interceptors)</w:t>
      </w:r>
    </w:p>
    <w:p>
      <w:pPr>
        <w:spacing w:after="80"/>
      </w:pPr>
      <w:r>
        <w:t>En `src/api/axios.config.ts`, se configuró una instancia global de Axios. Intercepta automáticamente cada solicitud saliente e inyecta la cabecera `Authorization: Bearer &lt;token&gt;`. Asimismo, intercepta respuestas 401/403 (No autorizado / Token expirado) limpiando la sesión y redirigiendo al Login.</w:t>
      </w:r>
    </w:p>
    <w:p>
      <w:pPr>
        <w:keepNext/>
        <w:spacing w:before="200" w:after="60"/>
      </w:pPr>
      <w:r>
        <w:rPr>
          <w:b/>
          <w:color w:val="1F2937"/>
          <w:sz w:val="22"/>
        </w:rPr>
        <w:t>D) Motor de Temas Dinámicos Multi-Tenancy (Inyección de Estilos)</w:t>
      </w:r>
    </w:p>
    <w:p>
      <w:pPr>
        <w:spacing w:after="80"/>
      </w:pPr>
      <w:r>
        <w:t>Al iniciar sesión un usuario, el frontend detecta `agencia.colores_primario` y `colores_secundario` (códigos Hexadecimales). Aplica dinámicamente estos estilos en la barra de navegación, botones principales y badges, brindando la sensación de un sistema hecho a la medida para cada sucursal de Grupo Huerta.</w:t>
      </w:r>
    </w:p>
    <w:p>
      <w:pPr>
        <w:keepNext/>
        <w:spacing w:before="200" w:after="60"/>
      </w:pPr>
      <w:r>
        <w:rPr>
          <w:b/>
          <w:color w:val="1F2937"/>
          <w:sz w:val="22"/>
        </w:rPr>
        <w:t>E) Guardias de Ruta (Protected Routes)</w:t>
      </w:r>
    </w:p>
    <w:p>
      <w:pPr>
        <w:spacing w:after="80"/>
      </w:pPr>
      <w:r>
        <w:t>Componentes envolventes (`ProtectedRoute`) que evalúan el rol del usuario antes de renderizar la página. Si un usuario con rol 'cliente' intenta acceder manualmente a `/superadmin`, el guardia intercepta la navegación y lo redirige inmediatamente a su portal correspondiente.</w:t>
      </w:r>
    </w:p>
    <w:p>
      <w:pPr>
        <w:keepNext/>
        <w:spacing w:before="360" w:after="120"/>
        <w:pBdr>
          <w:bottom w:val="single" w:sz="6" w:space="1" w:color="1E3A8A"/>
        </w:pBdr>
      </w:pPr>
      <w:r>
        <w:rPr>
          <w:b/>
          <w:color w:val="1E3A8A"/>
          <w:sz w:val="30"/>
        </w:rPr>
        <w:t>3. RESUMEN MATRICIAL DE TECNOLOGÍAS DEL SISTEMA</w:t>
      </w:r>
    </w:p>
    <w:p>
      <w:pPr>
        <w:spacing w:after="120"/>
      </w:pPr>
      <w:r>
        <w:t>Cuadro resumen de las tecnologías clave de la solución: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Capa / Componente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Tecnología / Librerías</w:t>
            </w:r>
          </w:p>
        </w:tc>
        <w:tc>
          <w:tcPr>
            <w:tcW w:type="dxa" w:w="388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Descripción y Función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Frontend (SPA)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React 18 + TypeScript</w:t>
              <w:br/>
              <w:t>Vite, React Router v6</w:t>
              <w:br/>
              <w:t>Axios, React Hot Toast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Aplicación de página única (SPA) modular y responsiva. Navegación fluida sin recargas, consumo de APIs y estado global de usuario.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Backend (API REST)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Node.js + Express 5</w:t>
              <w:br/>
              <w:t>TypeScript, Helmet</w:t>
              <w:br/>
              <w:t>Express-Rate-Limit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Servidor API encargado del procesamiento de datos, autenticación, control de peticiones, validaciones de seguridad y carga de archivos.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Base de Datos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Microsoft SQL Server</w:t>
              <w:br/>
              <w:t>Driver Node mssql</w:t>
              <w:br/>
              <w:t>Pool de Conexiones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Base de datos relacional robusta. Incluye pool automático de hasta 50 conexiones simultáneas y rutinas de migración dinámica.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Servidor Web &amp; Proxy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Nginx (HTTPS / SSL)</w:t>
              <w:br/>
              <w:t>Puerto 443 ➔ 4000</w:t>
              <w:br/>
              <w:t>Archivos estáticos dist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Servidor de producción con cifrado SSL/TLS, reverse proxy para peticiones /api, manejo de archivos adjuntos (hasta 50MB) y ruteo frontend.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Notificaciones SSE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Server-Sent Events</w:t>
              <w:br/>
              <w:t>EventEmitter Node.js</w:t>
            </w:r>
          </w:p>
        </w:tc>
        <w:tc>
          <w:tcPr>
            <w:tcW w:type="dxa" w:w="3888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Canal de streaming liviano backend-frontend que empuja alertas instantáneas al navegador sin requerir sondeo periódico.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Servicios de Correo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EmailJS API (Primario)</w:t>
              <w:br/>
              <w:t>Nodemailer (SMTP)</w:t>
              <w:br/>
              <w:t>Resend API (Backup)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Arquitectura de notificaciones transaccionales por correo con respaldo multinivel para avisos de tickets y entrega de credenciales.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6" w:space="1" w:color="1E3A8A"/>
        </w:pBdr>
      </w:pPr>
      <w:r>
        <w:rPr>
          <w:b/>
          <w:color w:val="1E3A8A"/>
          <w:sz w:val="30"/>
        </w:rPr>
        <w:t>4. SERVICIOS DE CORREO ELECTRÓNICO Y NOTIFICACIONES TRANSACCIONALES</w:t>
      </w:r>
    </w:p>
    <w:p>
      <w:pPr>
        <w:spacing w:after="120"/>
      </w:pPr>
      <w:r>
        <w:t>El sistema cuenta con un motor de mensajería electrónica de alta disponibilidad alojado en `email.service.ts`. Utiliza una arquitectura de **conmutación por error (Failover) de 3 niveles** para garantizar que los correos lleguen a los destinatarios sin depender de un único proveedor:</w:t>
      </w:r>
    </w:p>
    <w:p>
      <w:pPr>
        <w:keepNext/>
        <w:spacing w:before="280" w:after="80"/>
      </w:pPr>
      <w:r>
        <w:rPr>
          <w:b/>
          <w:color w:val="2563EB"/>
          <w:sz w:val="25"/>
        </w:rPr>
        <w:t>4.1. Arquitectura de Proveedores de Correo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1. Nivel Primario - EmailJS (API REST): </w:t>
      </w:r>
      <w:r>
        <w:rPr>
          <w:color w:val="1F2937"/>
        </w:rPr>
        <w:t>Proveedor principal para el envío de notificaciones sin necesidad de abrir puertos SMTP salientes (evita bloqueos de puerto 25/587). Se autentica vía HTTP POST utilizando `EMAILJS_PUBLIC_KEY` y `EMAILJS_PRIVATE_KEY` con plantillas HTML dinámicas.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2. Nivel Secundario - Gmail SMTP (Nodemailer): </w:t>
      </w:r>
      <w:r>
        <w:rPr>
          <w:color w:val="1F2937"/>
        </w:rPr>
        <w:t>Respaldo automático que se activa en caso de falla o límite de cuota en EmailJS. Utiliza autenticación SMTP segura a través de `SMTP_USER` y `SMTP_PASS` mediante Nodemailer.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3. Nivel Terciario - Resend API: </w:t>
      </w:r>
      <w:r>
        <w:rPr>
          <w:color w:val="1F2937"/>
        </w:rPr>
        <w:t>Tercera capa de seguridad mediante el SDK oficial de `resend` (`RESEND_API_KEY`) para entornos de sandbox o dominio verificado.</w:t>
      </w:r>
    </w:p>
    <w:p>
      <w:pPr>
        <w:keepNext/>
        <w:spacing w:before="280" w:after="80"/>
      </w:pPr>
      <w:r>
        <w:rPr>
          <w:b/>
          <w:color w:val="2563EB"/>
          <w:sz w:val="25"/>
        </w:rPr>
        <w:t>4.2. Configuración de Plantillas y Credenciales en Backend (.env)</w:t>
      </w:r>
    </w:p>
    <w:p>
      <w:pPr>
        <w:spacing w:after="80"/>
      </w:pPr>
      <w:r>
        <w:t>El servidor administra las siguientes variables de entorno para la gestión de mensajes: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`EMAILJS_SERVICE_ID`: </w:t>
      </w:r>
      <w:r>
        <w:rPr>
          <w:color w:val="1F2937"/>
        </w:rPr>
        <w:t>Identificador del servicio configurado en la plataforma EmailJS (`default_service`).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`EMAILJS_TEMPLATE_ID`: </w:t>
      </w:r>
      <w:r>
        <w:rPr>
          <w:color w:val="1F2937"/>
        </w:rPr>
        <w:t>ID de plantilla de notificaciones generales de tickets (`template_q2o3no8`).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`EMAILJS_PUBLIC_KEY` &amp; `EMAILJS_PRIVATE_KEY`: </w:t>
      </w:r>
      <w:r>
        <w:rPr>
          <w:color w:val="1F2937"/>
        </w:rPr>
        <w:t>Claves de firma criptográfica y acceso de API para envío verificado.</w:t>
      </w:r>
    </w:p>
    <w:p>
      <w:pPr>
        <w:keepNext/>
        <w:spacing w:before="280" w:after="80"/>
      </w:pPr>
      <w:r>
        <w:rPr>
          <w:b/>
          <w:color w:val="2563EB"/>
          <w:sz w:val="25"/>
        </w:rPr>
        <w:t>4.3. Casos de Uso e Integración en el Portal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Notificaciones de Tickets (`sendNotificationEmail`): </w:t>
      </w:r>
      <w:r>
        <w:rPr>
          <w:color w:val="1F2937"/>
        </w:rPr>
        <w:t>Envío automático cuando se crea un ticket nuevo, se recibe respuesta de un agente o cambia el estatus. Incluye título del problema, contenido del mensaje, nombre de la agencia y botón de enlace directo al portal.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Envío de Credenciales (`sendCredentialsEmail`): </w:t>
      </w:r>
      <w:r>
        <w:rPr>
          <w:color w:val="1F2937"/>
        </w:rPr>
        <w:t>Al registrar un nuevo Administrador o Agente, el sistema genera y envía un correo con sus datos de acceso iniciales (Email, contraseña temporal generada, agencia asignada y enlace de inicio de sesión).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Registro de Depuración (`debug.log`): </w:t>
      </w:r>
      <w:r>
        <w:rPr>
          <w:color w:val="1F2937"/>
        </w:rPr>
        <w:t>Todos los envíos de correo son auditados en un log local con marcas de tiempo (ISO 8601) indicando el éxito, proveedor utilizado o el mensaje exacto de error en caso de fallo.</w:t>
      </w:r>
    </w:p>
    <w:p>
      <w:pPr>
        <w:keepNext/>
        <w:spacing w:before="360" w:after="120"/>
        <w:pBdr>
          <w:bottom w:val="single" w:sz="6" w:space="1" w:color="1E3A8A"/>
        </w:pBdr>
      </w:pPr>
      <w:r>
        <w:rPr>
          <w:b/>
          <w:color w:val="1E3A8A"/>
          <w:sz w:val="30"/>
        </w:rPr>
        <w:t>5. INFRAESTRUCTURA DE RED Y CONFIGURACIÓN FORTINET (FORTIGATE)</w:t>
      </w:r>
    </w:p>
    <w:p>
      <w:pPr>
        <w:spacing w:after="120"/>
      </w:pPr>
      <w:r>
        <w:t>Para garantizar la disponibilidad del sistema desde Internet de forma segura y proteger el servidor local de Grupo Huerta, se implementó un esquema de enrutamiento y seguridad administrado a través del **Firewall Fortinet (FortiGate)** de la empresa.</w:t>
      </w:r>
    </w:p>
    <w:p>
      <w:pPr>
        <w:keepNext/>
        <w:spacing w:before="280" w:after="80"/>
      </w:pPr>
      <w:r>
        <w:rPr>
          <w:b/>
          <w:color w:val="2563EB"/>
          <w:sz w:val="25"/>
        </w:rPr>
        <w:t>5.1. Direccionamiento IP y Enrutamiento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IP Pública WAN (Fortinet): </w:t>
      </w:r>
      <w:r>
        <w:rPr>
          <w:color w:val="1F2937"/>
        </w:rPr>
        <w:t>`201.149.60.82` (Dirección IP de cara a Internet configurada en el firewall).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IP Privada LAN (Servidor Local): </w:t>
      </w:r>
      <w:r>
        <w:rPr>
          <w:color w:val="1F2937"/>
        </w:rPr>
        <w:t>`192.168.26.97` (Servidor de aplicaciones donde residen Nginx, Node.js y SQL Server).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Nombres de Dominio Dinámicos (DDNS): </w:t>
      </w:r>
      <w:r>
        <w:rPr>
          <w:color w:val="1F2937"/>
        </w:rPr>
        <w:t>`helpdesksmartsolutions.mooo.com` (Portal Principal de Agencias) y `juridico_gh.mooo.com` (Portal Jurídico).</w:t>
      </w:r>
    </w:p>
    <w:p>
      <w:pPr>
        <w:keepNext/>
        <w:spacing w:before="280" w:after="80"/>
      </w:pPr>
      <w:r>
        <w:rPr>
          <w:b/>
          <w:color w:val="2563EB"/>
          <w:sz w:val="25"/>
        </w:rPr>
        <w:t>5.2. Reglas de Port Forwarding y VIP (Virtual IP) en Fortinet</w:t>
      </w:r>
    </w:p>
    <w:p>
      <w:pPr>
        <w:spacing w:after="80"/>
      </w:pPr>
      <w:r>
        <w:t>En la consola de administración de Fortinet (FortiGate) se establecieron los siguientes objetos de traducción de direcciones (DNAT/VIP):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Objeto VIP HTTPS (Port Forwarding): </w:t>
      </w:r>
      <w:r>
        <w:rPr>
          <w:color w:val="1F2937"/>
        </w:rPr>
        <w:t>Mapeo del tráfico entrante desde la IP Pública `201.149.60.82` en el **Puerto 443 (HTTPS)** hacia la IP Privada del Servidor Interno `192.168.26.97` en el **Puerto 443**.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Políticas de Seguridad Firewall (WAN to LAN): </w:t>
      </w:r>
      <w:r>
        <w:rPr>
          <w:color w:val="1F2937"/>
        </w:rPr>
        <w:t>Regla de firewall que permite la navegación segura desde la interfaz WAN a la zona DMZ/LAN únicamente en los servicios `HTTPS` y `HTTP` (redirección).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Filtrado e Inspección de Seguridad: </w:t>
      </w:r>
      <w:r>
        <w:rPr>
          <w:color w:val="1F2937"/>
        </w:rPr>
        <w:t>Habilitación de perfiles UTM en Fortinet para inspección SSL/TLS, protección contra intrusiones (IPS) y mitigación de escaneos maliciosos.</w:t>
      </w:r>
    </w:p>
    <w:p>
      <w:pPr>
        <w:keepNext/>
        <w:spacing w:before="280" w:after="80"/>
      </w:pPr>
      <w:r>
        <w:rPr>
          <w:b/>
          <w:color w:val="2563EB"/>
          <w:sz w:val="25"/>
        </w:rPr>
        <w:t>5.3. Flujo de Tráfico de Red (Petición de Usuario)</w:t>
      </w:r>
    </w:p>
    <w:p>
      <w:pPr>
        <w:spacing w:after="80"/>
      </w:pPr>
      <w:r>
        <w:t>El recorrido de una conexión desde que un usuario accede al Helpdesk funciona de la siguiente manera: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1. Solicitud DNS: </w:t>
      </w:r>
      <w:r>
        <w:rPr>
          <w:color w:val="1F2937"/>
        </w:rPr>
        <w:t>El usuario ingresa a `https://helpdesksmartsolutions.mooo.com`. El DNS resuelve el dominio apuntando a la IP pública Fortinet (`201.149.60.82`).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2. Recepción en Fortinet: </w:t>
      </w:r>
      <w:r>
        <w:rPr>
          <w:color w:val="1F2937"/>
        </w:rPr>
        <w:t>El Firewall FortiGate recibe el paquete en el puerto 443, evalúa la política de seguridad y aplica la regla VIP (Port Forwarding).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3. Transferencia a Nginx: </w:t>
      </w:r>
      <w:r>
        <w:rPr>
          <w:color w:val="1F2937"/>
        </w:rPr>
        <w:t>Fortinet redirige el paquete a la IP interna `192.168.26.97` puerto 443, donde Nginx desempaqueta el certificado SSL (`cert.pem`/`key.pem`).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4. Ruteo Interno: </w:t>
      </w:r>
      <w:r>
        <w:rPr>
          <w:color w:val="1F2937"/>
        </w:rPr>
        <w:t>Nginx entrega los archivos estáticos del frontend React o reenvía las peticiones de datos `/api` al proceso de Node.js en el puerto interno `4000`.</w:t>
      </w:r>
    </w:p>
    <w:p>
      <w:pPr>
        <w:keepNext/>
        <w:spacing w:before="360" w:after="120"/>
        <w:pBdr>
          <w:bottom w:val="single" w:sz="6" w:space="1" w:color="1E3A8A"/>
        </w:pBdr>
      </w:pPr>
      <w:r>
        <w:rPr>
          <w:b/>
          <w:color w:val="1E3A8A"/>
          <w:sz w:val="30"/>
        </w:rPr>
        <w:t>6. MATRIZ DE ROLES Y PERMISOS (RBAC)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1. SuperAdministrador (SuperAdmin): </w:t>
      </w:r>
      <w:r>
        <w:rPr>
          <w:color w:val="1F2937"/>
        </w:rPr>
        <w:t>Gobierno global del sistema. Administra agencias, licencias, administradores globales, manuales del sistema y la función de 'Suplantación de Sesión'.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2. Administrador de Agencia (Admin): </w:t>
      </w:r>
      <w:r>
        <w:rPr>
          <w:color w:val="1F2937"/>
        </w:rPr>
        <w:t>Gestión operativa de la sucursal. Alta de agentes/clientes, áreas de soporte, personalización de colores/logos y métricas de satisfacción.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3. Agente de Soporte Técnico (Agente): </w:t>
      </w:r>
      <w:r>
        <w:rPr>
          <w:color w:val="1F2937"/>
        </w:rPr>
        <w:t>Atención directa de la bandeja de tickets. Resuelve incidencias, envía respuestas, agrega notas internas confidenciales y cambia estados.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4. Usuario Final / Cliente (Usuario): </w:t>
      </w:r>
      <w:r>
        <w:rPr>
          <w:color w:val="1F2937"/>
        </w:rPr>
        <w:t>Levanta folios de reporte, consulta el avance de sus tickets, adjunta evidencias, recibe notificaciones SSE y evalúa el servicio recibido.</w:t>
      </w:r>
    </w:p>
    <w:p>
      <w:pPr>
        <w:keepNext/>
        <w:spacing w:before="360" w:after="120"/>
        <w:pBdr>
          <w:bottom w:val="single" w:sz="6" w:space="1" w:color="1E3A8A"/>
        </w:pBdr>
      </w:pPr>
      <w:r>
        <w:rPr>
          <w:b/>
          <w:color w:val="1E3A8A"/>
          <w:sz w:val="30"/>
        </w:rPr>
        <w:t>7. MÓDULOS Y FUNCIONALIDADES DETALLADAS</w:t>
      </w:r>
    </w:p>
    <w:p>
      <w:pPr>
        <w:keepNext/>
        <w:spacing w:before="280" w:after="80"/>
      </w:pPr>
      <w:r>
        <w:rPr>
          <w:b/>
          <w:color w:val="2563EB"/>
          <w:sz w:val="25"/>
        </w:rPr>
        <w:t>7.1. Módulo Multi-Tenancy y Marca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Subdominios Dedicados: </w:t>
      </w:r>
      <w:r>
        <w:rPr>
          <w:color w:val="1F2937"/>
        </w:rPr>
        <w:t>Asignación de subdominios únicos por agencia para identificación en URL.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Paleta de Colores Dinámica: </w:t>
      </w:r>
      <w:r>
        <w:rPr>
          <w:color w:val="1F2937"/>
        </w:rPr>
        <w:t>Campos de configuración de color primario y secundario que se aplican automáticamente en la interfaz del cliente.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Logotipos Corporativos: </w:t>
      </w:r>
      <w:r>
        <w:rPr>
          <w:color w:val="1F2937"/>
        </w:rPr>
        <w:t>Carga y almacenamiento de logotipos personalizados por sucursal.</w:t>
      </w:r>
    </w:p>
    <w:p>
      <w:pPr>
        <w:keepNext/>
        <w:spacing w:before="280" w:after="80"/>
      </w:pPr>
      <w:r>
        <w:rPr>
          <w:b/>
          <w:color w:val="2563EB"/>
          <w:sz w:val="25"/>
        </w:rPr>
        <w:t>7.2. Módulo de Gestión de Tickets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Numeración Secuencial por Agencia: </w:t>
      </w:r>
      <w:r>
        <w:rPr>
          <w:color w:val="1F2937"/>
        </w:rPr>
        <w:t>Folios correlativos calculados por sucursal (ej. Ticket #1, #2 de Suzuki).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Estados del Ticket: </w:t>
      </w:r>
      <w:r>
        <w:rPr>
          <w:color w:val="1F2937"/>
        </w:rPr>
        <w:t>Abierto ➔ En Proceso ➔ Resuelto ➔ Cerrado.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Chat en Vivo y Notas Internas: </w:t>
      </w:r>
      <w:r>
        <w:rPr>
          <w:color w:val="1F2937"/>
        </w:rPr>
        <w:t>Consola interactiva con soporte para mensajes públicos al cliente y notas internas ocultas para coordinación técnica.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Adjuntos y Evaluaciones: </w:t>
      </w:r>
      <w:r>
        <w:rPr>
          <w:color w:val="1F2937"/>
        </w:rPr>
        <w:t>Carga de evidencias (PDF/imágenes) y encuesta obligatoria de 1 a 5 estrellas al concluir.</w:t>
      </w:r>
    </w:p>
    <w:p>
      <w:pPr>
        <w:keepNext/>
        <w:spacing w:before="280" w:after="80"/>
      </w:pPr>
      <w:r>
        <w:rPr>
          <w:b/>
          <w:color w:val="2563EB"/>
          <w:sz w:val="25"/>
        </w:rPr>
        <w:t>7.3. Notificaciones en Tiempo Real (SSE)</w:t>
      </w:r>
    </w:p>
    <w:p>
      <w:pPr>
        <w:spacing w:after="120"/>
      </w:pPr>
      <w:r>
        <w:t>Motor SSE (Server-Sent Events) en la ruta `/api/notificaciones/stream/:usuario_id` que emite eventos instantáneos en pantalla sin sobrecargar el servidor con sondeo periódico.</w:t>
      </w:r>
    </w:p>
    <w:p>
      <w:pPr>
        <w:keepNext/>
        <w:spacing w:before="280" w:after="80"/>
      </w:pPr>
      <w:r>
        <w:rPr>
          <w:b/>
          <w:color w:val="2563EB"/>
          <w:sz w:val="25"/>
        </w:rPr>
        <w:t>7.4. Control de Licenciamiento y Bloqueos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Monitoreo de Vigencia: </w:t>
      </w:r>
      <w:r>
        <w:rPr>
          <w:color w:val="1F2937"/>
        </w:rPr>
        <w:t>Indicador visual tipo semáforo (Activa, Pronto a Vencer, Expirada).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Suspensión Inmediata: </w:t>
      </w:r>
      <w:r>
        <w:rPr>
          <w:color w:val="1F2937"/>
        </w:rPr>
        <w:t>Bloqueo de acceso automático para sucursales con contratos vencidos.</w:t>
      </w:r>
    </w:p>
    <w:p>
      <w:pPr>
        <w:keepNext/>
        <w:spacing w:before="280" w:after="80"/>
      </w:pPr>
      <w:r>
        <w:rPr>
          <w:b/>
          <w:color w:val="2563EB"/>
          <w:sz w:val="25"/>
        </w:rPr>
        <w:t>7.5. Integración con Portal Jurídico</w:t>
      </w:r>
    </w:p>
    <w:p>
      <w:pPr>
        <w:spacing w:after="120"/>
      </w:pPr>
      <w:r>
        <w:t>Servidor virtual Nginx secundario bajo la ruta `/juridico` y dominio `juridico_gh.mooo.com` para solicitudes de Alta Dirección.</w:t>
      </w:r>
    </w:p>
    <w:p>
      <w:pPr>
        <w:keepNext/>
        <w:spacing w:before="360" w:after="120"/>
        <w:pBdr>
          <w:bottom w:val="single" w:sz="6" w:space="1" w:color="1E3A8A"/>
        </w:pBdr>
      </w:pPr>
      <w:r>
        <w:rPr>
          <w:b/>
          <w:color w:val="1E3A8A"/>
          <w:sz w:val="30"/>
        </w:rPr>
        <w:t>8. SEGURIDAD Y DESPLIEGUE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Autenticación JWT: </w:t>
      </w:r>
      <w:r>
        <w:rPr>
          <w:color w:val="1F2937"/>
        </w:rPr>
        <w:t>Tokens de acceso con firmas criptográficas de expiración controlada.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Cifrado de Contraseñas: </w:t>
      </w:r>
      <w:r>
        <w:rPr>
          <w:color w:val="1F2937"/>
        </w:rPr>
        <w:t>Hashing seguro Bcrypt para almacenamiento de contraseñas.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Cabeceras HTTP Seguras (Helmet): </w:t>
      </w:r>
      <w:r>
        <w:rPr>
          <w:color w:val="1F2937"/>
        </w:rPr>
        <w:t>Mitigación de riesgos XSS, Clickjacking y vulnerabilidades MIME.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Protección Anti-DDoS: </w:t>
      </w:r>
      <w:r>
        <w:rPr>
          <w:color w:val="1F2937"/>
        </w:rPr>
        <w:t>Límite de 1,000 solicitudes por cada 15 minutos por IP.</w:t>
      </w:r>
    </w:p>
    <w:p>
      <w:pPr>
        <w:pStyle w:val="ListBullet"/>
        <w:spacing w:before="40" w:after="60"/>
      </w:pPr>
      <w:r>
        <w:rPr>
          <w:b/>
          <w:color w:val="1F2937"/>
        </w:rPr>
        <w:t xml:space="preserve">Cifrado de Red (SSL/TLS): </w:t>
      </w:r>
      <w:r>
        <w:rPr>
          <w:color w:val="1F2937"/>
        </w:rPr>
        <w:t>Configuración HTTPS nativa mediante Nginx y certificados `.pem`.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