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b/>
          <w:color w:val="1E3A8A"/>
          <w:sz w:val="44"/>
        </w:rPr>
        <w:t>DOCUMENTACIÓN TÉCNICA Y ARQUITECTURA DEL SISTEMA</w:t>
      </w:r>
    </w:p>
    <w:p>
      <w:pPr>
        <w:spacing w:before="0" w:after="360"/>
        <w:jc w:val="center"/>
      </w:pPr>
      <w:r>
        <w:rPr>
          <w:i/>
          <w:color w:val="2563EB"/>
          <w:sz w:val="26"/>
        </w:rPr>
        <w:t>Portal de Helpdesk y Gestión de Incidencias - Grupo Huerta</w:t>
      </w:r>
    </w:p>
    <w:p>
      <w:pPr>
        <w:spacing w:after="320"/>
        <w:pBdr>
          <w:bottom w:val="single" w:sz="12" w:space="1" w:color="2563E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b/>
                <w:color w:val="2563EB"/>
                <w:sz w:val="21"/>
              </w:rPr>
              <w:t>📌 ESPECIFICACIÓN COMPLETA DEL SISTEMA</w:t>
              <w:br/>
            </w:r>
            <w:r>
              <w:rPr>
                <w:color w:val="1F2937"/>
                <w:sz w:val="20"/>
              </w:rPr>
              <w:t>Este documento recopila la arquitectura, tecnologías, módulos, seguridad, servicios de correo transaccional y la configuración de infraestructura de red con el Firewall Fortinet para el sistema de Helpdesk Multi-Tenancy de Grupo Huerta.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6" w:space="1" w:color="1E3A8A"/>
        </w:pBdr>
      </w:pPr>
      <w:r>
        <w:rPr>
          <w:b/>
          <w:color w:val="1E3A8A"/>
          <w:sz w:val="30"/>
        </w:rPr>
        <w:t>1. RESUMEN GENERAL DEL SISTEMA</w:t>
      </w:r>
    </w:p>
    <w:p>
      <w:pPr>
        <w:spacing w:after="120"/>
      </w:pPr>
      <w:r>
        <w:t>El Portal de Helpdesk de Grupo Huerta es una solución integral y centralizada para la recepción, seguimiento y resolución de tickets de soporte técnico e incidencias operativas. El sistema fue construido bajo un modelo de arquitectura Multi-Tenancy (Multi-Agencia), permitiendo administrar múltiples sucursales y marcas (ej. Suzuki, Volkswagen, etc.) dentro de una misma infraestructura tecnológica, garantizando el aislamiento estricto de datos, personalización visual independiente, control de licencias, servicios de correo automatizados y notificaciones en tiempo real.</w:t>
      </w:r>
    </w:p>
    <w:p>
      <w:pPr>
        <w:keepNext/>
        <w:spacing w:before="320" w:after="120"/>
        <w:pBdr>
          <w:bottom w:val="single" w:sz="6" w:space="1" w:color="1E3A8A"/>
        </w:pBdr>
      </w:pPr>
      <w:r>
        <w:rPr>
          <w:b/>
          <w:color w:val="1E3A8A"/>
          <w:sz w:val="30"/>
        </w:rPr>
        <w:t>2. ARQUITECTURA TECNOLÓGICA (STACK COMPLETO)</w:t>
      </w:r>
    </w:p>
    <w:p>
      <w:pPr>
        <w:spacing w:after="120"/>
      </w:pPr>
      <w:r>
        <w:t>El desarrollo se realizó utilizando un stack de software moderno, desacoplado y de alto rendimiento: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Capa / Componente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Tecnología / Librerías</w:t>
            </w:r>
          </w:p>
        </w:tc>
        <w:tc>
          <w:tcPr>
            <w:tcW w:type="dxa" w:w="388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Descripción y Función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Frontend (SPA)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React 18 + TypeScript</w:t>
              <w:br/>
              <w:t>Vite, React Router v6</w:t>
              <w:br/>
              <w:t>Axios, React Hot Toast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Aplicación de página única (SPA) modular y responsiva. Navegación fluida sin recargas, consumo de APIs y estado global de usuario.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Backend (API REST)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Node.js + Express 5</w:t>
              <w:br/>
              <w:t>TypeScript, Helmet</w:t>
              <w:br/>
              <w:t>Express-Rate-Limit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Servidor API encargado del procesamiento de datos, autenticación, control de peticiones, validaciones de seguridad y carga de archivos.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Base de Datos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Microsoft SQL Server</w:t>
              <w:br/>
              <w:t>Driver Node mssql</w:t>
              <w:br/>
              <w:t>Pool de Conexiones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Base de datos relacional robusta. Incluye pool automático de hasta 50 conexiones simultáneas y rutinas de migración dinámica.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Servidor Web &amp; Proxy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Nginx (HTTPS / SSL)</w:t>
              <w:br/>
              <w:t>Puerto 443 ➔ 4000</w:t>
              <w:br/>
              <w:t>Archivos estáticos dist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Servidor de producción con cifrado SSL/TLS, reverse proxy para peticiones /api, manejo de archivos adjuntos (hasta 50MB) y ruteo frontend.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Notificaciones SSE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Server-Sent Events</w:t>
              <w:br/>
              <w:t>EventEmitter Node.js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Canal de streaming liviano backend-frontend que empuja alertas instantáneas al navegador sin requerir sondeo periódico.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Servicios de Correo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EmailJS API (Primario)</w:t>
              <w:br/>
              <w:t>Nodemailer (SMTP)</w:t>
              <w:br/>
              <w:t>Resend API (Backup)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Arquitectura de notificaciones transaccionales por correo con respaldo multinivel para avisos de tickets y entrega de credenciales.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6" w:space="1" w:color="1E3A8A"/>
        </w:pBdr>
      </w:pPr>
      <w:r>
        <w:rPr>
          <w:b/>
          <w:color w:val="1E3A8A"/>
          <w:sz w:val="30"/>
        </w:rPr>
        <w:t>3. SERVICIOS DE CORREO ELECTRÓNICO Y NOTIFICACIONES TRANSACCIONALES</w:t>
      </w:r>
    </w:p>
    <w:p>
      <w:pPr>
        <w:spacing w:after="120"/>
      </w:pPr>
      <w:r>
        <w:t>El sistema cuenta con un motor de mensajería electrónica de alta disponibilidad alojado en `email.service.ts`. Utiliza una arquitectura de **conmutación por error (Failover) de 3 niveles** para garantizar que los correos lleguen a los destinatarios sin depender de un único proveedor:</w:t>
      </w:r>
    </w:p>
    <w:p>
      <w:pPr>
        <w:keepNext/>
        <w:spacing w:before="240" w:after="80"/>
      </w:pPr>
      <w:r>
        <w:rPr>
          <w:b/>
          <w:color w:val="2563EB"/>
          <w:sz w:val="25"/>
        </w:rPr>
        <w:t>3.1. Arquitectura de Proveedores de Correo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1. Nivel Primario - EmailJS (API REST): </w:t>
      </w:r>
      <w:r>
        <w:rPr>
          <w:color w:val="1F2937"/>
        </w:rPr>
        <w:t>Proveedor principal para el envío de notificaciones sin necesidad de abrir puertos SMTP salientes (evita bloqueos de puerto 25/587). Se autentica vía HTTP POST utilizando `EMAILJS_PUBLIC_KEY` y `EMAILJS_PRIVATE_KEY` con plantillas HTML dinámicas.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2. Nivel Secundario - Gmail SMTP (Nodemailer): </w:t>
      </w:r>
      <w:r>
        <w:rPr>
          <w:color w:val="1F2937"/>
        </w:rPr>
        <w:t>Respaldo automático que se activa en caso de falla o límite de cuota en EmailJS. Utiliza autenticación SMTP segura a través de `SMTP_USER` y `SMTP_PASS` mediante Nodemailer.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3. Nivel Terciario - Resend API: </w:t>
      </w:r>
      <w:r>
        <w:rPr>
          <w:color w:val="1F2937"/>
        </w:rPr>
        <w:t>Tercera capa de seguridad mediante el SDK oficial de `resend` (`RESEND_API_KEY`) para entornos de sandbox o dominio verificado.</w:t>
      </w:r>
    </w:p>
    <w:p>
      <w:pPr>
        <w:keepNext/>
        <w:spacing w:before="240" w:after="80"/>
      </w:pPr>
      <w:r>
        <w:rPr>
          <w:b/>
          <w:color w:val="2563EB"/>
          <w:sz w:val="25"/>
        </w:rPr>
        <w:t>3.2. Configuración de Plantillas y Credenciales en Backend (.env)</w:t>
      </w:r>
    </w:p>
    <w:p>
      <w:pPr>
        <w:spacing w:after="80"/>
      </w:pPr>
      <w:r>
        <w:t>El servidor administra las siguientes variables de entorno para la gestión de mensajes: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`EMAILJS_SERVICE_ID`: </w:t>
      </w:r>
      <w:r>
        <w:rPr>
          <w:color w:val="1F2937"/>
        </w:rPr>
        <w:t>Identificador del servicio configurado en la plataforma EmailJS (`default_service`).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`EMAILJS_TEMPLATE_ID`: </w:t>
      </w:r>
      <w:r>
        <w:rPr>
          <w:color w:val="1F2937"/>
        </w:rPr>
        <w:t>ID de plantilla de notificaciones generales de tickets (`template_q2o3no8`).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`EMAILJS_PUBLIC_KEY` &amp; `EMAILJS_PRIVATE_KEY`: </w:t>
      </w:r>
      <w:r>
        <w:rPr>
          <w:color w:val="1F2937"/>
        </w:rPr>
        <w:t>Claves de firma criptográfica y acceso de API para envío verificado.</w:t>
      </w:r>
    </w:p>
    <w:p>
      <w:pPr>
        <w:keepNext/>
        <w:spacing w:before="240" w:after="80"/>
      </w:pPr>
      <w:r>
        <w:rPr>
          <w:b/>
          <w:color w:val="2563EB"/>
          <w:sz w:val="25"/>
        </w:rPr>
        <w:t>3.3. Casos de Uso e Integración en el Portal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Notificaciones de Tickets (`sendNotificationEmail`): </w:t>
      </w:r>
      <w:r>
        <w:rPr>
          <w:color w:val="1F2937"/>
        </w:rPr>
        <w:t>Envío automático cuando se crea un ticket nuevo, se recibe respuesta de un agente o cambia el estatus. Incluye título del problema, contenido del mensaje, nombre de la agencia y botón de enlace directo al portal.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Envío de Credenciales (`sendCredentialsEmail`): </w:t>
      </w:r>
      <w:r>
        <w:rPr>
          <w:color w:val="1F2937"/>
        </w:rPr>
        <w:t>Al registrar un nuevo Administrador o Agente, el sistema genera y envía un correo con sus datos de acceso iniciales (Email, contraseña temporal generada, agencia asignada y enlace de inicio de sesión).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Registro de Depuración (`debug.log`): </w:t>
      </w:r>
      <w:r>
        <w:rPr>
          <w:color w:val="1F2937"/>
        </w:rPr>
        <w:t>Todos los envíos de correo son auditados en un log local con marcas de tiempo (ISO 8601) indicando el éxito, proveedor utilizado o el mensaje exacto de error en caso de fallo.</w:t>
      </w:r>
    </w:p>
    <w:p>
      <w:pPr>
        <w:keepNext/>
        <w:spacing w:before="320" w:after="120"/>
        <w:pBdr>
          <w:bottom w:val="single" w:sz="6" w:space="1" w:color="1E3A8A"/>
        </w:pBdr>
      </w:pPr>
      <w:r>
        <w:rPr>
          <w:b/>
          <w:color w:val="1E3A8A"/>
          <w:sz w:val="30"/>
        </w:rPr>
        <w:t>4. INFRAESTRUCTURA DE RED Y CONFIGURACIÓN FORTINET (FORTIGATE)</w:t>
      </w:r>
    </w:p>
    <w:p>
      <w:pPr>
        <w:spacing w:after="120"/>
      </w:pPr>
      <w:r>
        <w:t>Para garantizar la disponibilidad del sistema desde Internet de forma segura y proteger el servidor local de Grupo Huerta, se implementó un esquema de enrutamiento y seguridad administrado a través del **Firewall Fortinet (FortiGate)** de la empresa.</w:t>
      </w:r>
    </w:p>
    <w:p>
      <w:pPr>
        <w:keepNext/>
        <w:spacing w:before="240" w:after="80"/>
      </w:pPr>
      <w:r>
        <w:rPr>
          <w:b/>
          <w:color w:val="2563EB"/>
          <w:sz w:val="25"/>
        </w:rPr>
        <w:t>4.1. Direccionamiento IP y Enrutamiento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IP Pública WAN (Fortinet): </w:t>
      </w:r>
      <w:r>
        <w:rPr>
          <w:color w:val="1F2937"/>
        </w:rPr>
        <w:t>`201.149.60.82` (Dirección IP de cara a Internet configurada en el firewall).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IP Privada LAN (Servidor Local): </w:t>
      </w:r>
      <w:r>
        <w:rPr>
          <w:color w:val="1F2937"/>
        </w:rPr>
        <w:t>`192.168.26.97` (Servidor de aplicaciones donde residen Nginx, Node.js y SQL Server).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Nombres de Dominio Dinámicos (DDNS): </w:t>
      </w:r>
      <w:r>
        <w:rPr>
          <w:color w:val="1F2937"/>
        </w:rPr>
        <w:t>`helpdesksmartsolutions.mooo.com` (Portal Principal de Agencias) y `juridico_gh.mooo.com` (Portal Jurídico).</w:t>
      </w:r>
    </w:p>
    <w:p>
      <w:pPr>
        <w:keepNext/>
        <w:spacing w:before="240" w:after="80"/>
      </w:pPr>
      <w:r>
        <w:rPr>
          <w:b/>
          <w:color w:val="2563EB"/>
          <w:sz w:val="25"/>
        </w:rPr>
        <w:t>4.2. Reglas de Port Forwarding y VIP (Virtual IP) en Fortinet</w:t>
      </w:r>
    </w:p>
    <w:p>
      <w:pPr>
        <w:spacing w:after="80"/>
      </w:pPr>
      <w:r>
        <w:t>En la consola de administración de Fortinet (FortiGate) se establecieron los siguientes objetos de traducción de direcciones (DNAT/VIP):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Objeto VIP HTTPS (Port Forwarding): </w:t>
      </w:r>
      <w:r>
        <w:rPr>
          <w:color w:val="1F2937"/>
        </w:rPr>
        <w:t>Mapeo del tráfico entrante desde la IP Pública `201.149.60.82` en el **Puerto 443 (HTTPS)** hacia la IP Privada del Servidor Interno `192.168.26.97` en el **Puerto 443**.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Políticas de Seguridad Firewall (WAN to LAN): </w:t>
      </w:r>
      <w:r>
        <w:rPr>
          <w:color w:val="1F2937"/>
        </w:rPr>
        <w:t>Regla de firewall que permite la navegación segura desde la interfaz WAN a la zona DMZ/LAN únicamente en los servicios `HTTPS` y `HTTP` (redirección).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Filtrado e Inspección de Seguridad: </w:t>
      </w:r>
      <w:r>
        <w:rPr>
          <w:color w:val="1F2937"/>
        </w:rPr>
        <w:t>Habilitación de perfiles UTM en Fortinet para inspección SSL/TLS, protección contra intrusiones (IPS) y mitigación de escaneos maliciosos.</w:t>
      </w:r>
    </w:p>
    <w:p>
      <w:pPr>
        <w:keepNext/>
        <w:spacing w:before="240" w:after="80"/>
      </w:pPr>
      <w:r>
        <w:rPr>
          <w:b/>
          <w:color w:val="2563EB"/>
          <w:sz w:val="25"/>
        </w:rPr>
        <w:t>4.3. Flujo de Tráfico de Red (Petición de Usuario)</w:t>
      </w:r>
    </w:p>
    <w:p>
      <w:pPr>
        <w:spacing w:after="80"/>
      </w:pPr>
      <w:r>
        <w:t>El recorrido de una conexión desde que un usuario accede al Helpdesk funciona de la siguiente manera: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1. Solicitud DNS: </w:t>
      </w:r>
      <w:r>
        <w:rPr>
          <w:color w:val="1F2937"/>
        </w:rPr>
        <w:t>El usuario ingresa a `https://helpdesksmartsolutions.mooo.com`. El DNS resuelve el dominio apuntando a la IP pública Fortinet (`201.149.60.82`).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2. Recepción en Fortinet: </w:t>
      </w:r>
      <w:r>
        <w:rPr>
          <w:color w:val="1F2937"/>
        </w:rPr>
        <w:t>El Firewall FortiGate recibe el paquete en el puerto 443, evalúa la política de seguridad y aplica la regla VIP (Port Forwarding).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3. Transferencia a Nginx: </w:t>
      </w:r>
      <w:r>
        <w:rPr>
          <w:color w:val="1F2937"/>
        </w:rPr>
        <w:t>Fortinet redirige el paquete a la IP interna `192.168.26.97` puerto 443, donde Nginx desempaqueta el certificado SSL (`cert.pem`/`key.pem`).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4. Ruteo Interno: </w:t>
      </w:r>
      <w:r>
        <w:rPr>
          <w:color w:val="1F2937"/>
        </w:rPr>
        <w:t>Nginx entrega los archivos estáticos del frontend React o reenvía las peticiones de datos `/api` al proceso de Node.js en el puerto interno `4000`.</w:t>
      </w:r>
    </w:p>
    <w:p>
      <w:pPr>
        <w:keepNext/>
        <w:spacing w:before="320" w:after="120"/>
        <w:pBdr>
          <w:bottom w:val="single" w:sz="6" w:space="1" w:color="1E3A8A"/>
        </w:pBdr>
      </w:pPr>
      <w:r>
        <w:rPr>
          <w:b/>
          <w:color w:val="1E3A8A"/>
          <w:sz w:val="30"/>
        </w:rPr>
        <w:t>5. MATRIZ DE ROLES Y PERMISOS (RBAC)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1. SuperAdministrador (SuperAdmin): </w:t>
      </w:r>
      <w:r>
        <w:rPr>
          <w:color w:val="1F2937"/>
        </w:rPr>
        <w:t>Gobierno global del sistema. Administra agencias, licencias, administradores globales, manuales del sistema y la función de 'Suplantación de Sesión'.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2. Administrador de Agencia (Admin): </w:t>
      </w:r>
      <w:r>
        <w:rPr>
          <w:color w:val="1F2937"/>
        </w:rPr>
        <w:t>Gestión operativa de la sucursal. Alta de agentes/clientes, áreas de soporte, personalización de colores/logos y métricas de satisfacción.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3. Agente de Soporte Técnico (Agente): </w:t>
      </w:r>
      <w:r>
        <w:rPr>
          <w:color w:val="1F2937"/>
        </w:rPr>
        <w:t>Atención directa de la bandeja de tickets. Resuelve incidencias, envía respuestas, agrega notas internas confidenciales y cambia estados.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4. Usuario Final / Cliente (Usuario): </w:t>
      </w:r>
      <w:r>
        <w:rPr>
          <w:color w:val="1F2937"/>
        </w:rPr>
        <w:t>Levanta folios de reporte, consulta el avance de sus tickets, adjunta evidencias, recibe notificaciones SSE y evalúa el servicio recibido.</w:t>
      </w:r>
    </w:p>
    <w:p>
      <w:pPr>
        <w:keepNext/>
        <w:spacing w:before="320" w:after="120"/>
        <w:pBdr>
          <w:bottom w:val="single" w:sz="6" w:space="1" w:color="1E3A8A"/>
        </w:pBdr>
      </w:pPr>
      <w:r>
        <w:rPr>
          <w:b/>
          <w:color w:val="1E3A8A"/>
          <w:sz w:val="30"/>
        </w:rPr>
        <w:t>6. MÓDULOS Y FUNCIONALIDADES DETALLADAS</w:t>
      </w:r>
    </w:p>
    <w:p>
      <w:pPr>
        <w:keepNext/>
        <w:spacing w:before="240" w:after="80"/>
      </w:pPr>
      <w:r>
        <w:rPr>
          <w:b/>
          <w:color w:val="2563EB"/>
          <w:sz w:val="25"/>
        </w:rPr>
        <w:t>6.1. Módulo Multi-Tenancy y Marca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Subdominios Dedicados: </w:t>
      </w:r>
      <w:r>
        <w:rPr>
          <w:color w:val="1F2937"/>
        </w:rPr>
        <w:t>Asignación de subdominios únicos por agencia para identificación en URL.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Paleta de Colores Dinámica: </w:t>
      </w:r>
      <w:r>
        <w:rPr>
          <w:color w:val="1F2937"/>
        </w:rPr>
        <w:t>Campos de configuración de color primario y secundario que se aplican automáticamente en la interfaz del cliente.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Logotipos Corporativos: </w:t>
      </w:r>
      <w:r>
        <w:rPr>
          <w:color w:val="1F2937"/>
        </w:rPr>
        <w:t>Carga y almacenamiento de logotipos personalizados por sucursal.</w:t>
      </w:r>
    </w:p>
    <w:p>
      <w:pPr>
        <w:keepNext/>
        <w:spacing w:before="240" w:after="80"/>
      </w:pPr>
      <w:r>
        <w:rPr>
          <w:b/>
          <w:color w:val="2563EB"/>
          <w:sz w:val="25"/>
        </w:rPr>
        <w:t>6.2. Módulo de Gestión de Tickets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Numeración Secuencial por Agencia: </w:t>
      </w:r>
      <w:r>
        <w:rPr>
          <w:color w:val="1F2937"/>
        </w:rPr>
        <w:t>Folios correlativos calculados por sucursal (ej. Ticket #1, #2 de Suzuki).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Estados del Ticket: </w:t>
      </w:r>
      <w:r>
        <w:rPr>
          <w:color w:val="1F2937"/>
        </w:rPr>
        <w:t>Abierto ➔ En Proceso ➔ Resuelto ➔ Cerrado.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Chat en Vivo y Notas Internas: </w:t>
      </w:r>
      <w:r>
        <w:rPr>
          <w:color w:val="1F2937"/>
        </w:rPr>
        <w:t>Consola interactiva con soporte para mensajes públicos al cliente y notas internas ocultas para coordinación técnica.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Adjuntos y Evaluaciones: </w:t>
      </w:r>
      <w:r>
        <w:rPr>
          <w:color w:val="1F2937"/>
        </w:rPr>
        <w:t>Carga de evidencias (PDF/imágenes) y encuesta obligatoria de 1 a 5 estrellas al concluir.</w:t>
      </w:r>
    </w:p>
    <w:p>
      <w:pPr>
        <w:keepNext/>
        <w:spacing w:before="240" w:after="80"/>
      </w:pPr>
      <w:r>
        <w:rPr>
          <w:b/>
          <w:color w:val="2563EB"/>
          <w:sz w:val="25"/>
        </w:rPr>
        <w:t>6.3. Notificaciones en Tiempo Real (SSE)</w:t>
      </w:r>
    </w:p>
    <w:p>
      <w:pPr>
        <w:spacing w:after="120"/>
      </w:pPr>
      <w:r>
        <w:t>Motor SSE (Server-Sent Events) en la ruta `/api/notificaciones/stream/:usuario_id` que emite eventos instantáneos en pantalla sin sobrecargar el servidor con sondeo periódico.</w:t>
      </w:r>
    </w:p>
    <w:p>
      <w:pPr>
        <w:keepNext/>
        <w:spacing w:before="240" w:after="80"/>
      </w:pPr>
      <w:r>
        <w:rPr>
          <w:b/>
          <w:color w:val="2563EB"/>
          <w:sz w:val="25"/>
        </w:rPr>
        <w:t>6.4. Control de Licenciamiento y Bloqueos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Monitoreo de Vigencia: </w:t>
      </w:r>
      <w:r>
        <w:rPr>
          <w:color w:val="1F2937"/>
        </w:rPr>
        <w:t>Indicador visual tipo semáforo (Activa, Pronto a Vencer, Expirada).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Suspensión Inmediata: </w:t>
      </w:r>
      <w:r>
        <w:rPr>
          <w:color w:val="1F2937"/>
        </w:rPr>
        <w:t>Bloqueo de acceso automático para sucursales con contratos vencidos.</w:t>
      </w:r>
    </w:p>
    <w:p>
      <w:pPr>
        <w:keepNext/>
        <w:spacing w:before="240" w:after="80"/>
      </w:pPr>
      <w:r>
        <w:rPr>
          <w:b/>
          <w:color w:val="2563EB"/>
          <w:sz w:val="25"/>
        </w:rPr>
        <w:t>6.5. Integración con Portal Jurídico</w:t>
      </w:r>
    </w:p>
    <w:p>
      <w:pPr>
        <w:spacing w:after="120"/>
      </w:pPr>
      <w:r>
        <w:t>Servidor virtual Nginx secundario bajo la ruta `/juridico` y dominio `juridico_gh.mooo.com` para solicitudes de Alta Dirección.</w:t>
      </w:r>
    </w:p>
    <w:p>
      <w:pPr>
        <w:keepNext/>
        <w:spacing w:before="320" w:after="120"/>
        <w:pBdr>
          <w:bottom w:val="single" w:sz="6" w:space="1" w:color="1E3A8A"/>
        </w:pBdr>
      </w:pPr>
      <w:r>
        <w:rPr>
          <w:b/>
          <w:color w:val="1E3A8A"/>
          <w:sz w:val="30"/>
        </w:rPr>
        <w:t>7. SEGURIDAD Y DESPLIEGUE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Autenticación JWT: </w:t>
      </w:r>
      <w:r>
        <w:rPr>
          <w:color w:val="1F2937"/>
        </w:rPr>
        <w:t>Tokens de acceso con firmas criptográficas de expiración controlada.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Cifrado de Contraseñas: </w:t>
      </w:r>
      <w:r>
        <w:rPr>
          <w:color w:val="1F2937"/>
        </w:rPr>
        <w:t>Hashing seguro Bcrypt para almacenamiento de contraseñas.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Cabeceras HTTP Seguras (Helmet): </w:t>
      </w:r>
      <w:r>
        <w:rPr>
          <w:color w:val="1F2937"/>
        </w:rPr>
        <w:t>Mitigación de riesgos XSS, Clickjacking y vulnerabilidades MIME.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Protección Anti-DDoS: </w:t>
      </w:r>
      <w:r>
        <w:rPr>
          <w:color w:val="1F2937"/>
        </w:rPr>
        <w:t>Límite de 1,000 solicitudes por cada 15 minutos por IP.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Cifrado de Red (SSL/TLS): </w:t>
      </w:r>
      <w:r>
        <w:rPr>
          <w:color w:val="1F2937"/>
        </w:rPr>
        <w:t>Configuración HTTPS nativa mediante Nginx y certificados `.pem`.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