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gureWithCaption"/>
      </w:pPr>
      <w:r>
        <w:drawing>
          <wp:inline>
            <wp:extent cx="5334000" cy="1514654"/>
            <wp:effectExtent b="0" l="0" r="0" t="0"/>
            <wp:docPr descr="Logo da Orange Talents" title="" id="1" name="Picture"/>
            <a:graphic>
              <a:graphicData uri="http://schemas.openxmlformats.org/drawingml/2006/picture">
                <pic:pic>
                  <pic:nvPicPr>
                    <pic:cNvPr descr="resources/Orange-Talents-preto-brilhoesombr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4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Logo da Orange Talents</w:t>
      </w:r>
    </w:p>
    <w:p>
      <w:pPr>
        <w:pStyle w:val="Heading1"/>
      </w:pPr>
      <w:bookmarkStart w:id="22" w:name="mapeando-queries-explicitamente-no-micronaut-data"/>
      <w:bookmarkEnd w:id="22"/>
      <w:r>
        <w:t xml:space="preserve">Mapeando queries explicitamente no Micronaut Data</w:t>
      </w:r>
    </w:p>
    <w:p>
      <w:pPr>
        <w:pStyle w:val="Heading2"/>
      </w:pPr>
      <w:bookmarkStart w:id="23" w:name="antes-de-começar"/>
      <w:bookmarkEnd w:id="23"/>
      <w:r>
        <w:t xml:space="preserve">Antes de começar</w:t>
      </w:r>
    </w:p>
    <w:p>
      <w:pPr>
        <w:pStyle w:val="FirstParagraph"/>
      </w:pPr>
      <w:r>
        <w:t xml:space="preserve">Para complementar o curso, recomendamos estudar a documentação oficial do Micronaut sobre</w:t>
      </w:r>
      <w:r>
        <w:t xml:space="preserve"> </w:t>
      </w:r>
      <w:hyperlink r:id="rId24">
        <w:r>
          <w:rPr>
            <w:rStyle w:val="Hyperlink"/>
          </w:rPr>
          <w:t xml:space="preserve">Writing Queries</w:t>
        </w:r>
      </w:hyperlink>
      <w:r>
        <w:t xml:space="preserve"> </w:t>
      </w:r>
      <w:r>
        <w:t xml:space="preserve">caso você não tenho estudado ainda. Nela é possível ter uma idéia mais clara do poder e das possibilidades oferecidas pelo framework.</w:t>
      </w:r>
    </w:p>
    <w:p>
      <w:pPr>
        <w:pStyle w:val="BodyText"/>
      </w:pPr>
      <w:r>
        <w:t xml:space="preserve">Além disso, sentir-se confortável com JPA e Hibernate será de grande ajuda ao trabalhar com persistência no Micronaut. Não à toa os conhecimentos adquiridos no curso da ALURA de</w:t>
      </w:r>
      <w:r>
        <w:t xml:space="preserve"> </w:t>
      </w:r>
      <w:hyperlink r:id="rId25">
        <w:r>
          <w:rPr>
            <w:rStyle w:val="Hyperlink"/>
          </w:rPr>
          <w:t xml:space="preserve">Persistência com JPA: Introdução ao Hibernate</w:t>
        </w:r>
      </w:hyperlink>
      <w:r>
        <w:t xml:space="preserve"> </w:t>
      </w:r>
      <w:r>
        <w:t xml:space="preserve">podem ser úteis em problemas semelhantes a este.</w:t>
      </w:r>
    </w:p>
    <w:p>
      <w:pPr>
        <w:pStyle w:val="Heading2"/>
      </w:pPr>
      <w:bookmarkStart w:id="26" w:name="cenário"/>
      <w:bookmarkEnd w:id="26"/>
      <w:r>
        <w:t xml:space="preserve">Cenário:</w:t>
      </w:r>
    </w:p>
    <w:p>
      <w:pPr>
        <w:pStyle w:val="FirstParagraph"/>
      </w:pPr>
      <w:r>
        <w:t xml:space="preserve">Imagine que temos como primeira tarefa em um novo time (squad) escrever uma consulta para um relatório especifico no sistema. Por se tratar de um projeto com Micronaut, banco relacional e JPA/Hibernate, nosso tech lead nos contextualizou com as seguintes entidades da JPA utilizadas atualmente no nosso modelo de domínio e com o repository de notas fiscais:</w:t>
      </w:r>
    </w:p>
    <w:p>
      <w:pPr>
        <w:pStyle w:val="SourceCode"/>
      </w:pPr>
      <w:r>
        <w:rPr>
          <w:rStyle w:val="AttributeTok"/>
        </w:rPr>
        <w:t xml:space="preserve">@Repository</w:t>
      </w:r>
      <w:r>
        <w:br w:type="textWrapping"/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NotaFiscalRepository : </w:t>
      </w:r>
      <w:r>
        <w:rPr>
          <w:rStyle w:val="DataTypeTok"/>
        </w:rPr>
        <w:t xml:space="preserve">JpaRepository</w:t>
      </w:r>
      <w:r>
        <w:rPr>
          <w:rStyle w:val="NormalTok"/>
        </w:rPr>
        <w:t xml:space="preserve">&lt;</w:t>
      </w:r>
      <w:r>
        <w:rPr>
          <w:rStyle w:val="DataTypeTok"/>
        </w:rPr>
        <w:t xml:space="preserve">NotaFiscal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&gt; {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outros métodos implementados pelo time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AttributeTok"/>
        </w:rPr>
        <w:t xml:space="preserve">@Entity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NotaFiscal(</w:t>
      </w:r>
      <w:r>
        <w:br w:type="textWrapping"/>
      </w:r>
      <w:r>
        <w:rPr>
          <w:rStyle w:val="NormalTok"/>
        </w:rPr>
        <w:t xml:space="preserve">    @</w:t>
      </w:r>
      <w:r>
        <w:rPr>
          <w:rStyle w:val="VariableTok"/>
        </w:rPr>
        <w:t xml:space="preserve">Id</w:t>
      </w:r>
      <w:r>
        <w:br w:type="textWrapping"/>
      </w:r>
      <w:r>
        <w:rPr>
          <w:rStyle w:val="NormalTok"/>
        </w:rPr>
        <w:t xml:space="preserve">    @</w:t>
      </w:r>
      <w:r>
        <w:rPr>
          <w:rStyle w:val="VariableTok"/>
        </w:rPr>
        <w:t xml:space="preserve">GeneratedValue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id</w:t>
      </w:r>
      <w:r>
        <w:rPr>
          <w:rStyle w:val="NormalTok"/>
        </w:rPr>
        <w:t xml:space="preserve">: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numero</w:t>
      </w:r>
      <w:r>
        <w:rPr>
          <w:rStyle w:val="NormalTok"/>
        </w:rPr>
        <w:t xml:space="preserve">: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serie</w:t>
      </w:r>
      <w:r>
        <w:rPr>
          <w:rStyle w:val="NormalTok"/>
        </w:rPr>
        <w:t xml:space="preserve">: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</w:t>
      </w:r>
      <w:r>
        <w:rPr>
          <w:rStyle w:val="NormalTok"/>
        </w:rPr>
        <w:t xml:space="preserve">: </w:t>
      </w:r>
      <w:r>
        <w:rPr>
          <w:rStyle w:val="DataTypeTok"/>
        </w:rPr>
        <w:t xml:space="preserve">LocalDate</w:t>
      </w:r>
      <w:r>
        <w:br w:type="textWrapping"/>
      </w:r>
      <w:r>
        <w:rPr>
          <w:rStyle w:val="NormalTok"/>
        </w:rPr>
        <w:t xml:space="preserve">    @</w:t>
      </w:r>
      <w:r>
        <w:rPr>
          <w:rStyle w:val="VariableTok"/>
        </w:rPr>
        <w:t xml:space="preserve">OneToMany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fetch</w:t>
      </w:r>
      <w:r>
        <w:rPr>
          <w:rStyle w:val="NormalTok"/>
        </w:rPr>
        <w:t xml:space="preserve"> = FetchType.LAZY)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val</w:t>
      </w:r>
      <w:r>
        <w:rPr>
          <w:rStyle w:val="NormalTok"/>
        </w:rPr>
        <w:t xml:space="preserve"> itens: </w:t>
      </w:r>
      <w:r>
        <w:rPr>
          <w:rStyle w:val="DataTypeTok"/>
        </w:rPr>
        <w:t xml:space="preserve">List</w:t>
      </w:r>
      <w:r>
        <w:rPr>
          <w:rStyle w:val="NormalTok"/>
        </w:rPr>
        <w:t xml:space="preserve">&lt;</w:t>
      </w:r>
      <w:r>
        <w:rPr>
          <w:rStyle w:val="DataTypeTok"/>
        </w:rPr>
        <w:t xml:space="preserve">ItemDeNota</w:t>
      </w:r>
      <w:r>
        <w:rPr>
          <w:rStyle w:val="NormalTok"/>
        </w:rPr>
        <w:t xml:space="preserve">&gt;,</w:t>
      </w:r>
      <w:r>
        <w:br w:type="textWrapping"/>
      </w:r>
      <w:r>
        <w:rPr>
          <w:rStyle w:val="NormalTok"/>
        </w:rPr>
        <w:t xml:space="preserve">    // </w:t>
      </w:r>
      <w:r>
        <w:rPr>
          <w:rStyle w:val="DataTypeTok"/>
        </w:rPr>
        <w:t xml:space="preserve">outros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atributos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@</w:t>
      </w:r>
      <w:r>
        <w:rPr>
          <w:rStyle w:val="DataTypeTok"/>
        </w:rPr>
        <w:t xml:space="preserve">Entity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ItemDeNota(</w:t>
      </w:r>
      <w:r>
        <w:br w:type="textWrapping"/>
      </w:r>
      <w:r>
        <w:rPr>
          <w:rStyle w:val="NormalTok"/>
        </w:rPr>
        <w:t xml:space="preserve">    @</w:t>
      </w:r>
      <w:r>
        <w:rPr>
          <w:rStyle w:val="VariableTok"/>
        </w:rPr>
        <w:t xml:space="preserve">Id</w:t>
      </w:r>
      <w:r>
        <w:br w:type="textWrapping"/>
      </w:r>
      <w:r>
        <w:rPr>
          <w:rStyle w:val="NormalTok"/>
        </w:rPr>
        <w:t xml:space="preserve">    @</w:t>
      </w:r>
      <w:r>
        <w:rPr>
          <w:rStyle w:val="VariableTok"/>
        </w:rPr>
        <w:t xml:space="preserve">GeneratedValue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id</w:t>
      </w:r>
      <w:r>
        <w:rPr>
          <w:rStyle w:val="NormalTok"/>
        </w:rPr>
        <w:t xml:space="preserve">: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valor</w:t>
      </w:r>
      <w:r>
        <w:rPr>
          <w:rStyle w:val="NormalTok"/>
        </w:rPr>
        <w:t xml:space="preserve">: </w:t>
      </w:r>
      <w:r>
        <w:rPr>
          <w:rStyle w:val="DataTypeTok"/>
        </w:rPr>
        <w:t xml:space="preserve">BigDecimal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quantidade</w:t>
      </w:r>
      <w:r>
        <w:rPr>
          <w:rStyle w:val="NormalTok"/>
        </w:rPr>
        <w:t xml:space="preserve">: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// </w:t>
      </w:r>
      <w:r>
        <w:rPr>
          <w:rStyle w:val="VariableTok"/>
        </w:rPr>
        <w:t xml:space="preserve">outro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atributos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 idéia do relatório é bem simples, basicamente temos que carregar uma nota fiscal por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com todos seus itens para então exibir no aplicativo mobile do nosso usuário. Nesse caso, precisamos de fato de todos os campos da nota fiscal e dos itens, porém tem um ponto de atenção importante que o tech lead nos alertou: por se tratar de um sistema com uma volumetria de dados razoável e milhares de usuários ao redor do país, é importante que nossa consulta carregue todos os dados numa única ida e volta (roundtrip) ao banco de dados, dessa forma os itens devem ser carregados juntamente com nota fiscal consultada em um único comando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.</w:t>
      </w:r>
    </w:p>
    <w:p>
      <w:pPr>
        <w:pStyle w:val="BodyText"/>
      </w:pPr>
      <w:r>
        <w:t xml:space="preserve">Como você faria para implementar uma consulta para carregar uma nota fiscal por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com todos seu itens utilizando o repository do Micronaut já existente no projeto?</w:t>
      </w:r>
    </w:p>
    <w:p>
      <w:pPr>
        <w:pStyle w:val="Heading2"/>
      </w:pPr>
      <w:bookmarkStart w:id="27" w:name="o-que-seria-bom-ver-nessa-resposta"/>
      <w:bookmarkEnd w:id="27"/>
      <w:r>
        <w:t xml:space="preserve">O que seria bom ver nessa resposta?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Peso 5</w:t>
      </w:r>
      <w:r>
        <w:t xml:space="preserve">: Criar um método no repository com uma query explicita passando o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como parâmetro. Aqui tanto faz a query ser escrita em JPQL ou SQL nativo, o importante é que seja via uma das anotações suportadas pelo Micronaut:</w:t>
      </w:r>
      <w:r>
        <w:t xml:space="preserve"> </w:t>
      </w:r>
      <w:r>
        <w:rPr>
          <w:rStyle w:val="VerbatimChar"/>
        </w:rPr>
        <w:t xml:space="preserve">@Query</w:t>
      </w:r>
      <w:r>
        <w:t xml:space="preserve">,</w:t>
      </w:r>
      <w:r>
        <w:t xml:space="preserve"> </w:t>
      </w:r>
      <w:r>
        <w:rPr>
          <w:rStyle w:val="VerbatimChar"/>
        </w:rPr>
        <w:t xml:space="preserve">@Join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@EntityGraph</w:t>
      </w:r>
      <w:r>
        <w:t xml:space="preserve">;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Peso 4</w:t>
      </w:r>
      <w:r>
        <w:t xml:space="preserve">: Garantir que somente uma única query seja disparada pelo Micronaut carregando os dados da nota fiscal juntamente com os dados dos seus itens;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Peso 1</w:t>
      </w:r>
      <w:r>
        <w:t xml:space="preserve">: Apresentar algum domínio de JPQL, por exemplo utilizando o recurso</w:t>
      </w:r>
      <w:r>
        <w:t xml:space="preserve"> </w:t>
      </w:r>
      <w:r>
        <w:rPr>
          <w:rStyle w:val="VerbatimChar"/>
        </w:rPr>
        <w:t xml:space="preserve">join fetch</w:t>
      </w:r>
      <w:r>
        <w:t xml:space="preserve"> </w:t>
      </w:r>
      <w:r>
        <w:t xml:space="preserve">da JPA;</w:t>
      </w:r>
    </w:p>
    <w:p>
      <w:pPr>
        <w:pStyle w:val="Heading2"/>
      </w:pPr>
      <w:bookmarkStart w:id="28" w:name="o-que-penaliza-sua-resposta"/>
      <w:bookmarkEnd w:id="28"/>
      <w:r>
        <w:t xml:space="preserve">O que penaliza sua resposta?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Penalidade -5</w:t>
      </w:r>
      <w:r>
        <w:t xml:space="preserve">: Alterar o mapeamento do relacionamento entre nota e itens para</w:t>
      </w:r>
      <w:r>
        <w:t xml:space="preserve"> </w:t>
      </w:r>
      <w:r>
        <w:rPr>
          <w:rStyle w:val="VerbatimChar"/>
        </w:rPr>
        <w:t xml:space="preserve">FetchType.EAGER</w:t>
      </w:r>
      <w:r>
        <w:t xml:space="preserve">;</w:t>
      </w:r>
    </w:p>
    <w:p>
      <w:pPr>
        <w:pStyle w:val="Heading2"/>
      </w:pPr>
      <w:bookmarkStart w:id="29" w:name="resposta-do-especialista"/>
      <w:bookmarkEnd w:id="29"/>
      <w:r>
        <w:t xml:space="preserve">Resposta do Especialista:</w:t>
      </w:r>
    </w:p>
    <w:p>
      <w:pPr>
        <w:numPr>
          <w:numId w:val="1003"/>
          <w:ilvl w:val="0"/>
        </w:numPr>
      </w:pPr>
      <w:r>
        <w:t xml:space="preserve">Crio um novo método na interface do repository e o anoto com a anotação</w:t>
      </w:r>
      <w:r>
        <w:t xml:space="preserve"> </w:t>
      </w:r>
      <w:r>
        <w:rPr>
          <w:rStyle w:val="VerbatimChar"/>
        </w:rPr>
        <w:t xml:space="preserve">@Query</w:t>
      </w:r>
      <w:r>
        <w:t xml:space="preserve"> </w:t>
      </w:r>
      <w:r>
        <w:t xml:space="preserve">do Micronaut para que eu consiga escrever uma query JPQL customizada de tal forma que carregue a nota fiscal com seus itens: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    </w:t>
      </w:r>
      <w:r>
        <w:rPr>
          <w:rStyle w:val="AttributeTok"/>
        </w:rPr>
        <w:t xml:space="preserve">@Query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 n from NotaFiscal n where n.id = :id"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fun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findByIdWithItens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id</w:t>
      </w:r>
      <w:r>
        <w:rPr>
          <w:rStyle w:val="NormalTok"/>
        </w:rPr>
        <w:t xml:space="preserve">: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): </w:t>
      </w:r>
      <w:r>
        <w:rPr>
          <w:rStyle w:val="DataTypeTok"/>
        </w:rPr>
        <w:t xml:space="preserve">NotaFiscal</w:t>
      </w:r>
    </w:p>
    <w:p>
      <w:pPr>
        <w:numPr>
          <w:numId w:val="1003"/>
          <w:ilvl w:val="0"/>
        </w:numPr>
      </w:pPr>
      <w:r>
        <w:t xml:space="preserve">Testo o método verificando o SQL gerado pelo Micronaut no console da IDE (assumo que a configuração</w:t>
      </w:r>
      <w:r>
        <w:t xml:space="preserve"> </w:t>
      </w:r>
      <w:r>
        <w:rPr>
          <w:rStyle w:val="VerbatimChar"/>
        </w:rPr>
        <w:t xml:space="preserve">show_sql</w:t>
      </w:r>
      <w:r>
        <w:t xml:space="preserve"> </w:t>
      </w:r>
      <w:r>
        <w:t xml:space="preserve">do Hibernate está habilitada). Se houver problemas de sintaxe eu vou corrigindo. Eu aproveito para constatar que somente uma única query foi disparada para o banco de dados para carregar a nota fiscal por</w:t>
      </w:r>
      <w:r>
        <w:t xml:space="preserve"> </w:t>
      </w:r>
      <w:r>
        <w:rPr>
          <w:rStyle w:val="VerbatimChar"/>
        </w:rPr>
        <w:t xml:space="preserve">id</w:t>
      </w:r>
      <w:r>
        <w:t xml:space="preserve">, afinal temos um relacionamento</w:t>
      </w:r>
      <w:r>
        <w:t xml:space="preserve"> </w:t>
      </w:r>
      <w:r>
        <w:rPr>
          <w:rStyle w:val="VerbatimChar"/>
        </w:rPr>
        <w:t xml:space="preserve">LAZY</w:t>
      </w:r>
      <w:r>
        <w:t xml:space="preserve"> </w:t>
      </w:r>
      <w:r>
        <w:t xml:space="preserve">entre a nota e seus itens (a segunda query para carregar os itens aconteceria apenas ao invocar a property</w:t>
      </w:r>
      <w:r>
        <w:t xml:space="preserve"> </w:t>
      </w:r>
      <w:r>
        <w:rPr>
          <w:rStyle w:val="VerbatimChar"/>
        </w:rPr>
        <w:t xml:space="preserve">itens</w:t>
      </w:r>
      <w:r>
        <w:t xml:space="preserve"> </w:t>
      </w:r>
      <w:r>
        <w:t xml:space="preserve">da entidade no momento de gerar o relatório);</w:t>
      </w:r>
    </w:p>
    <w:p>
      <w:pPr>
        <w:numPr>
          <w:numId w:val="1003"/>
          <w:ilvl w:val="0"/>
        </w:numPr>
      </w:pPr>
      <w:r>
        <w:t xml:space="preserve">Com a JPQL funcionando, agora</w:t>
      </w:r>
      <w:r>
        <w:t xml:space="preserve"> </w:t>
      </w:r>
      <w:r>
        <w:rPr>
          <w:b/>
        </w:rPr>
        <w:t xml:space="preserve">eu preciso alterá-la para garantir que tanto a nota quanto seus itens sejam carregados com apenas uma única query</w:t>
      </w:r>
      <w:r>
        <w:t xml:space="preserve">. Para isso eu utilizo o recurso</w:t>
      </w:r>
      <w:r>
        <w:t xml:space="preserve"> </w:t>
      </w:r>
      <w:r>
        <w:rPr>
          <w:rStyle w:val="VerbatimChar"/>
        </w:rPr>
        <w:t xml:space="preserve">join fetch</w:t>
      </w:r>
      <w:r>
        <w:t xml:space="preserve"> </w:t>
      </w:r>
      <w:r>
        <w:t xml:space="preserve">da JPA que faz com que um relacionamento</w:t>
      </w:r>
      <w:r>
        <w:t xml:space="preserve"> </w:t>
      </w:r>
      <w:r>
        <w:rPr>
          <w:rStyle w:val="VerbatimChar"/>
        </w:rPr>
        <w:t xml:space="preserve">LAZY</w:t>
      </w:r>
      <w:r>
        <w:t xml:space="preserve"> </w:t>
      </w:r>
      <w:r>
        <w:t xml:space="preserve">se comporte como</w:t>
      </w:r>
      <w:r>
        <w:t xml:space="preserve"> </w:t>
      </w:r>
      <w:r>
        <w:rPr>
          <w:rStyle w:val="VerbatimChar"/>
        </w:rPr>
        <w:t xml:space="preserve">EAGER</w:t>
      </w:r>
      <w:r>
        <w:t xml:space="preserve">, ou seja, que as entidades filhas sejam carregadas juntamente com a entidade pai. No final, a anotação</w:t>
      </w:r>
      <w:r>
        <w:t xml:space="preserve"> </w:t>
      </w:r>
      <w:r>
        <w:rPr>
          <w:rStyle w:val="VerbatimChar"/>
        </w:rPr>
        <w:t xml:space="preserve">@Query</w:t>
      </w:r>
      <w:r>
        <w:t xml:space="preserve"> </w:t>
      </w:r>
      <w:r>
        <w:t xml:space="preserve">teria uma query parecida com essa: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n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NotaFiscal n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fetch n.itens </w:t>
      </w:r>
      <w:r>
        <w:rPr>
          <w:rStyle w:val="CommentTok"/>
        </w:rPr>
        <w:t xml:space="preserve">-- aqui vai o join fetch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n.id = </w:t>
      </w:r>
      <w:r>
        <w:rPr>
          <w:rStyle w:val="CharTok"/>
        </w:rPr>
        <w:t xml:space="preserve">:id</w:t>
      </w:r>
    </w:p>
    <w:p>
      <w:pPr>
        <w:numPr>
          <w:numId w:val="1003"/>
          <w:ilvl w:val="0"/>
        </w:numPr>
      </w:pPr>
      <w:r>
        <w:t xml:space="preserve">Por fim, testo a consulta verificando se o Micronaut gerou um único comando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mas dessa vez com um</w:t>
      </w:r>
      <w:r>
        <w:t xml:space="preserve"> </w:t>
      </w:r>
      <w:r>
        <w:rPr>
          <w:rStyle w:val="VerbatimChar"/>
        </w:rPr>
        <w:t xml:space="preserve">INNER JOIN</w:t>
      </w:r>
      <w:r>
        <w:t xml:space="preserve"> </w:t>
      </w:r>
      <w:r>
        <w:t xml:space="preserve">explicito entre as tabelas de nota fiscal e de itens carregando os dados de ambas as entidades;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27af6e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a50fcd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hyperlink" Id="rId24" Target="https://micronaut-projects.github.io/micronaut-data/latest/guide/#querying" TargetMode="External" /><Relationship Type="http://schemas.openxmlformats.org/officeDocument/2006/relationships/hyperlink" Id="rId25" Target="https://www.alura.com.br/curso-online-persistencia-jpa-introducao-hibernat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micronaut-projects.github.io/micronaut-data/latest/guide/#querying" TargetMode="External" /><Relationship Type="http://schemas.openxmlformats.org/officeDocument/2006/relationships/hyperlink" Id="rId25" Target="https://www.alura.com.br/curso-online-persistencia-jpa-introducao-hiberna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2021-07-23T13:27:14Z</dcterms:created>
  <dcterms:modified xsi:type="dcterms:W3CDTF">2021-07-23T13:27:14Z</dcterms:modified>
</cp:coreProperties>
</file>