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0875C8AF">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782E822C" w14:textId="33869C7F" w:rsidR="00C013A0" w:rsidRPr="00C013A0" w:rsidRDefault="008F5A61" w:rsidP="008F5A61">
      <w:pPr>
        <w:widowControl w:val="0"/>
        <w:spacing w:after="0" w:line="240" w:lineRule="auto"/>
        <w:jc w:val="center"/>
        <w:rPr>
          <w:rFonts w:eastAsia="Arial" w:cs="Arial"/>
          <w:kern w:val="0"/>
          <w:sz w:val="22"/>
          <w:lang w:val="en-US"/>
          <w14:ligatures w14:val="none"/>
        </w:rPr>
      </w:pPr>
      <w:r w:rsidRPr="008F5A61">
        <w:rPr>
          <w:rFonts w:eastAsia="Arial" w:cs="Arial"/>
          <w:b/>
          <w:bCs/>
          <w:kern w:val="0"/>
          <w:sz w:val="22"/>
          <w14:ligatures w14:val="none"/>
        </w:rPr>
        <w:t xml:space="preserve"> </w:t>
      </w:r>
      <w:r w:rsidR="009138AE">
        <w:rPr>
          <w:rFonts w:eastAsia="Arial" w:cs="Arial"/>
          <w:b/>
          <w:bCs/>
          <w:kern w:val="0"/>
          <w:sz w:val="22"/>
          <w14:ligatures w14:val="none"/>
        </w:rPr>
        <w:t>GESTION DE PROYECTOS DE TI</w:t>
      </w: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032E4461" w14:textId="62FEEE2A" w:rsidR="008F5A61" w:rsidRDefault="0026731B" w:rsidP="008F5A61">
      <w:pPr>
        <w:pStyle w:val="Default"/>
        <w:jc w:val="center"/>
        <w:rPr>
          <w:sz w:val="18"/>
          <w:szCs w:val="18"/>
        </w:rPr>
      </w:pPr>
      <w:r w:rsidRPr="0026731B">
        <w:rPr>
          <w:rFonts w:eastAsia="Arial"/>
          <w:b/>
          <w:bCs/>
          <w14:ligatures w14:val="none"/>
        </w:rPr>
        <w:t>ACTIV</w:t>
      </w:r>
      <w:r w:rsidR="008F5A61" w:rsidRPr="0026731B">
        <w:rPr>
          <w:rFonts w:eastAsia="Arial"/>
          <w:b/>
          <w:bCs/>
          <w14:ligatures w14:val="none"/>
        </w:rPr>
        <w:t xml:space="preserve">IDAD </w:t>
      </w:r>
      <w:r w:rsidR="003E1715">
        <w:rPr>
          <w:rFonts w:eastAsia="Arial"/>
          <w:b/>
          <w:bCs/>
          <w14:ligatures w14:val="none"/>
        </w:rPr>
        <w:t>4</w:t>
      </w:r>
      <w:r w:rsidR="008F5A61" w:rsidRPr="0026731B">
        <w:rPr>
          <w:rFonts w:eastAsia="Arial"/>
          <w:b/>
          <w:bCs/>
          <w14:ligatures w14:val="none"/>
        </w:rPr>
        <w:t>.1 -</w:t>
      </w:r>
      <w:r w:rsidR="0024481D">
        <w:rPr>
          <w:rFonts w:eastAsia="Arial"/>
          <w:b/>
          <w:bCs/>
          <w14:ligatures w14:val="none"/>
        </w:rPr>
        <w:t>ENSAYO</w:t>
      </w:r>
      <w:r w:rsidR="008F5A61">
        <w:rPr>
          <w:sz w:val="18"/>
          <w:szCs w:val="18"/>
        </w:rPr>
        <w:t xml:space="preserve"> </w:t>
      </w: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5763ED">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5763ED">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04613F60" w:rsidR="00C013A0" w:rsidRPr="00C56E98" w:rsidRDefault="0030295F" w:rsidP="005763ED">
            <w:pPr>
              <w:widowControl w:val="0"/>
              <w:jc w:val="center"/>
              <w:rPr>
                <w:rFonts w:eastAsia="Arial" w:cs="Arial"/>
                <w:b/>
                <w:bCs/>
                <w:kern w:val="0"/>
                <w:szCs w:val="24"/>
                <w:lang w:val="en-US"/>
                <w14:ligatures w14:val="none"/>
              </w:rPr>
            </w:pPr>
            <w:r w:rsidRPr="0030295F">
              <w:rPr>
                <w:rFonts w:eastAsia="Arial" w:cs="Arial"/>
                <w:b/>
                <w:bCs/>
                <w:kern w:val="0"/>
                <w:szCs w:val="24"/>
                <w14:ligatures w14:val="none"/>
              </w:rPr>
              <w:t>SÉPTIMO</w:t>
            </w:r>
          </w:p>
        </w:tc>
      </w:tr>
      <w:tr w:rsidR="00C013A0" w:rsidRPr="000B6AE5" w14:paraId="6896B23D" w14:textId="77777777" w:rsidTr="005763ED">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5763ED">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5763ED">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5763ED">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5763ED">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5763ED">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4F2874D2" w:rsidR="00C013A0" w:rsidRPr="00C013A0" w:rsidRDefault="00083746"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1</w:t>
      </w:r>
      <w:r w:rsidR="00AE0FF0">
        <w:rPr>
          <w:rFonts w:eastAsia="Times New Roman" w:cs="Arial"/>
          <w:b/>
          <w:bCs/>
          <w:color w:val="8EAADB" w:themeColor="accent1" w:themeTint="99"/>
          <w:kern w:val="0"/>
          <w:szCs w:val="24"/>
          <w:lang w:eastAsia="es-MX"/>
          <w14:ligatures w14:val="none"/>
        </w:rPr>
        <w:t xml:space="preserve">2 DE </w:t>
      </w:r>
      <w:r w:rsidR="00E65F6C">
        <w:rPr>
          <w:rFonts w:eastAsia="Times New Roman" w:cs="Arial"/>
          <w:b/>
          <w:bCs/>
          <w:color w:val="8EAADB" w:themeColor="accent1" w:themeTint="99"/>
          <w:kern w:val="0"/>
          <w:szCs w:val="24"/>
          <w:lang w:eastAsia="es-MX"/>
          <w14:ligatures w14:val="none"/>
        </w:rPr>
        <w:t>SEPTIEMBRE</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b/>
          <w:bCs w:val="0"/>
          <w:color w:val="auto"/>
          <w:kern w:val="2"/>
          <w:sz w:val="22"/>
          <w:szCs w:val="22"/>
          <w:lang w:val="es-ES" w:eastAsia="en-US"/>
          <w14:ligatures w14:val="standardContextual"/>
        </w:rPr>
        <w:id w:val="-795139561"/>
        <w:docPartObj>
          <w:docPartGallery w:val="Table of Contents"/>
          <w:docPartUnique/>
        </w:docPartObj>
      </w:sdtPr>
      <w:sdtEndPr>
        <w:rPr>
          <w:rFonts w:ascii="Arial" w:hAnsi="Arial"/>
          <w:b w:val="0"/>
          <w:sz w:val="24"/>
        </w:rPr>
      </w:sdtEndPr>
      <w:sdtContent>
        <w:p w14:paraId="0A5A9DEF" w14:textId="77777777" w:rsidR="008C0AB1" w:rsidRPr="002B301E" w:rsidRDefault="008C0AB1" w:rsidP="0024481D">
          <w:pPr>
            <w:pStyle w:val="TtuloTDC"/>
          </w:pPr>
          <w:r w:rsidRPr="002B301E">
            <w:rPr>
              <w:lang w:val="es-ES"/>
            </w:rPr>
            <w:t>Contenido</w:t>
          </w:r>
        </w:p>
        <w:p w14:paraId="66037058" w14:textId="6092BCBD" w:rsidR="00E65F6C"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40467907" w:history="1">
            <w:r w:rsidR="00E65F6C" w:rsidRPr="005E34BD">
              <w:rPr>
                <w:rStyle w:val="Hipervnculo"/>
              </w:rPr>
              <w:t>Introducción</w:t>
            </w:r>
            <w:r w:rsidR="00E65F6C">
              <w:rPr>
                <w:webHidden/>
              </w:rPr>
              <w:tab/>
            </w:r>
            <w:r w:rsidR="00E65F6C">
              <w:rPr>
                <w:webHidden/>
              </w:rPr>
              <w:fldChar w:fldCharType="begin"/>
            </w:r>
            <w:r w:rsidR="00E65F6C">
              <w:rPr>
                <w:webHidden/>
              </w:rPr>
              <w:instrText xml:space="preserve"> PAGEREF _Toc240467907 \h </w:instrText>
            </w:r>
            <w:r w:rsidR="00E65F6C">
              <w:rPr>
                <w:webHidden/>
              </w:rPr>
            </w:r>
            <w:r w:rsidR="00E65F6C">
              <w:rPr>
                <w:webHidden/>
              </w:rPr>
              <w:fldChar w:fldCharType="separate"/>
            </w:r>
            <w:r w:rsidR="00E65F6C">
              <w:rPr>
                <w:webHidden/>
              </w:rPr>
              <w:t>3</w:t>
            </w:r>
            <w:r w:rsidR="00E65F6C">
              <w:rPr>
                <w:webHidden/>
              </w:rPr>
              <w:fldChar w:fldCharType="end"/>
            </w:r>
          </w:hyperlink>
        </w:p>
        <w:p w14:paraId="2CF9D9CE" w14:textId="0683DFCA" w:rsidR="00E65F6C" w:rsidRDefault="00E65F6C">
          <w:pPr>
            <w:pStyle w:val="TDC1"/>
            <w:rPr>
              <w:rFonts w:eastAsiaTheme="minorEastAsia"/>
              <w:b w:val="0"/>
              <w:bCs w:val="0"/>
              <w:sz w:val="24"/>
              <w:szCs w:val="24"/>
              <w:lang w:val="es-MX" w:eastAsia="es-MX"/>
            </w:rPr>
          </w:pPr>
          <w:hyperlink w:anchor="_Toc240467908" w:history="1">
            <w:r w:rsidRPr="005E34BD">
              <w:rPr>
                <w:rStyle w:val="Hipervnculo"/>
              </w:rPr>
              <w:t>Objetivo</w:t>
            </w:r>
            <w:r>
              <w:rPr>
                <w:webHidden/>
              </w:rPr>
              <w:tab/>
            </w:r>
            <w:r>
              <w:rPr>
                <w:webHidden/>
              </w:rPr>
              <w:fldChar w:fldCharType="begin"/>
            </w:r>
            <w:r>
              <w:rPr>
                <w:webHidden/>
              </w:rPr>
              <w:instrText xml:space="preserve"> PAGEREF _Toc240467908 \h </w:instrText>
            </w:r>
            <w:r>
              <w:rPr>
                <w:webHidden/>
              </w:rPr>
            </w:r>
            <w:r>
              <w:rPr>
                <w:webHidden/>
              </w:rPr>
              <w:fldChar w:fldCharType="separate"/>
            </w:r>
            <w:r>
              <w:rPr>
                <w:webHidden/>
              </w:rPr>
              <w:t>4</w:t>
            </w:r>
            <w:r>
              <w:rPr>
                <w:webHidden/>
              </w:rPr>
              <w:fldChar w:fldCharType="end"/>
            </w:r>
          </w:hyperlink>
        </w:p>
        <w:p w14:paraId="082574A7" w14:textId="35ACEE40" w:rsidR="00E65F6C" w:rsidRDefault="00E65F6C">
          <w:pPr>
            <w:pStyle w:val="TDC1"/>
            <w:rPr>
              <w:rFonts w:eastAsiaTheme="minorEastAsia"/>
              <w:b w:val="0"/>
              <w:bCs w:val="0"/>
              <w:sz w:val="24"/>
              <w:szCs w:val="24"/>
              <w:lang w:val="es-MX" w:eastAsia="es-MX"/>
            </w:rPr>
          </w:pPr>
          <w:hyperlink w:anchor="_Toc240467909" w:history="1">
            <w:r w:rsidRPr="005E34BD">
              <w:rPr>
                <w:rStyle w:val="Hipervnculo"/>
              </w:rPr>
              <w:t>Justificación</w:t>
            </w:r>
            <w:r>
              <w:rPr>
                <w:webHidden/>
              </w:rPr>
              <w:tab/>
            </w:r>
            <w:r>
              <w:rPr>
                <w:webHidden/>
              </w:rPr>
              <w:fldChar w:fldCharType="begin"/>
            </w:r>
            <w:r>
              <w:rPr>
                <w:webHidden/>
              </w:rPr>
              <w:instrText xml:space="preserve"> PAGEREF _Toc240467909 \h </w:instrText>
            </w:r>
            <w:r>
              <w:rPr>
                <w:webHidden/>
              </w:rPr>
            </w:r>
            <w:r>
              <w:rPr>
                <w:webHidden/>
              </w:rPr>
              <w:fldChar w:fldCharType="separate"/>
            </w:r>
            <w:r>
              <w:rPr>
                <w:webHidden/>
              </w:rPr>
              <w:t>5</w:t>
            </w:r>
            <w:r>
              <w:rPr>
                <w:webHidden/>
              </w:rPr>
              <w:fldChar w:fldCharType="end"/>
            </w:r>
          </w:hyperlink>
        </w:p>
        <w:p w14:paraId="1FF8E2B7" w14:textId="25FF171F" w:rsidR="00E65F6C" w:rsidRDefault="00E65F6C">
          <w:pPr>
            <w:pStyle w:val="TDC1"/>
            <w:rPr>
              <w:rFonts w:eastAsiaTheme="minorEastAsia"/>
              <w:b w:val="0"/>
              <w:bCs w:val="0"/>
              <w:sz w:val="24"/>
              <w:szCs w:val="24"/>
              <w:lang w:val="es-MX" w:eastAsia="es-MX"/>
            </w:rPr>
          </w:pPr>
          <w:hyperlink w:anchor="_Toc240467910" w:history="1">
            <w:r w:rsidRPr="005E34BD">
              <w:rPr>
                <w:rStyle w:val="Hipervnculo"/>
              </w:rPr>
              <w:t>Gestión de Riesgos</w:t>
            </w:r>
            <w:r>
              <w:rPr>
                <w:webHidden/>
              </w:rPr>
              <w:tab/>
            </w:r>
            <w:r>
              <w:rPr>
                <w:webHidden/>
              </w:rPr>
              <w:fldChar w:fldCharType="begin"/>
            </w:r>
            <w:r>
              <w:rPr>
                <w:webHidden/>
              </w:rPr>
              <w:instrText xml:space="preserve"> PAGEREF _Toc240467910 \h </w:instrText>
            </w:r>
            <w:r>
              <w:rPr>
                <w:webHidden/>
              </w:rPr>
            </w:r>
            <w:r>
              <w:rPr>
                <w:webHidden/>
              </w:rPr>
              <w:fldChar w:fldCharType="separate"/>
            </w:r>
            <w:r>
              <w:rPr>
                <w:webHidden/>
              </w:rPr>
              <w:t>5</w:t>
            </w:r>
            <w:r>
              <w:rPr>
                <w:webHidden/>
              </w:rPr>
              <w:fldChar w:fldCharType="end"/>
            </w:r>
          </w:hyperlink>
        </w:p>
        <w:p w14:paraId="2A1E5B3A" w14:textId="57739831" w:rsidR="00E65F6C" w:rsidRDefault="00E65F6C">
          <w:pPr>
            <w:pStyle w:val="TDC2"/>
            <w:tabs>
              <w:tab w:val="right" w:leader="dot" w:pos="8828"/>
            </w:tabs>
            <w:rPr>
              <w:rFonts w:asciiTheme="minorHAnsi" w:eastAsiaTheme="minorEastAsia" w:hAnsiTheme="minorHAnsi"/>
              <w:noProof/>
              <w:szCs w:val="24"/>
              <w:lang w:eastAsia="es-MX"/>
            </w:rPr>
          </w:pPr>
          <w:hyperlink w:anchor="_Toc240467911" w:history="1">
            <w:r w:rsidRPr="005E34BD">
              <w:rPr>
                <w:rStyle w:val="Hipervnculo"/>
                <w:rFonts w:eastAsia="Arial"/>
                <w:noProof/>
              </w:rPr>
              <w:t>Identificación de riesgos</w:t>
            </w:r>
            <w:r>
              <w:rPr>
                <w:noProof/>
                <w:webHidden/>
              </w:rPr>
              <w:tab/>
            </w:r>
            <w:r>
              <w:rPr>
                <w:noProof/>
                <w:webHidden/>
              </w:rPr>
              <w:fldChar w:fldCharType="begin"/>
            </w:r>
            <w:r>
              <w:rPr>
                <w:noProof/>
                <w:webHidden/>
              </w:rPr>
              <w:instrText xml:space="preserve"> PAGEREF _Toc240467911 \h </w:instrText>
            </w:r>
            <w:r>
              <w:rPr>
                <w:noProof/>
                <w:webHidden/>
              </w:rPr>
            </w:r>
            <w:r>
              <w:rPr>
                <w:noProof/>
                <w:webHidden/>
              </w:rPr>
              <w:fldChar w:fldCharType="separate"/>
            </w:r>
            <w:r>
              <w:rPr>
                <w:noProof/>
                <w:webHidden/>
              </w:rPr>
              <w:t>5</w:t>
            </w:r>
            <w:r>
              <w:rPr>
                <w:noProof/>
                <w:webHidden/>
              </w:rPr>
              <w:fldChar w:fldCharType="end"/>
            </w:r>
          </w:hyperlink>
        </w:p>
        <w:p w14:paraId="699E8441" w14:textId="5A3FC44D" w:rsidR="00E65F6C" w:rsidRDefault="00E65F6C">
          <w:pPr>
            <w:pStyle w:val="TDC2"/>
            <w:tabs>
              <w:tab w:val="right" w:leader="dot" w:pos="8828"/>
            </w:tabs>
            <w:rPr>
              <w:rFonts w:asciiTheme="minorHAnsi" w:eastAsiaTheme="minorEastAsia" w:hAnsiTheme="minorHAnsi"/>
              <w:noProof/>
              <w:szCs w:val="24"/>
              <w:lang w:eastAsia="es-MX"/>
            </w:rPr>
          </w:pPr>
          <w:hyperlink w:anchor="_Toc240467912" w:history="1">
            <w:r w:rsidRPr="005E34BD">
              <w:rPr>
                <w:rStyle w:val="Hipervnculo"/>
                <w:rFonts w:eastAsia="Arial"/>
                <w:noProof/>
              </w:rPr>
              <w:t>Análisis cualitativo y cuantitativo de riesgos</w:t>
            </w:r>
            <w:r>
              <w:rPr>
                <w:noProof/>
                <w:webHidden/>
              </w:rPr>
              <w:tab/>
            </w:r>
            <w:r>
              <w:rPr>
                <w:noProof/>
                <w:webHidden/>
              </w:rPr>
              <w:fldChar w:fldCharType="begin"/>
            </w:r>
            <w:r>
              <w:rPr>
                <w:noProof/>
                <w:webHidden/>
              </w:rPr>
              <w:instrText xml:space="preserve"> PAGEREF _Toc240467912 \h </w:instrText>
            </w:r>
            <w:r>
              <w:rPr>
                <w:noProof/>
                <w:webHidden/>
              </w:rPr>
            </w:r>
            <w:r>
              <w:rPr>
                <w:noProof/>
                <w:webHidden/>
              </w:rPr>
              <w:fldChar w:fldCharType="separate"/>
            </w:r>
            <w:r>
              <w:rPr>
                <w:noProof/>
                <w:webHidden/>
              </w:rPr>
              <w:t>5</w:t>
            </w:r>
            <w:r>
              <w:rPr>
                <w:noProof/>
                <w:webHidden/>
              </w:rPr>
              <w:fldChar w:fldCharType="end"/>
            </w:r>
          </w:hyperlink>
        </w:p>
        <w:p w14:paraId="014496B2" w14:textId="3DC3D522" w:rsidR="00E65F6C" w:rsidRDefault="00E65F6C">
          <w:pPr>
            <w:pStyle w:val="TDC2"/>
            <w:tabs>
              <w:tab w:val="right" w:leader="dot" w:pos="8828"/>
            </w:tabs>
            <w:rPr>
              <w:rFonts w:asciiTheme="minorHAnsi" w:eastAsiaTheme="minorEastAsia" w:hAnsiTheme="minorHAnsi"/>
              <w:noProof/>
              <w:szCs w:val="24"/>
              <w:lang w:eastAsia="es-MX"/>
            </w:rPr>
          </w:pPr>
          <w:hyperlink w:anchor="_Toc240467913" w:history="1">
            <w:r w:rsidRPr="005E34BD">
              <w:rPr>
                <w:rStyle w:val="Hipervnculo"/>
                <w:rFonts w:eastAsia="Arial"/>
                <w:noProof/>
              </w:rPr>
              <w:t>Estrategias de mitigación</w:t>
            </w:r>
            <w:r>
              <w:rPr>
                <w:noProof/>
                <w:webHidden/>
              </w:rPr>
              <w:tab/>
            </w:r>
            <w:r>
              <w:rPr>
                <w:noProof/>
                <w:webHidden/>
              </w:rPr>
              <w:fldChar w:fldCharType="begin"/>
            </w:r>
            <w:r>
              <w:rPr>
                <w:noProof/>
                <w:webHidden/>
              </w:rPr>
              <w:instrText xml:space="preserve"> PAGEREF _Toc240467913 \h </w:instrText>
            </w:r>
            <w:r>
              <w:rPr>
                <w:noProof/>
                <w:webHidden/>
              </w:rPr>
            </w:r>
            <w:r>
              <w:rPr>
                <w:noProof/>
                <w:webHidden/>
              </w:rPr>
              <w:fldChar w:fldCharType="separate"/>
            </w:r>
            <w:r>
              <w:rPr>
                <w:noProof/>
                <w:webHidden/>
              </w:rPr>
              <w:t>6</w:t>
            </w:r>
            <w:r>
              <w:rPr>
                <w:noProof/>
                <w:webHidden/>
              </w:rPr>
              <w:fldChar w:fldCharType="end"/>
            </w:r>
          </w:hyperlink>
        </w:p>
        <w:p w14:paraId="3F55DF6A" w14:textId="15243788" w:rsidR="00E65F6C" w:rsidRDefault="00E65F6C">
          <w:pPr>
            <w:pStyle w:val="TDC1"/>
            <w:rPr>
              <w:rFonts w:eastAsiaTheme="minorEastAsia"/>
              <w:b w:val="0"/>
              <w:bCs w:val="0"/>
              <w:sz w:val="24"/>
              <w:szCs w:val="24"/>
              <w:lang w:val="es-MX" w:eastAsia="es-MX"/>
            </w:rPr>
          </w:pPr>
          <w:hyperlink w:anchor="_Toc240467914" w:history="1">
            <w:r w:rsidRPr="005E34BD">
              <w:rPr>
                <w:rStyle w:val="Hipervnculo"/>
                <w:rFonts w:eastAsia="Arial"/>
              </w:rPr>
              <w:t>Conclusión</w:t>
            </w:r>
            <w:r>
              <w:rPr>
                <w:webHidden/>
              </w:rPr>
              <w:tab/>
            </w:r>
            <w:r>
              <w:rPr>
                <w:webHidden/>
              </w:rPr>
              <w:fldChar w:fldCharType="begin"/>
            </w:r>
            <w:r>
              <w:rPr>
                <w:webHidden/>
              </w:rPr>
              <w:instrText xml:space="preserve"> PAGEREF _Toc240467914 \h </w:instrText>
            </w:r>
            <w:r>
              <w:rPr>
                <w:webHidden/>
              </w:rPr>
            </w:r>
            <w:r>
              <w:rPr>
                <w:webHidden/>
              </w:rPr>
              <w:fldChar w:fldCharType="separate"/>
            </w:r>
            <w:r>
              <w:rPr>
                <w:webHidden/>
              </w:rPr>
              <w:t>6</w:t>
            </w:r>
            <w:r>
              <w:rPr>
                <w:webHidden/>
              </w:rPr>
              <w:fldChar w:fldCharType="end"/>
            </w:r>
          </w:hyperlink>
        </w:p>
        <w:p w14:paraId="5C68BA8D" w14:textId="40AD8652" w:rsidR="00E65F6C" w:rsidRDefault="00E65F6C">
          <w:pPr>
            <w:pStyle w:val="TDC1"/>
            <w:rPr>
              <w:rFonts w:eastAsiaTheme="minorEastAsia"/>
              <w:b w:val="0"/>
              <w:bCs w:val="0"/>
              <w:sz w:val="24"/>
              <w:szCs w:val="24"/>
              <w:lang w:val="es-MX" w:eastAsia="es-MX"/>
            </w:rPr>
          </w:pPr>
          <w:hyperlink w:anchor="_Toc240467915" w:history="1">
            <w:r w:rsidRPr="005E34BD">
              <w:rPr>
                <w:rStyle w:val="Hipervnculo"/>
              </w:rPr>
              <w:t>Fuente de Información</w:t>
            </w:r>
            <w:r>
              <w:rPr>
                <w:webHidden/>
              </w:rPr>
              <w:tab/>
            </w:r>
            <w:r>
              <w:rPr>
                <w:webHidden/>
              </w:rPr>
              <w:fldChar w:fldCharType="begin"/>
            </w:r>
            <w:r>
              <w:rPr>
                <w:webHidden/>
              </w:rPr>
              <w:instrText xml:space="preserve"> PAGEREF _Toc240467915 \h </w:instrText>
            </w:r>
            <w:r>
              <w:rPr>
                <w:webHidden/>
              </w:rPr>
            </w:r>
            <w:r>
              <w:rPr>
                <w:webHidden/>
              </w:rPr>
              <w:fldChar w:fldCharType="separate"/>
            </w:r>
            <w:r>
              <w:rPr>
                <w:webHidden/>
              </w:rPr>
              <w:t>7</w:t>
            </w:r>
            <w:r>
              <w:rPr>
                <w:webHidden/>
              </w:rPr>
              <w:fldChar w:fldCharType="end"/>
            </w:r>
          </w:hyperlink>
        </w:p>
        <w:p w14:paraId="6E23034E" w14:textId="38C99EBF"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00BCE54F" w14:textId="77777777" w:rsidR="0024481D" w:rsidRDefault="00B85429" w:rsidP="0024481D">
      <w:pPr>
        <w:pStyle w:val="Ttulo1"/>
      </w:pPr>
      <w:r w:rsidRPr="00B85429">
        <w:rPr>
          <w:rFonts w:eastAsia="Arial"/>
        </w:rPr>
        <w:lastRenderedPageBreak/>
        <w:t> </w:t>
      </w:r>
      <w:bookmarkStart w:id="0" w:name="_Toc240467907"/>
      <w:r w:rsidR="0024481D" w:rsidRPr="0024481D">
        <w:t>Introducción</w:t>
      </w:r>
      <w:bookmarkEnd w:id="0"/>
    </w:p>
    <w:p w14:paraId="69B5AD76" w14:textId="77777777" w:rsidR="0024481D" w:rsidRDefault="0024481D" w:rsidP="00B30B6A">
      <w:pPr>
        <w:spacing w:after="200" w:line="276" w:lineRule="auto"/>
        <w:jc w:val="both"/>
      </w:pPr>
      <w:r>
        <w:rPr>
          <w:rFonts w:eastAsia="Arial" w:cs="Arial"/>
          <w:szCs w:val="24"/>
        </w:rPr>
        <w:t>Todo proyecto de tecnologías de la información está expuesto a eventos inciertos que pueden alterar su alcance, su cronograma o su presupuesto. Retrasos en la entrega de un proveedor, fallas técnicas no previstas, cambios de requerimientos o la rotación del equipo de desarrollo son solo algunos ejemplos de situaciones que, si no se anticipan, pueden comprometer el éxito de un proyecto. Por ello, la gestión de riesgos se ha convertido en una de las disciplinas más importantes dentro de la administración de proyectos modernos.</w:t>
      </w:r>
    </w:p>
    <w:p w14:paraId="79CC76AF" w14:textId="77777777" w:rsidR="0024481D" w:rsidRDefault="0024481D" w:rsidP="00B30B6A">
      <w:pPr>
        <w:spacing w:after="200" w:line="276" w:lineRule="auto"/>
        <w:jc w:val="both"/>
      </w:pPr>
      <w:r>
        <w:rPr>
          <w:rFonts w:eastAsia="Arial" w:cs="Arial"/>
          <w:szCs w:val="24"/>
        </w:rPr>
        <w:t>De acuerdo con el Project Management Institute (PMI), la gestión de riesgos es el conjunto de procesos relacionados con identificar, analizar y responder a la incertidumbre de un proyecto, buscando aprovechar los eventos favorables y reducir el impacto de los desfavorables. El presente ensayo aborda tres momentos clave de este proceso: la identificación de riesgos, su análisis cualitativo y cuantitativo, y las estrategias de mitigación aplicables en proyectos de TI.</w:t>
      </w:r>
    </w:p>
    <w:p w14:paraId="758E65EF" w14:textId="77777777" w:rsidR="0024481D" w:rsidRDefault="0024481D">
      <w:pPr>
        <w:rPr>
          <w:rFonts w:eastAsia="Arial" w:cs="Arial"/>
          <w:b/>
          <w:bCs/>
          <w:color w:val="1F3864"/>
          <w:sz w:val="28"/>
          <w:szCs w:val="28"/>
        </w:rPr>
      </w:pPr>
      <w:r>
        <w:br w:type="page"/>
      </w:r>
    </w:p>
    <w:p w14:paraId="33F215AE" w14:textId="5992F358" w:rsidR="0024481D" w:rsidRPr="0024481D" w:rsidRDefault="0024481D" w:rsidP="0024481D">
      <w:pPr>
        <w:pStyle w:val="Ttulo1"/>
      </w:pPr>
      <w:bookmarkStart w:id="1" w:name="_Toc240467908"/>
      <w:r w:rsidRPr="0024481D">
        <w:lastRenderedPageBreak/>
        <w:t>Objetivo</w:t>
      </w:r>
      <w:bookmarkEnd w:id="1"/>
    </w:p>
    <w:p w14:paraId="693682A9" w14:textId="77777777" w:rsidR="0024481D" w:rsidRDefault="0024481D" w:rsidP="0024481D">
      <w:pPr>
        <w:spacing w:after="200" w:line="276" w:lineRule="auto"/>
        <w:jc w:val="both"/>
      </w:pPr>
      <w:r>
        <w:rPr>
          <w:rFonts w:eastAsia="Arial" w:cs="Arial"/>
          <w:szCs w:val="24"/>
        </w:rPr>
        <w:t>Analizar el proceso de gestión de riesgos en proyectos de tecnologías de la información, identificando sus etapas de identificación, análisis cualitativo y cuantitativo, y estrategias de mitigación, con el fin de comprender su importancia para anticipar problemas y garantizar el éxito de los proyectos tecnológicos.</w:t>
      </w:r>
    </w:p>
    <w:p w14:paraId="033C7792" w14:textId="77777777" w:rsidR="0024481D" w:rsidRDefault="0024481D">
      <w:pPr>
        <w:rPr>
          <w:rFonts w:eastAsia="Arial" w:cs="Arial"/>
          <w:b/>
          <w:bCs/>
          <w:color w:val="1F3864"/>
          <w:sz w:val="28"/>
          <w:szCs w:val="28"/>
        </w:rPr>
      </w:pPr>
      <w:r>
        <w:br w:type="page"/>
      </w:r>
    </w:p>
    <w:p w14:paraId="6B3F6E0D" w14:textId="72E98266" w:rsidR="0024481D" w:rsidRPr="0024481D" w:rsidRDefault="0024481D" w:rsidP="0024481D">
      <w:pPr>
        <w:pStyle w:val="Ttulo1"/>
      </w:pPr>
      <w:bookmarkStart w:id="2" w:name="_Toc240467909"/>
      <w:r w:rsidRPr="0024481D">
        <w:lastRenderedPageBreak/>
        <w:t>Justificación</w:t>
      </w:r>
      <w:bookmarkEnd w:id="2"/>
    </w:p>
    <w:p w14:paraId="7B6DCEB2" w14:textId="77777777" w:rsidR="0024481D" w:rsidRDefault="0024481D" w:rsidP="0024481D">
      <w:pPr>
        <w:spacing w:after="200" w:line="276" w:lineRule="auto"/>
        <w:jc w:val="both"/>
        <w:rPr>
          <w:rFonts w:eastAsia="Arial" w:cs="Arial"/>
          <w:szCs w:val="24"/>
        </w:rPr>
      </w:pPr>
      <w:r>
        <w:rPr>
          <w:rFonts w:eastAsia="Arial" w:cs="Arial"/>
          <w:szCs w:val="24"/>
        </w:rPr>
        <w:t>Los proyectos de TI se desarrollan en entornos altamente cambiantes, donde factores tecnológicos, humanos y organizacionales pueden generar imprevistos en cualquier etapa del ciclo de vida del proyecto. Como futuros ingenieros en sistemas computacionales, es fundamental comprender cómo identificar y gestionar estos riesgos, ya que de ello depende en gran medida que un proyecto se entregue en tiempo, dentro del presupuesto y con la calidad esperada. Estudiar la gestión de riesgos permite desarrollar una visión preventiva y no solo reactiva ante los problemas, competencia indispensable para cualquier persona que aspire a liderar o participar en la gestión de proyectos tecnológicos.</w:t>
      </w:r>
    </w:p>
    <w:p w14:paraId="6DF62E90" w14:textId="77777777" w:rsidR="0024481D" w:rsidRDefault="0024481D" w:rsidP="0024481D">
      <w:pPr>
        <w:spacing w:after="200" w:line="276" w:lineRule="auto"/>
        <w:jc w:val="both"/>
        <w:rPr>
          <w:rFonts w:eastAsia="Arial" w:cs="Arial"/>
          <w:szCs w:val="24"/>
        </w:rPr>
      </w:pPr>
    </w:p>
    <w:p w14:paraId="0136184A" w14:textId="77777777" w:rsidR="0024481D" w:rsidRDefault="0024481D" w:rsidP="0024481D">
      <w:pPr>
        <w:spacing w:after="200" w:line="276" w:lineRule="auto"/>
        <w:jc w:val="both"/>
        <w:rPr>
          <w:rFonts w:eastAsia="Arial" w:cs="Arial"/>
          <w:szCs w:val="24"/>
        </w:rPr>
      </w:pPr>
    </w:p>
    <w:p w14:paraId="6D26C43A" w14:textId="77777777" w:rsidR="0024481D" w:rsidRDefault="0024481D" w:rsidP="0024481D">
      <w:pPr>
        <w:spacing w:after="200" w:line="276" w:lineRule="auto"/>
        <w:jc w:val="both"/>
      </w:pPr>
    </w:p>
    <w:p w14:paraId="0AF2694B" w14:textId="77777777" w:rsidR="0024481D" w:rsidRPr="0024481D" w:rsidRDefault="0024481D" w:rsidP="0024481D">
      <w:pPr>
        <w:pStyle w:val="Ttulo1"/>
      </w:pPr>
      <w:bookmarkStart w:id="3" w:name="_Toc240467910"/>
      <w:r w:rsidRPr="0024481D">
        <w:t>Gestión de Riesgos</w:t>
      </w:r>
      <w:bookmarkEnd w:id="3"/>
      <w:r w:rsidRPr="0024481D">
        <w:t xml:space="preserve"> </w:t>
      </w:r>
    </w:p>
    <w:p w14:paraId="09A8822C" w14:textId="5A019D0A" w:rsidR="0024481D" w:rsidRDefault="0024481D" w:rsidP="0024481D">
      <w:pPr>
        <w:pStyle w:val="Ttulo2"/>
      </w:pPr>
      <w:bookmarkStart w:id="4" w:name="_Toc240467911"/>
      <w:r>
        <w:rPr>
          <w:rFonts w:eastAsia="Arial"/>
        </w:rPr>
        <w:t>Identificación de riesgos</w:t>
      </w:r>
      <w:bookmarkEnd w:id="4"/>
    </w:p>
    <w:p w14:paraId="20969306" w14:textId="77777777" w:rsidR="0024481D" w:rsidRDefault="0024481D" w:rsidP="0024481D">
      <w:pPr>
        <w:spacing w:after="200" w:line="276" w:lineRule="auto"/>
        <w:jc w:val="both"/>
      </w:pPr>
      <w:r>
        <w:rPr>
          <w:rFonts w:eastAsia="Arial" w:cs="Arial"/>
          <w:szCs w:val="24"/>
        </w:rPr>
        <w:t>El primer paso de toda gestión de riesgos es su identificación. En esta etapa, el equipo de proyecto busca reconocer, de manera sistemática, los eventos que podrían afectar positiva o negativamente los objetivos planteados. Para ello se recurre a técnicas como la lluvia de ideas, las listas de verificación (checklists) basadas en proyectos anteriores, y el juicio de expertos, quienes aportan su experiencia para detectar amenazas que no siempre son evidentes para el equipo. En un proyecto de TI, los riesgos suelen agruparse en categorías como técnicos (fallas de software o hardware, incompatibilidades), organizacionales (rotación de personal, falta de comunicación entre áreas), externos (cambios regulatorios, proveedores) y de gestión (estimaciones erróneas de tiempo o costo). El resultado de este proceso se documenta en el Registro de Riesgos, un artefacto que se mantiene vivo durante todo el ciclo de vida del proyecto y que sirve como base para las siguientes etapas.</w:t>
      </w:r>
    </w:p>
    <w:p w14:paraId="4B931A21" w14:textId="77777777" w:rsidR="0024481D" w:rsidRDefault="0024481D" w:rsidP="0024481D">
      <w:pPr>
        <w:pStyle w:val="Ttulo2"/>
      </w:pPr>
      <w:bookmarkStart w:id="5" w:name="_Toc240467912"/>
      <w:r>
        <w:rPr>
          <w:rFonts w:eastAsia="Arial"/>
        </w:rPr>
        <w:t>Análisis cualitativo y cuantitativo de riesgos</w:t>
      </w:r>
      <w:bookmarkEnd w:id="5"/>
    </w:p>
    <w:p w14:paraId="655E52BB" w14:textId="77777777" w:rsidR="0024481D" w:rsidRDefault="0024481D" w:rsidP="0024481D">
      <w:pPr>
        <w:spacing w:after="200" w:line="276" w:lineRule="auto"/>
        <w:jc w:val="both"/>
      </w:pPr>
      <w:r>
        <w:rPr>
          <w:rFonts w:eastAsia="Arial" w:cs="Arial"/>
          <w:szCs w:val="24"/>
        </w:rPr>
        <w:t xml:space="preserve">Una vez identificados los riesgos, es necesario analizarlos para determinar cuáles requieren mayor atención. El PMBOK distingue dos tipos de análisis complementarios. El análisis cualitativo evalúa cada riesgo de forma individual, asignándole un nivel de probabilidad de ocurrencia y un nivel de impacto sobre los objetivos del proyecto; ambos valores se combinan en una matriz de probabilidad e impacto que permite priorizar visualmente qué riesgos deben atenderse primero. El </w:t>
      </w:r>
      <w:r>
        <w:rPr>
          <w:rFonts w:eastAsia="Arial" w:cs="Arial"/>
          <w:szCs w:val="24"/>
        </w:rPr>
        <w:lastRenderedPageBreak/>
        <w:t>análisis cuantitativo, en cambio, mide numéricamente el efecto combinado de los riesgos sobre el proyecto en su conjunto, utilizando herramientas como el Valor Monetario Esperado (VME), que multiplica la probabilidad de un riesgo por su impacto económico estimado. Mientras el análisis cualitativo ofrece una visión rápida y práctica, el cuantitativo aporta datos objetivos que facilitan la toma de decisiones, especialmente en proyectos de gran tamaño o alto costo.</w:t>
      </w:r>
    </w:p>
    <w:p w14:paraId="6E98BB9A" w14:textId="77777777" w:rsidR="0024481D" w:rsidRDefault="0024481D" w:rsidP="0024481D">
      <w:pPr>
        <w:pStyle w:val="Ttulo2"/>
      </w:pPr>
      <w:bookmarkStart w:id="6" w:name="_Toc240467913"/>
      <w:r>
        <w:rPr>
          <w:rFonts w:eastAsia="Arial"/>
        </w:rPr>
        <w:t>Estrategias de mitigación</w:t>
      </w:r>
      <w:bookmarkEnd w:id="6"/>
    </w:p>
    <w:p w14:paraId="746203D2" w14:textId="77777777" w:rsidR="0024481D" w:rsidRDefault="0024481D" w:rsidP="0024481D">
      <w:pPr>
        <w:spacing w:after="200" w:line="276" w:lineRule="auto"/>
        <w:jc w:val="both"/>
      </w:pPr>
      <w:r>
        <w:rPr>
          <w:rFonts w:eastAsia="Arial" w:cs="Arial"/>
          <w:szCs w:val="24"/>
        </w:rPr>
        <w:t>Finalmente, identificado y analizado cada riesgo, el equipo debe definir cómo responder ante él. Las estrategias de mitigación más comunes son cuatro: evitar el riesgo (eliminando la causa que lo origina), mitigarlo (reduciendo su probabilidad o impacto mediante acciones preventivas como pruebas adicionales o capacitación), transferirlo (a un tercero, por ejemplo mediante un seguro, un contrato o la subcontratación) o aceptarlo (cuando su costo de tratamiento es mayor que el beneficio de mitigarlo, estableciendo una reserva de contingencia). La elección de la estrategia adecuada depende del análisis previo: un riesgo de alta probabilidad y alto impacto normalmente exige mitigación o evitación, mientras que uno de baja probabilidad puede simplemente aceptarse. Estas decisiones se documentan en un Plan de Respuesta a Riesgos, que debe revisarse y actualizarse constantemente, ya que la gestión de riesgos no es un evento único, sino un proceso continuo de monitoreo y control a lo largo de todo el proyecto.</w:t>
      </w:r>
    </w:p>
    <w:p w14:paraId="6F39794F" w14:textId="77777777" w:rsidR="0024481D" w:rsidRDefault="0024481D" w:rsidP="0024481D">
      <w:pPr>
        <w:pStyle w:val="Ttulo1"/>
      </w:pPr>
      <w:bookmarkStart w:id="7" w:name="_Toc240467914"/>
      <w:r>
        <w:rPr>
          <w:rFonts w:eastAsia="Arial"/>
        </w:rPr>
        <w:t>Conclusión</w:t>
      </w:r>
      <w:bookmarkEnd w:id="7"/>
    </w:p>
    <w:p w14:paraId="0AEFCCCE" w14:textId="77777777" w:rsidR="0024481D" w:rsidRDefault="0024481D" w:rsidP="0024481D">
      <w:pPr>
        <w:spacing w:after="200" w:line="276" w:lineRule="auto"/>
        <w:jc w:val="both"/>
        <w:rPr>
          <w:rFonts w:eastAsia="Arial" w:cs="Arial"/>
          <w:szCs w:val="24"/>
        </w:rPr>
      </w:pPr>
      <w:r>
        <w:rPr>
          <w:rFonts w:eastAsia="Arial" w:cs="Arial"/>
          <w:szCs w:val="24"/>
        </w:rPr>
        <w:t>La gestión de riesgos permite a los equipos de proyectos de TI anticiparse a los problemas en lugar de solo reaccionar ante ellos. Identificar los riesgos de forma temprana, analizarlos con criterios cualitativos y cuantitativos, y definir estrategias claras de respuesta son prácticas que reducen la incertidumbre y aumentan las probabilidades de entregar un proyecto exitoso, dentro del tiempo, presupuesto y calidad esperados. En un entorno tecnológico donde el cambio es constante, contar con una cultura de gestión de riesgos ya no es opcional, sino una competencia esencial para cualquier gestor de proyectos.</w:t>
      </w:r>
    </w:p>
    <w:p w14:paraId="3F4DDE28" w14:textId="77777777" w:rsidR="0024481D" w:rsidRDefault="0024481D" w:rsidP="0024481D">
      <w:pPr>
        <w:spacing w:after="200" w:line="276" w:lineRule="auto"/>
        <w:jc w:val="both"/>
        <w:rPr>
          <w:rFonts w:eastAsia="Arial" w:cs="Arial"/>
          <w:szCs w:val="24"/>
        </w:rPr>
      </w:pPr>
    </w:p>
    <w:p w14:paraId="0F96F97D" w14:textId="77777777" w:rsidR="0024481D" w:rsidRDefault="0024481D" w:rsidP="0024481D">
      <w:pPr>
        <w:spacing w:after="200" w:line="276" w:lineRule="auto"/>
        <w:jc w:val="both"/>
        <w:rPr>
          <w:rFonts w:eastAsia="Arial" w:cs="Arial"/>
          <w:szCs w:val="24"/>
        </w:rPr>
      </w:pPr>
    </w:p>
    <w:p w14:paraId="499733AB" w14:textId="77777777" w:rsidR="0024481D" w:rsidRDefault="0024481D" w:rsidP="0024481D">
      <w:pPr>
        <w:spacing w:after="200" w:line="276" w:lineRule="auto"/>
        <w:jc w:val="both"/>
      </w:pPr>
    </w:p>
    <w:p w14:paraId="2C90AD1D" w14:textId="66EB0FED" w:rsidR="0024481D" w:rsidRPr="0024481D" w:rsidRDefault="0024481D" w:rsidP="0024481D">
      <w:pPr>
        <w:pStyle w:val="Ttulo1"/>
      </w:pPr>
      <w:bookmarkStart w:id="8" w:name="_Toc240467915"/>
      <w:r w:rsidRPr="0024481D">
        <w:lastRenderedPageBreak/>
        <w:t>Fuente de Información</w:t>
      </w:r>
      <w:bookmarkEnd w:id="8"/>
    </w:p>
    <w:p w14:paraId="5D67DB6F" w14:textId="77777777" w:rsidR="0024481D" w:rsidRDefault="0024481D">
      <w:pPr>
        <w:pStyle w:val="Prrafodelista"/>
        <w:numPr>
          <w:ilvl w:val="0"/>
          <w:numId w:val="1"/>
        </w:numPr>
        <w:spacing w:line="276" w:lineRule="auto"/>
        <w:contextualSpacing w:val="0"/>
      </w:pPr>
      <w:r>
        <w:rPr>
          <w:rFonts w:eastAsia="Arial" w:cs="Arial"/>
          <w:sz w:val="22"/>
        </w:rPr>
        <w:t xml:space="preserve">Project Management Institute. (s.f.). </w:t>
      </w:r>
      <w:r>
        <w:rPr>
          <w:rFonts w:eastAsia="Arial" w:cs="Arial"/>
          <w:i/>
          <w:iCs/>
          <w:sz w:val="22"/>
        </w:rPr>
        <w:t>Gestionando proyectos: analizando riesgos</w:t>
      </w:r>
      <w:r>
        <w:rPr>
          <w:rFonts w:eastAsia="Arial" w:cs="Arial"/>
          <w:sz w:val="22"/>
        </w:rPr>
        <w:t xml:space="preserve">. </w:t>
      </w:r>
      <w:hyperlink r:id="rId13" w:history="1">
        <w:r>
          <w:rPr>
            <w:rStyle w:val="Hipervnculo"/>
            <w:rFonts w:eastAsia="Arial" w:cs="Arial"/>
            <w:color w:val="0563C1"/>
            <w:sz w:val="22"/>
          </w:rPr>
          <w:t>https://www.pmi.org/learning/library/es-gestionando-proyectos-analizando-riesgos-7166</w:t>
        </w:r>
      </w:hyperlink>
    </w:p>
    <w:p w14:paraId="745A1FEA" w14:textId="77777777" w:rsidR="0024481D" w:rsidRDefault="0024481D">
      <w:pPr>
        <w:pStyle w:val="Prrafodelista"/>
        <w:numPr>
          <w:ilvl w:val="0"/>
          <w:numId w:val="1"/>
        </w:numPr>
        <w:spacing w:line="276" w:lineRule="auto"/>
        <w:contextualSpacing w:val="0"/>
      </w:pPr>
      <w:r>
        <w:rPr>
          <w:rFonts w:eastAsia="Arial" w:cs="Arial"/>
          <w:sz w:val="22"/>
        </w:rPr>
        <w:t xml:space="preserve">Project Management Institute. (s.f.). </w:t>
      </w:r>
      <w:r>
        <w:rPr>
          <w:rFonts w:eastAsia="Arial" w:cs="Arial"/>
          <w:i/>
          <w:iCs/>
          <w:sz w:val="22"/>
        </w:rPr>
        <w:t>Planificación de riesgos desmitificada</w:t>
      </w:r>
      <w:r>
        <w:rPr>
          <w:rFonts w:eastAsia="Arial" w:cs="Arial"/>
          <w:sz w:val="22"/>
        </w:rPr>
        <w:t xml:space="preserve">. </w:t>
      </w:r>
      <w:hyperlink r:id="rId14" w:history="1">
        <w:r>
          <w:rPr>
            <w:rStyle w:val="Hipervnculo"/>
            <w:rFonts w:eastAsia="Arial" w:cs="Arial"/>
            <w:color w:val="0563C1"/>
            <w:sz w:val="22"/>
          </w:rPr>
          <w:t>https://www.pmi.org/learning/library/es-desmitificando-el-enfoque-practico-de-la-planificacion-de-riesgos-7331</w:t>
        </w:r>
      </w:hyperlink>
    </w:p>
    <w:p w14:paraId="4087581B" w14:textId="77777777" w:rsidR="0024481D" w:rsidRDefault="0024481D">
      <w:pPr>
        <w:pStyle w:val="Prrafodelista"/>
        <w:numPr>
          <w:ilvl w:val="0"/>
          <w:numId w:val="1"/>
        </w:numPr>
        <w:spacing w:line="276" w:lineRule="auto"/>
        <w:contextualSpacing w:val="0"/>
      </w:pPr>
      <w:r>
        <w:rPr>
          <w:rFonts w:eastAsia="Arial" w:cs="Arial"/>
          <w:sz w:val="22"/>
        </w:rPr>
        <w:t xml:space="preserve">EALDE Business School. (2025). </w:t>
      </w:r>
      <w:r>
        <w:rPr>
          <w:rFonts w:eastAsia="Arial" w:cs="Arial"/>
          <w:i/>
          <w:iCs/>
          <w:sz w:val="22"/>
        </w:rPr>
        <w:t>El análisis cualitativo y cuantitativo en la Gestión de Riesgos</w:t>
      </w:r>
      <w:r>
        <w:rPr>
          <w:rFonts w:eastAsia="Arial" w:cs="Arial"/>
          <w:sz w:val="22"/>
        </w:rPr>
        <w:t xml:space="preserve">. </w:t>
      </w:r>
      <w:hyperlink r:id="rId15" w:history="1">
        <w:r>
          <w:rPr>
            <w:rStyle w:val="Hipervnculo"/>
            <w:rFonts w:eastAsia="Arial" w:cs="Arial"/>
            <w:color w:val="0563C1"/>
            <w:sz w:val="22"/>
          </w:rPr>
          <w:t>https://www.ealde.es/analisis-cualitativo-cuantitativo-gestion-de-riesgos-direccion-de-proyectos/</w:t>
        </w:r>
      </w:hyperlink>
    </w:p>
    <w:p w14:paraId="122B9CBF" w14:textId="234BE6A4" w:rsidR="006F4C9C" w:rsidRPr="006F4C9C" w:rsidRDefault="006F4C9C" w:rsidP="005A35FF">
      <w:pPr>
        <w:rPr>
          <w:lang w:eastAsia="es-MX"/>
        </w:rPr>
      </w:pPr>
    </w:p>
    <w:p w14:paraId="4EEB8618" w14:textId="6678AE15" w:rsidR="00FE04E8" w:rsidRPr="00AA5E21" w:rsidRDefault="00FE04E8" w:rsidP="0024481D">
      <w:pPr>
        <w:pStyle w:val="Ttulo1"/>
        <w:rPr>
          <w:lang w:val="en-US"/>
        </w:rPr>
      </w:pPr>
    </w:p>
    <w:sectPr w:rsidR="00FE04E8" w:rsidRPr="00AA5E21" w:rsidSect="001E768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AE0D0" w14:textId="77777777" w:rsidR="00F17321" w:rsidRDefault="00F17321">
      <w:pPr>
        <w:spacing w:after="0" w:line="240" w:lineRule="auto"/>
      </w:pPr>
      <w:r>
        <w:separator/>
      </w:r>
    </w:p>
  </w:endnote>
  <w:endnote w:type="continuationSeparator" w:id="0">
    <w:p w14:paraId="7CE99F18" w14:textId="77777777" w:rsidR="00F17321" w:rsidRDefault="00F17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9634" w14:textId="77777777" w:rsidR="00F17321" w:rsidRDefault="00F17321">
      <w:pPr>
        <w:spacing w:after="0" w:line="240" w:lineRule="auto"/>
      </w:pPr>
      <w:r>
        <w:separator/>
      </w:r>
    </w:p>
  </w:footnote>
  <w:footnote w:type="continuationSeparator" w:id="0">
    <w:p w14:paraId="3D71464C" w14:textId="77777777" w:rsidR="00F17321" w:rsidRDefault="00F173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160FB"/>
    <w:multiLevelType w:val="hybridMultilevel"/>
    <w:tmpl w:val="7FC8B6CE"/>
    <w:lvl w:ilvl="0" w:tplc="879039F6">
      <w:start w:val="1"/>
      <w:numFmt w:val="bullet"/>
      <w:lvlText w:val="●"/>
      <w:lvlJc w:val="left"/>
      <w:pPr>
        <w:ind w:left="720" w:hanging="360"/>
      </w:pPr>
    </w:lvl>
    <w:lvl w:ilvl="1" w:tplc="1E5E5848">
      <w:start w:val="1"/>
      <w:numFmt w:val="bullet"/>
      <w:lvlText w:val="○"/>
      <w:lvlJc w:val="left"/>
      <w:pPr>
        <w:ind w:left="1440" w:hanging="360"/>
      </w:pPr>
    </w:lvl>
    <w:lvl w:ilvl="2" w:tplc="40463E24">
      <w:start w:val="1"/>
      <w:numFmt w:val="bullet"/>
      <w:lvlText w:val="■"/>
      <w:lvlJc w:val="left"/>
      <w:pPr>
        <w:ind w:left="2160" w:hanging="360"/>
      </w:pPr>
    </w:lvl>
    <w:lvl w:ilvl="3" w:tplc="6ACC7670">
      <w:start w:val="1"/>
      <w:numFmt w:val="bullet"/>
      <w:lvlText w:val="●"/>
      <w:lvlJc w:val="left"/>
      <w:pPr>
        <w:ind w:left="2880" w:hanging="360"/>
      </w:pPr>
    </w:lvl>
    <w:lvl w:ilvl="4" w:tplc="0810A2F8">
      <w:start w:val="1"/>
      <w:numFmt w:val="bullet"/>
      <w:lvlText w:val="○"/>
      <w:lvlJc w:val="left"/>
      <w:pPr>
        <w:ind w:left="3600" w:hanging="360"/>
      </w:pPr>
    </w:lvl>
    <w:lvl w:ilvl="5" w:tplc="A3C40844">
      <w:start w:val="1"/>
      <w:numFmt w:val="bullet"/>
      <w:lvlText w:val="■"/>
      <w:lvlJc w:val="left"/>
      <w:pPr>
        <w:ind w:left="4320" w:hanging="360"/>
      </w:pPr>
    </w:lvl>
    <w:lvl w:ilvl="6" w:tplc="6CAA3C92">
      <w:start w:val="1"/>
      <w:numFmt w:val="bullet"/>
      <w:lvlText w:val="●"/>
      <w:lvlJc w:val="left"/>
      <w:pPr>
        <w:ind w:left="5040" w:hanging="360"/>
      </w:pPr>
    </w:lvl>
    <w:lvl w:ilvl="7" w:tplc="F99EDCCC">
      <w:start w:val="1"/>
      <w:numFmt w:val="bullet"/>
      <w:lvlText w:val="●"/>
      <w:lvlJc w:val="left"/>
      <w:pPr>
        <w:ind w:left="5760" w:hanging="360"/>
      </w:pPr>
    </w:lvl>
    <w:lvl w:ilvl="8" w:tplc="FCF28090">
      <w:start w:val="1"/>
      <w:numFmt w:val="bullet"/>
      <w:lvlText w:val="●"/>
      <w:lvlJc w:val="left"/>
      <w:pPr>
        <w:ind w:left="6480" w:hanging="360"/>
      </w:pPr>
    </w:lvl>
  </w:abstractNum>
  <w:num w:numId="1" w16cid:durableId="91173188">
    <w:abstractNumId w:val="0"/>
    <w:lvlOverride w:ilvl="0">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83746"/>
    <w:rsid w:val="000A51A2"/>
    <w:rsid w:val="000A739A"/>
    <w:rsid w:val="000B25BD"/>
    <w:rsid w:val="000B6AE6"/>
    <w:rsid w:val="000C14B6"/>
    <w:rsid w:val="000D663F"/>
    <w:rsid w:val="000F7B62"/>
    <w:rsid w:val="00120EDC"/>
    <w:rsid w:val="00147219"/>
    <w:rsid w:val="00155BD6"/>
    <w:rsid w:val="00165F62"/>
    <w:rsid w:val="0016686D"/>
    <w:rsid w:val="0019268E"/>
    <w:rsid w:val="00193C87"/>
    <w:rsid w:val="001A31F4"/>
    <w:rsid w:val="001A579A"/>
    <w:rsid w:val="001B2EE1"/>
    <w:rsid w:val="001C7387"/>
    <w:rsid w:val="001E46A5"/>
    <w:rsid w:val="001E768F"/>
    <w:rsid w:val="001F6DF0"/>
    <w:rsid w:val="0020304B"/>
    <w:rsid w:val="00207494"/>
    <w:rsid w:val="00215BBD"/>
    <w:rsid w:val="00224A6E"/>
    <w:rsid w:val="00230EE6"/>
    <w:rsid w:val="002421D1"/>
    <w:rsid w:val="0024481D"/>
    <w:rsid w:val="00247BFA"/>
    <w:rsid w:val="0026731B"/>
    <w:rsid w:val="00275827"/>
    <w:rsid w:val="002A04D8"/>
    <w:rsid w:val="002B0872"/>
    <w:rsid w:val="002B585E"/>
    <w:rsid w:val="002C5E88"/>
    <w:rsid w:val="002D3BF6"/>
    <w:rsid w:val="002E0FAE"/>
    <w:rsid w:val="002E70D2"/>
    <w:rsid w:val="002F373C"/>
    <w:rsid w:val="002F445A"/>
    <w:rsid w:val="0030295F"/>
    <w:rsid w:val="00306DF8"/>
    <w:rsid w:val="003450DA"/>
    <w:rsid w:val="00345337"/>
    <w:rsid w:val="00361ED4"/>
    <w:rsid w:val="00376738"/>
    <w:rsid w:val="0038124D"/>
    <w:rsid w:val="0038135D"/>
    <w:rsid w:val="0039694A"/>
    <w:rsid w:val="003971AD"/>
    <w:rsid w:val="003A036A"/>
    <w:rsid w:val="003E1715"/>
    <w:rsid w:val="00406C6F"/>
    <w:rsid w:val="00407521"/>
    <w:rsid w:val="004143E2"/>
    <w:rsid w:val="00420298"/>
    <w:rsid w:val="00456F45"/>
    <w:rsid w:val="00460FBD"/>
    <w:rsid w:val="00465801"/>
    <w:rsid w:val="004D4DE5"/>
    <w:rsid w:val="004E1CB4"/>
    <w:rsid w:val="004F66B0"/>
    <w:rsid w:val="00510C6D"/>
    <w:rsid w:val="0052764A"/>
    <w:rsid w:val="00530573"/>
    <w:rsid w:val="0054451E"/>
    <w:rsid w:val="005514DF"/>
    <w:rsid w:val="005763ED"/>
    <w:rsid w:val="005A35FF"/>
    <w:rsid w:val="005C72CF"/>
    <w:rsid w:val="005D4FBC"/>
    <w:rsid w:val="005D77F3"/>
    <w:rsid w:val="005E232E"/>
    <w:rsid w:val="005E2DEB"/>
    <w:rsid w:val="006211AE"/>
    <w:rsid w:val="00627899"/>
    <w:rsid w:val="006316BE"/>
    <w:rsid w:val="00633915"/>
    <w:rsid w:val="00670676"/>
    <w:rsid w:val="00681934"/>
    <w:rsid w:val="006861B4"/>
    <w:rsid w:val="006932BD"/>
    <w:rsid w:val="006A0F59"/>
    <w:rsid w:val="006B0D01"/>
    <w:rsid w:val="006B6C7A"/>
    <w:rsid w:val="006F4C9C"/>
    <w:rsid w:val="00711B63"/>
    <w:rsid w:val="007121B5"/>
    <w:rsid w:val="007173ED"/>
    <w:rsid w:val="0072630A"/>
    <w:rsid w:val="00731640"/>
    <w:rsid w:val="007338C3"/>
    <w:rsid w:val="00757C84"/>
    <w:rsid w:val="00772B9A"/>
    <w:rsid w:val="00784817"/>
    <w:rsid w:val="00793329"/>
    <w:rsid w:val="007A73C1"/>
    <w:rsid w:val="007A7635"/>
    <w:rsid w:val="007B6E32"/>
    <w:rsid w:val="007C6E26"/>
    <w:rsid w:val="007E5B72"/>
    <w:rsid w:val="007F17EC"/>
    <w:rsid w:val="0080467F"/>
    <w:rsid w:val="0082595E"/>
    <w:rsid w:val="00826265"/>
    <w:rsid w:val="00884023"/>
    <w:rsid w:val="008A6D06"/>
    <w:rsid w:val="008B4D15"/>
    <w:rsid w:val="008C0AB1"/>
    <w:rsid w:val="008C3170"/>
    <w:rsid w:val="008E7773"/>
    <w:rsid w:val="008F5A61"/>
    <w:rsid w:val="00913000"/>
    <w:rsid w:val="009138AE"/>
    <w:rsid w:val="00916368"/>
    <w:rsid w:val="00924426"/>
    <w:rsid w:val="0093419C"/>
    <w:rsid w:val="009369A2"/>
    <w:rsid w:val="0095370A"/>
    <w:rsid w:val="00954B80"/>
    <w:rsid w:val="00987471"/>
    <w:rsid w:val="009B418A"/>
    <w:rsid w:val="009C2AFD"/>
    <w:rsid w:val="009C495E"/>
    <w:rsid w:val="009D5E68"/>
    <w:rsid w:val="009E1EF9"/>
    <w:rsid w:val="009E290C"/>
    <w:rsid w:val="00A22CCF"/>
    <w:rsid w:val="00A32268"/>
    <w:rsid w:val="00A33120"/>
    <w:rsid w:val="00A6131E"/>
    <w:rsid w:val="00A6718D"/>
    <w:rsid w:val="00A72165"/>
    <w:rsid w:val="00A724BE"/>
    <w:rsid w:val="00A73A84"/>
    <w:rsid w:val="00A801D0"/>
    <w:rsid w:val="00A867D4"/>
    <w:rsid w:val="00A969A9"/>
    <w:rsid w:val="00AA5E21"/>
    <w:rsid w:val="00AA72B4"/>
    <w:rsid w:val="00AB3FF7"/>
    <w:rsid w:val="00AB6502"/>
    <w:rsid w:val="00AC3620"/>
    <w:rsid w:val="00AC4A8F"/>
    <w:rsid w:val="00AE0FF0"/>
    <w:rsid w:val="00B049A4"/>
    <w:rsid w:val="00B04B93"/>
    <w:rsid w:val="00B060BB"/>
    <w:rsid w:val="00B066CC"/>
    <w:rsid w:val="00B07DFE"/>
    <w:rsid w:val="00B13F60"/>
    <w:rsid w:val="00B30B6A"/>
    <w:rsid w:val="00B40E2F"/>
    <w:rsid w:val="00B4591A"/>
    <w:rsid w:val="00B554C9"/>
    <w:rsid w:val="00B56975"/>
    <w:rsid w:val="00B66A61"/>
    <w:rsid w:val="00B72704"/>
    <w:rsid w:val="00B7686F"/>
    <w:rsid w:val="00B85429"/>
    <w:rsid w:val="00B90190"/>
    <w:rsid w:val="00BA5A87"/>
    <w:rsid w:val="00BF019D"/>
    <w:rsid w:val="00BF420F"/>
    <w:rsid w:val="00C013A0"/>
    <w:rsid w:val="00C06E3B"/>
    <w:rsid w:val="00C34CEF"/>
    <w:rsid w:val="00C37824"/>
    <w:rsid w:val="00C57DC7"/>
    <w:rsid w:val="00C633C5"/>
    <w:rsid w:val="00C9396A"/>
    <w:rsid w:val="00C93AD7"/>
    <w:rsid w:val="00C9724C"/>
    <w:rsid w:val="00CC6705"/>
    <w:rsid w:val="00CE583E"/>
    <w:rsid w:val="00D16E2F"/>
    <w:rsid w:val="00D523FA"/>
    <w:rsid w:val="00D838FA"/>
    <w:rsid w:val="00DA3B77"/>
    <w:rsid w:val="00DB06C3"/>
    <w:rsid w:val="00DB4676"/>
    <w:rsid w:val="00DB475C"/>
    <w:rsid w:val="00DD2B79"/>
    <w:rsid w:val="00DF4B19"/>
    <w:rsid w:val="00E01E7A"/>
    <w:rsid w:val="00E058BD"/>
    <w:rsid w:val="00E34B40"/>
    <w:rsid w:val="00E40EBA"/>
    <w:rsid w:val="00E414D3"/>
    <w:rsid w:val="00E569DD"/>
    <w:rsid w:val="00E65F6C"/>
    <w:rsid w:val="00E65F9C"/>
    <w:rsid w:val="00E66710"/>
    <w:rsid w:val="00E75D1B"/>
    <w:rsid w:val="00E760BA"/>
    <w:rsid w:val="00E7655E"/>
    <w:rsid w:val="00E95AE9"/>
    <w:rsid w:val="00EB563F"/>
    <w:rsid w:val="00EB7F06"/>
    <w:rsid w:val="00EF3D55"/>
    <w:rsid w:val="00EF6BB1"/>
    <w:rsid w:val="00F0736B"/>
    <w:rsid w:val="00F101A2"/>
    <w:rsid w:val="00F17321"/>
    <w:rsid w:val="00F85099"/>
    <w:rsid w:val="00F90082"/>
    <w:rsid w:val="00FB3767"/>
    <w:rsid w:val="00FC2353"/>
    <w:rsid w:val="00FE04E8"/>
    <w:rsid w:val="00FE47DA"/>
    <w:rsid w:val="00FF41A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72B8EA5E-C1F9-43E6-AC91-21C43BBCD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24481D"/>
    <w:pPr>
      <w:keepNext/>
      <w:keepLines/>
      <w:spacing w:before="300" w:after="200"/>
      <w:outlineLvl w:val="0"/>
    </w:pPr>
    <w:rPr>
      <w:rFonts w:eastAsiaTheme="majorEastAsia" w:cstheme="majorBidi"/>
      <w:b/>
      <w:bCs/>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481D"/>
    <w:rPr>
      <w:rFonts w:ascii="Arial" w:eastAsiaTheme="majorEastAsia" w:hAnsi="Arial" w:cstheme="majorBidi"/>
      <w:b/>
      <w:bCs/>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mi.org/learning/library/es-gestionando-proyectos-analizando-riesgos-7166"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ealde.es/analisis-cualitativo-cuantitativo-gestion-de-riesgos-direccion-de-proyectos/"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mi.org/learning/library/es-desmitificando-el-enfoque-practico-de-la-planificacion-de-riesgos-733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693</TotalTime>
  <Pages>1</Pages>
  <Words>1205</Words>
  <Characters>6631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10</cp:revision>
  <cp:lastPrinted>2025-08-15T06:07:00Z</cp:lastPrinted>
  <dcterms:created xsi:type="dcterms:W3CDTF">2025-01-29T05:01:00Z</dcterms:created>
  <dcterms:modified xsi:type="dcterms:W3CDTF">2026-09-17T18:39:00Z</dcterms:modified>
</cp:coreProperties>
</file>