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087F7A"/>
          <w:sz w:val="23"/>
          <w:szCs w:val="23"/>
        </w:rPr>
        <w:t xml:space="preserve">A02 • FUNDAMENTOS E RISCO</w:t>
      </w:r>
    </w:p>
    <w:p>
      <w:pPr>
        <w:pStyle w:val="Title"/>
      </w:pPr>
      <w:r>
        <w:t xml:space="preserve">O que realmente está exposto?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Missão: investigar uma exposição simples no Juice Shop local e produzir um registro que conecte ativo, fraqueza, vetor, consequência, controle e reteste.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00"/>
      </w:tblGrid>
      <w:tr>
        <w:trPr>
          <w:tblHeader/>
        </w:trPr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Duração</w:t>
            </w:r>
          </w:p>
        </w:tc>
        <w:tc>
          <w:tcPr>
            <w:tcW w:type="dxa" w:w="3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Organização</w:t>
            </w:r>
          </w:p>
        </w:tc>
        <w:tc>
          <w:tcPr>
            <w:tcW w:type="dxa" w:w="35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Entrega</w:t>
            </w:r>
          </w:p>
        </w:tc>
      </w:tr>
      <w:tr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52 minutos</w:t>
            </w:r>
          </w:p>
        </w:tc>
        <w:tc>
          <w:tcPr>
            <w:tcW w:type="dxa" w:w="3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duplas; papéis rotativos</w:t>
            </w:r>
          </w:p>
        </w:tc>
        <w:tc>
          <w:tcPr>
            <w:tcW w:type="dxa" w:w="3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um PDF por dupla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Inventariar os ativos do ambiente Juice Shop relacionando função e consequência.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Distinguir ameaça, fraqueza, vulnerabilidade, exposição e exploit na evidência.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Priorizar o registro, escolher controle e definir validação reproduzível.</w:t>
      </w:r>
    </w:p>
    <w:p>
      <w:pPr>
        <w:pStyle w:val="Heading1"/>
        <w:keepNext/>
        <w:spacing w:after="100" w:before="220"/>
      </w:pPr>
      <w:r>
        <w:t xml:space="preserve">Pré-requisitos e recursos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A01 e página MkDocs A02 consultável durante a atividade.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Desktop iniciado no Windows ou Docker Engine em execução no Linux.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Navegador com DevTools; Burp Community é opcional.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Acesso para baixar a imagem antes da aula; depois do download, a prática pode continuar localmente.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Este roteiro contém evidência alternativa para falha do ambiente.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Escopo: somente o Juice Shop local fornecido. Não teste a demonstração pública, sistemas institucionais ou terceiros. Use dados fictícios. Pare se o destino divergir, houver dados reais ou o comportamento alcançar outro sistema.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Previsão inicial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A rota será fornecida; não é preciso descobri-la. Antes de acessar, preveja: a requisição será aceita sem login? Que resposta indicaria entrega do arquivo? O que essa resposta ainda não permitiria concluir?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Resposta esperada: __________________________________________________________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Limite da conclusão: _________________________________________________________</w:t>
      </w:r>
    </w:p>
    <w:p>
      <w:r>
        <w:br w:type="page"/>
      </w:r>
    </w:p>
    <w:p>
      <w:pPr>
        <w:pStyle w:val="Heading2"/>
        <w:keepNext/>
        <w:spacing w:after="100" w:before="220"/>
      </w:pPr>
      <w:r>
        <w:t xml:space="preserve">Etapa 1 — Subir o Juice Shop localmente (12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Os comandos Docker são iguais no PowerShell do Windows e no terminal Linux. No Windows, abra primeiro o Docker Desktop em modo de containers Linux. No Linux, confirme que o Docker Engine está ativo.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1. Confirme que o cliente consegue falar com o mecanismo Docker: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version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2. Baixe a imagem oficial usada pelo guia do OWASP Juice Shop: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pull bkimminich/juice-shop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3. Inicie um container acessível somente pela própria máquina: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run --rm -d --name juice-shop-a02 -p 127.0.0.1:3000:3000 bkimminich/juice-shop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4. Confirme o estado e aguarde a coluna STATUS indicar que o container está em execução: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ps --filter name=juice-shop-a02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O vínculo 127.0.0.1 limita o serviço ao computador local. Não substitua por 0.0.0.0, não publique a porta no roteador e não use a demonstração pública do Juice Shop como alvo.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Windows — PowerShell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Inicie o Docker Desktop e aguarde a indicação de que o mecanismo está ativo.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os quatro comandos acima no PowerShell, sem acrescentar sudo.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Abra http://127.0.0.1:3000 no navegador. Se o Docker estiver em modo de containers Windows, altere para containers Linux.</w:t>
      </w:r>
    </w:p>
    <w:p>
      <w:pPr>
        <w:pStyle w:val="Heading2"/>
        <w:keepNext/>
        <w:spacing w:after="100" w:before="220"/>
      </w:pPr>
      <w:r>
        <w:t xml:space="preserve">Linux — terminal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docker version. Se houver erro de conexão, inicie o serviço conforme a instalação da sua distribuição ou peça apoio ao professor.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Execute os quatro comandos acima. Use sudo somente se essa for a configuração institucional definida para o laboratório.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Abra http://127.0.0.1:3000 no navegador.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Se a porta 3000 já estiver ocupada, pare e confirme com o professor. Quando autorizado, use -p 127.0.0.1:3001:3000 e acesse http://127.0.0.1:3001.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2 — Verificar o alvo e organizar a dupla (5 min)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a barra de endereço mostra exatamente 127.0.0.1 e a porta escolhida.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Registre o estado inicial sem capturar cookies, tokens ou credenciais.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Definam papéis: investigador opera; revisor confere escopo e anota. Troquem depois da observação.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Se a página não abrir, consulte docker logs --tail 30 juice-shop-a02. Não improvise contra outro endereço.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Estado inicial: alvo sanitizado, horário relativo e confirmação de que a página inicial responde. Não capture credenciais, tokens, cookies ou IP público.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3 — Executar a requisição guiada (12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 professor executará a primeira vez com a turma. Abra DevTools, selecione Network, marque Preserve log e acesse exatamente http://127.0.0.1:3000/ftp/acquisitions.md. Não procure outras rotas.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GET /ftp/acquisitions.md HTTP/1.1
Host: 127.0.0.1:3000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Localize a requisição e registre: método GET; caminho /ftp/acquisitions.md; status observado; Content-Type; presença ou ausência de autenticação; uma frase do documento que indique sua função ou sensibilidade. Não capture cookies ou tokens.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RESULTADO ESPERADO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Na imagem validada para a aula, a resposta é HTTP 200 e text/markdown. Se sua versão diferir, registre o resultado real e use a evidência impressa para continuar; não tente contornar o comportamento.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Um código 200 comprova que o servidor entregou o recurso naquela requisição. Ele não prova sozinho a causa, a autoria, o alcance nem a consequência.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4 — Construir o inventário com apoio (8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Os ativos já estão nomeados para reduzir a carga inicial. Complete função, responsável provável e consequência usando apenas o ambiente investigado.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700"/>
        <w:gridCol w:w="2500"/>
      </w:tblGrid>
      <w:tr>
        <w:trPr>
          <w:tblHeader/>
        </w:trPr>
        <w:tc>
          <w:tcPr>
            <w:tcW w:type="dxa" w:w="24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Ativo fornecido</w:t>
            </w:r>
          </w:p>
        </w:tc>
        <w:tc>
          <w:tcPr>
            <w:tcW w:type="dxa" w:w="27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Função/responsável</w:t>
            </w:r>
          </w:p>
        </w:tc>
        <w:tc>
          <w:tcPr>
            <w:tcW w:type="dxa" w:w="27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Consequência</w:t>
            </w:r>
          </w:p>
        </w:tc>
        <w:tc>
          <w:tcPr>
            <w:tcW w:type="dxa" w:w="25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</w:t>
            </w:r>
          </w:p>
        </w:tc>
      </w:tr>
      <w:tr>
        <w:tc>
          <w:tcPr>
            <w:tcW w:type="dxa" w:w="2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informação em acquisitions.md</w:t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trecho + resposta HTTP</w:t>
            </w:r>
          </w:p>
        </w:tc>
      </w:tr>
      <w:tr>
        <w:tc>
          <w:tcPr>
            <w:tcW w:type="dxa" w:w="2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arquivo acquisitions.md</w:t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caminho e tipo</w:t>
            </w:r>
          </w:p>
        </w:tc>
      </w:tr>
      <w:tr>
        <w:tc>
          <w:tcPr>
            <w:tcW w:type="dxa" w:w="2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rota/serviço web</w:t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GET e status</w:t>
            </w:r>
          </w:p>
        </w:tc>
      </w:tr>
      <w:tr>
        <w:tc>
          <w:tcPr>
            <w:tcW w:type="dxa" w:w="24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container Juice Shop</w:t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docker ps / URL local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5 — Do observado aos conceitos (8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Use o exemplo iniciado pelo professor. Sua tarefa é justificar, limitar e corrigir as frases — não memorizar definições.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3900"/>
      </w:tblGrid>
      <w:tr>
        <w:trPr>
          <w:tblHeader/>
        </w:trPr>
        <w:tc>
          <w:tcPr>
            <w:tcW w:type="dxa" w:w="21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Conceito</w:t>
            </w:r>
          </w:p>
        </w:tc>
        <w:tc>
          <w:tcPr>
            <w:tcW w:type="dxa" w:w="4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Ponto de partida</w:t>
            </w:r>
          </w:p>
        </w:tc>
        <w:tc>
          <w:tcPr>
            <w:tcW w:type="dxa" w:w="3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Justificativa ou limite da dupla</w:t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Ativo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 informação e o arquivo têm valor para o cenário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Ameaça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alguém sem autorização pode obter a informação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Fraqueza — hipótese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arquivo em área servida ou autorização ausente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Vulnerabilidade observada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esta implantação entrega o arquivo sem login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Exposição/vetor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requisição HTTP GET para a rota fornecida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Consequência</w:t>
            </w:r>
          </w:p>
        </w:tc>
        <w:tc>
          <w:tcPr>
            <w:tcW w:type="dxa" w:w="4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divulgação de planos fictícios de aquisição</w:t>
            </w:r>
          </w:p>
        </w:tc>
        <w:tc>
          <w:tcPr>
            <w:tcW w:type="dxa" w:w="3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DISTINÇÃO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Fraqueza explica uma condição provável e ainda exige arquitetura/configuração para confirmação. Vulnerabilidade, nesta atividade, é a instância concreta observada: a implantação entrega o recurso sem a restrição esperada.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45"/>
              <w:left w:type="dxa" w:w="180"/>
              <w:bottom w:type="dxa" w:w="145"/>
              <w:right w:type="dxa" w:w="180"/>
            </w:tcMar>
          </w:tcPr>
          <w:p>
            <w:pPr>
              <w:spacing w:after="65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DECISÃO</w:t>
            </w:r>
          </w:p>
          <w:p>
            <w:pPr>
              <w:spacing w:line="315"/>
            </w:pPr>
            <w:r>
              <w:rPr>
                <w:color w:val="FFFFFF"/>
                <w:sz w:val="23"/>
                <w:szCs w:val="23"/>
              </w:rPr>
              <w:t xml:space="preserve">Escolha uma prioridade pela consequência, não pela obtenção de uma flag. Explique o que mudaria a prioridade.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6 — Compreender, escolher e validar um controle (7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Controle é uma medida que modifica o risco: pode prevenir, detectar, corrigir ou apoiar recuperação. Uma ferramenta só se torna controle quando possui finalidade, responsável e forma de verificar seu funcionamento. Classifique as opções abaixo e recomende uma conforme a função do recurso.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900"/>
        <w:gridCol w:w="2900"/>
      </w:tblGrid>
      <w:tr>
        <w:trPr>
          <w:tblHeader/>
        </w:trPr>
        <w:tc>
          <w:tcPr>
            <w:tcW w:type="dxa" w:w="1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Opção</w:t>
            </w:r>
          </w:p>
        </w:tc>
        <w:tc>
          <w:tcPr>
            <w:tcW w:type="dxa" w:w="26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Melhor uso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Evidência/entrega</w:t>
            </w:r>
          </w:p>
        </w:tc>
        <w:tc>
          <w:tcPr>
            <w:tcW w:type="dxa" w:w="29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Limitação/risco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Remover da área pública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recurso não deve ser servido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rota negada e publicação revisada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pode quebrar dependência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Autorizar no servidor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papel precisa acessar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casos permitido e negado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política incorreta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Reduzir conteúdo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publicação é necessária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somente dados necessários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corrige outras rotas</w:t>
            </w:r>
          </w:p>
        </w:tc>
      </w:tr>
      <w:tr>
        <w:tc>
          <w:tcPr>
            <w:tcW w:type="dxa" w:w="1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Detectar acessos</w:t>
            </w:r>
          </w:p>
        </w:tc>
        <w:tc>
          <w:tcPr>
            <w:tcW w:type="dxa" w:w="26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correção não imediata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log/alerta testado</w:t>
            </w:r>
          </w:p>
        </w:tc>
        <w:tc>
          <w:tcPr>
            <w:tcW w:type="dxa" w:w="29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não impede exposição</w:t>
            </w:r>
          </w:p>
        </w:tc>
      </w:tr>
    </w:tbl>
    <w:p>
      <w:pPr>
        <w:spacing w:after="120" w:line="330"/>
      </w:pPr>
      <w:r>
        <w:rPr>
          <w:color w:val="172B4D"/>
          <w:sz w:val="24"/>
          <w:szCs w:val="24"/>
        </w:rPr>
        <w:t xml:space="preserve">Controle escolhido e premissa: 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Reteste e resultado esperado: ___________________________________________________</w:t>
      </w:r>
    </w:p>
    <w:p>
      <w:pPr>
        <w:pStyle w:val="Heading1"/>
        <w:keepNext/>
        <w:spacing w:after="100" w:before="220"/>
      </w:pPr>
      <w:r>
        <w:t xml:space="preserve">Entrega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Envie no Google Classroom um PDF chamado A02-dupla-NN.pdf com: hipótese inicial; inventário priorizado; uma evidência interpretada; registro de vulnerabilidade; controle e reteste; reflexão de até cinco linhas. Uma captura sem interpretação não conta como evidência.</w:t>
      </w:r>
    </w:p>
    <w:p>
      <w:pPr>
        <w:pStyle w:val="Heading1"/>
        <w:keepNext/>
        <w:spacing w:after="100" w:before="220"/>
      </w:pPr>
      <w:r>
        <w:t xml:space="preserve">Critérios de sucesso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4000"/>
      </w:tblGrid>
      <w:tr>
        <w:trPr>
          <w:tblHeader/>
        </w:trPr>
        <w:tc>
          <w:tcPr>
            <w:tcW w:type="dxa" w:w="23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Critério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Atendeu</w:t>
            </w:r>
          </w:p>
        </w:tc>
        <w:tc>
          <w:tcPr>
            <w:tcW w:type="dxa" w:w="4000"/>
            <w:shd w:fill="12304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Parcial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Inventário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ativos, função, proprietário e consequência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lista sem priorização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Precisão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termos distintos e limites explícitos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mistura termos ou afirma causa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Evidência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reproduzível, sanitizada e interpretada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captura pouco explicada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Tratamento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ligado à causa e reteste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controle genérico</w:t>
            </w:r>
          </w:p>
        </w:tc>
      </w:tr>
      <w:tr>
        <w:tc>
          <w:tcPr>
            <w:tcW w:type="dxa" w:w="23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Conduta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escopo e parada respeitados</w:t>
            </w:r>
          </w:p>
        </w:tc>
        <w:tc>
          <w:tcPr>
            <w:tcW w:type="dxa" w:w="4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90"/>
            </w:pPr>
            <w:r>
              <w:rPr>
                <w:b w:val="false"/>
                <w:bCs w:val="false"/>
                <w:color w:val="172B4D"/>
                <w:sz w:val="22"/>
                <w:szCs w:val="22"/>
              </w:rPr>
              <w:t xml:space="preserve">registro incompleto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220"/>
      </w:pPr>
      <w:r>
        <w:t xml:space="preserve">Limpeza e encerramento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Windows PowerShell e Linux usam o mesmo comando para parar o container:</w:t>
      </w:r>
    </w:p>
    <w:p>
      <w:pPr>
        <w:shd w:fill="0D2235" w:val="clear"/>
        <w:spacing w:after="110" w:before="50" w:line="280"/>
        <w:ind w:left="180" w:right="180"/>
      </w:pPr>
      <w:r>
        <w:rPr>
          <w:rFonts w:ascii="Consolas" w:cs="Consolas" w:eastAsia="Consolas" w:hAnsi="Consolas"/>
          <w:color w:val="D8F3EA"/>
          <w:sz w:val="20"/>
          <w:szCs w:val="20"/>
        </w:rPr>
        <w:t xml:space="preserve">docker stop juice-shop-a02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docker ps --filter name=juice-shop-a02 não lista o container em execução.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Como foi usado --rm, o container é removido automaticamente após a parada; a imagem permanece para reutilização.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Feche DevTools e descarte capturas que contenham cookies, tokens ou dados não sanitizados.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Confirme que http://127.0.0.1:3000 não responde mais e preserve somente o PDF sanitizado.</w:t>
      </w:r>
    </w:p>
    <w:p>
      <w:pPr>
        <w:pStyle w:val="Heading1"/>
        <w:keepNext/>
        <w:spacing w:after="100" w:before="220"/>
      </w:pPr>
      <w:r>
        <w:t xml:space="preserve">Extensão opcional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Proponha uma consulta de inventário que encontraria exposições semelhantes sem varrer redes ou testar terceiros. Indique fonte dos dados, responsável e critério de atualização.</w:t>
      </w:r>
    </w:p>
    <w:p>
      <w:pPr>
        <w:pStyle w:val="Heading1"/>
        <w:keepNext/>
        <w:spacing w:after="100" w:before="220"/>
      </w:pPr>
      <w:r>
        <w:t xml:space="preserve">Transferência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Em uma HMI industrial, qual consequência física e qual janela de manutenção mudariam a escolha entre remover, autorizar e monitorar?</w:t>
      </w:r>
    </w:p>
    <w:p>
      <w:pPr>
        <w:pStyle w:val="Heading1"/>
        <w:keepNext/>
        <w:spacing w:after="100" w:before="220"/>
      </w:pPr>
      <w:r>
        <w:t xml:space="preserve">Fontes oficiais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OWASP Juice Shop — execução com Docker: https://pwning.owasp-juice.shop/companion-guide/latest/part1/running.html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Desktop para Windows: https://docs.docker.com/desktop/setup/install/windows-install/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Docker Engine para Linux: https://docs.docker.com/engine/install/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NIST CSF 2.0 — https://doi.org/10.6028/NIST.CSWP.29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CVE Program — https://www.cve.org/</w:t>
      </w:r>
    </w:p>
    <w:p>
      <w:pPr>
        <w:pStyle w:val="ListParagraph"/>
        <w:numPr>
          <w:ilvl w:val="0"/>
          <w:numId w:val="1"/>
        </w:numPr>
        <w:spacing w:after="85" w:line="315"/>
      </w:pPr>
      <w:r>
        <w:rPr>
          <w:color w:val="172B4D"/>
          <w:sz w:val="24"/>
          <w:szCs w:val="24"/>
        </w:rPr>
        <w:t xml:space="preserve">CWE — https://cwe.mitre.org/</w:t>
      </w:r>
    </w:p>
    <w:sectPr>
      <w:footerReference w:type="default" r:id="rId7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E71"/>
        <w:sz w:val="18"/>
        <w:szCs w:val="18"/>
      </w:rPr>
      <w:t xml:space="preserve">A02 • Segurança Digital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4"/>
        <w:szCs w:val="24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8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B65C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A02 — Ativos, ameaças e vulnerabilidades — prática</dc:title>
  <dc:creator>Curso de Segurança Digital</dc:creator>
  <cp:lastModifiedBy>Un-named</cp:lastModifiedBy>
  <cp:revision>1</cp:revision>
  <dcterms:created xsi:type="dcterms:W3CDTF">2026-08-06T21:50:05.639Z</dcterms:created>
  <dcterms:modified xsi:type="dcterms:W3CDTF">2026-08-06T21:50:05.639Z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