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87F7A"/>
          <w:sz w:val="23"/>
          <w:szCs w:val="23"/>
        </w:rPr>
        <w:t xml:space="preserve">ROTEIRO DOCENTE • A03</w:t>
      </w:r>
    </w:p>
    <w:p>
      <w:pPr>
        <w:pStyle w:val="Title"/>
      </w:pPr>
      <w:r>
        <w:t xml:space="preserve">Por onde o incidente atravessa o sistema?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Guia detalhado para conduzir modelagem de ameaças e tabletop de ransomware sem malware em 104 minutos.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Carga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Organização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Produto</w:t>
            </w:r>
          </w:p>
        </w:tc>
      </w:tr>
      <w:t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52 + 52 min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grupos de 3–4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TI/OT fictício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modelo + 3 caminhos + risco</w:t>
            </w:r>
          </w:p>
        </w:tc>
      </w:tr>
    </w:tbl>
    <w:p>
      <w:pPr>
        <w:pStyle w:val="Heading1"/>
        <w:keepNext/>
      </w:pPr>
      <w:r>
        <w:t xml:space="preserve">Contexto para o professor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A A03 reutiliza o inventário da A02. Uma identidade de suporte aparece em eventos no servidor de arquivos e uma sessão parte da estação de engenharia em direção ao jump host OT. A tensão pedagógica é resistir ao diagnóstico prematuro de ransomware e transformar correlação em perguntas de arquitetura, fronteiras, evidência e consequência.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B65C2" w:val="clear"/>
            <w:tcMar>
              <w:top w:type="dxa" w:w="140"/>
              <w:left w:type="dxa" w:w="175"/>
              <w:bottom w:type="dxa" w:w="140"/>
              <w:right w:type="dxa" w:w="175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PERGUNTA MOBILIZADORA</w:t>
            </w:r>
          </w:p>
          <w:p>
            <w:r>
              <w:rPr>
                <w:color w:val="FFFFFF"/>
                <w:sz w:val="23"/>
                <w:szCs w:val="23"/>
              </w:rPr>
              <w:t xml:space="preserve">O que precisa ser verdade para que eventos em TI alcancem uma consequência no processo — e onde esse caminho pode ser interrompido com segurança?</w:t>
            </w:r>
          </w:p>
        </w:tc>
      </w:tr>
    </w:tbl>
    <w:p>
      <w:pPr>
        <w:pStyle w:val="Heading1"/>
        <w:keepNext/>
      </w:pPr>
      <w:r>
        <w:t xml:space="preserve">Resultados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Desenhar o funcionamento normal antes do abuso.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Usar STRIDE para ameaças testáveis e taxonomias com finalidade correta.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Defender tratamento, validação e risco residual.</w:t>
      </w:r>
    </w:p>
    <w:p>
      <w:r>
        <w:br w:type="page"/>
      </w:r>
    </w:p>
    <w:p>
      <w:pPr>
        <w:pStyle w:val="Heading1"/>
        <w:keepNext/>
      </w:pPr>
      <w:r>
        <w:t xml:space="preserve">1. Preparação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Validar slides, PDF, links e legibilidade.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Escolher diagrams.net, Threat Dragon, Mermaid ou papel A3; manter alternativa impressa.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Preparar três cartões: backup íntegro incerto; conta compartilhada; sessão autorizada rumo ao jump host.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Explicitar que não haverá malware, criptografia, comando ofensivo ou teste de rede.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Papel</w:t>
            </w:r>
          </w:p>
        </w:tc>
        <w:tc>
          <w:tcPr>
            <w:tcW w:type="dxa" w:w="7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Arquiteto</w:t>
            </w:r>
          </w:p>
        </w:tc>
        <w:tc>
          <w:tcPr>
            <w:tcW w:type="dxa" w:w="7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mantém componentes e fluxos legíveis</w:t>
            </w:r>
          </w:p>
        </w:tc>
      </w:tr>
      <w:tr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Adversário autorizado</w:t>
            </w:r>
          </w:p>
        </w:tc>
        <w:tc>
          <w:tcPr>
            <w:tcW w:type="dxa" w:w="7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questiona pré-condições sem executar</w:t>
            </w:r>
          </w:p>
        </w:tc>
      </w:tr>
      <w:tr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Defensor</w:t>
            </w:r>
          </w:p>
        </w:tc>
        <w:tc>
          <w:tcPr>
            <w:tcW w:type="dxa" w:w="7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propõe coleta, controle e validação</w:t>
            </w:r>
          </w:p>
        </w:tc>
      </w:tr>
      <w:tr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Relator</w:t>
            </w:r>
          </w:p>
        </w:tc>
        <w:tc>
          <w:tcPr>
            <w:tcW w:type="dxa" w:w="7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separa evidência, suposição e decisão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42318" w:val="clear"/>
            <w:tcMar>
              <w:top w:type="dxa" w:w="140"/>
              <w:left w:type="dxa" w:w="175"/>
              <w:bottom w:type="dxa" w:w="140"/>
              <w:right w:type="dxa" w:w="175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PARADA</w:t>
            </w:r>
          </w:p>
          <w:p>
            <w:r>
              <w:rPr>
                <w:color w:val="FFFFFF"/>
                <w:sz w:val="23"/>
                <w:szCs w:val="23"/>
              </w:rPr>
              <w:t xml:space="preserve">Destino externo, dado real, tentativa técnica ofensiva, efeito operacional ou discussão que proponha testar sistemas fora do cenário.</w:t>
            </w:r>
          </w:p>
        </w:tc>
      </w:tr>
    </w:tbl>
    <w:p>
      <w:pPr>
        <w:pStyle w:val="Heading1"/>
        <w:keepNext/>
      </w:pPr>
      <w:r>
        <w:t xml:space="preserve">Plano B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Se a ferramenta falhar, papel A3 atende integralmente. Se faltar tempo, forneça os componentes e peça que os grupos desenhem apenas fluxos, fronteiras e caminhos.</w:t>
      </w:r>
    </w:p>
    <w:p>
      <w:r>
        <w:br w:type="page"/>
      </w:r>
    </w:p>
    <w:p>
      <w:pPr>
        <w:pStyle w:val="Heading1"/>
        <w:keepNext/>
      </w:pPr>
      <w:r>
        <w:t xml:space="preserve">2. Condução dos slides — 52 min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Tempo/slide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Mediação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Evidência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0–6 • 1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apresentar tensão TI/OT sem diagnóstico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duas observações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6–13 • 2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previsão: caminho, alternativa e dado decisivo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hipóteses concorrentes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13–23 • 3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desenhar fluxo normal; marcar confiança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primeira fronteira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23–35 • 4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STRIDE em um fluxo e um armazenamento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ameaça testável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35–43 • 5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comparar recursos e evitar equivalências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escolha de taxonomia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43–48 • 6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votar no ponto de interrupção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premissa + validação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48–50 • 7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explicar tabletop não destrutivo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critério de parada</w:t>
            </w:r>
          </w:p>
        </w:tc>
      </w:tr>
      <w:t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50–52 • 8–9</w:t>
            </w:r>
          </w:p>
        </w:tc>
        <w:tc>
          <w:tcPr>
            <w:tcW w:type="dxa" w:w="5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entrega e transição</w:t>
            </w:r>
          </w:p>
        </w:tc>
        <w:tc>
          <w:tcPr>
            <w:tcW w:type="dxa" w:w="2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papéis assumidos</w:t>
            </w:r>
          </w:p>
        </w:tc>
      </w:tr>
    </w:tbl>
    <w:p>
      <w:pPr>
        <w:pStyle w:val="Heading1"/>
        <w:keepNext/>
      </w:pPr>
      <w:r>
        <w:t xml:space="preserve">Falas sugeridas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“O log mostra um caminho completo ou apenas pontos que ainda precisam ser ligados?”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“Onde muda quem administra, quem autoriza ou qual consequência é possível?”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“Essa referência descreve fraqueza, padrão ou comportamento?”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“Que operação legítima o controle pode interromper?”</w:t>
      </w:r>
    </w:p>
    <w:p>
      <w:pPr>
        <w:pStyle w:val="Heading1"/>
        <w:keepNext/>
      </w:pPr>
      <w:r>
        <w:t xml:space="preserve">Não antecipar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Não confirmar ransomware, comprometimento ou acesso OT.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Não transformar STRIDE em seis ameaças obrigatórias por elemento.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Não fornecer um diagrama final antes da primeira versão dos grupos.</w:t>
      </w:r>
    </w:p>
    <w:p>
      <w:r>
        <w:br w:type="page"/>
      </w:r>
    </w:p>
    <w:p>
      <w:pPr>
        <w:pStyle w:val="Heading1"/>
        <w:keepNext/>
      </w:pPr>
      <w:r>
        <w:t xml:space="preserve">3. Mediação da prática — 52 min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700"/>
      </w:tblGrid>
      <w:tr>
        <w:trPr>
          <w:tblHeader/>
        </w:trP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Tempo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4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Pergunta do professor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52–62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desenho e fronteiras</w:t>
            </w:r>
          </w:p>
        </w:tc>
        <w:tc>
          <w:tcPr>
            <w:tcW w:type="dxa" w:w="4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o que atravessa e por que é confiável?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62–77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ameaças e caminhos</w:t>
            </w:r>
          </w:p>
        </w:tc>
        <w:tc>
          <w:tcPr>
            <w:tcW w:type="dxa" w:w="4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qual condição precisa ser verdadeira?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77–91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cartões do tabletop</w:t>
            </w:r>
          </w:p>
        </w:tc>
        <w:tc>
          <w:tcPr>
            <w:tcW w:type="dxa" w:w="4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que evidência muda a decisão?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91–100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risco e tratamento</w:t>
            </w:r>
          </w:p>
        </w:tc>
        <w:tc>
          <w:tcPr>
            <w:tcW w:type="dxa" w:w="4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qual consequência e risco residual?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100–104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revisão/limpeza</w:t>
            </w:r>
          </w:p>
        </w:tc>
        <w:tc>
          <w:tcPr>
            <w:tcW w:type="dxa" w:w="4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outra equipe consegue validar?</w:t>
            </w:r>
          </w:p>
        </w:tc>
      </w:tr>
    </w:tbl>
    <w:p>
      <w:pPr>
        <w:pStyle w:val="Heading1"/>
        <w:keepNext/>
      </w:pPr>
      <w:r>
        <w:t xml:space="preserve">Cartões e facilitação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4300"/>
      </w:tblGrid>
      <w:tr>
        <w:trPr>
          <w:tblHeader/>
        </w:trP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Cartão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Informação revelada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Boa decisão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último teste de restauração é desconhecido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verificar restauração antes de depender do backup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B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svc_support é compartilhada por fornecedor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conter com coordenação; migrar para identidade individual/MFA</w:t>
            </w:r>
          </w:p>
        </w:tc>
      </w:tr>
      <w:tr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sessão ao jump host estava no calendário, mas origem diverge</w:t>
            </w:r>
          </w:p>
        </w:tc>
        <w:tc>
          <w:tcPr>
            <w:tcW w:type="dxa" w:w="4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preservar logs, verificar identidade e restringir sem perder acesso seguro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B65C2" w:val="clear"/>
            <w:tcMar>
              <w:top w:type="dxa" w:w="140"/>
              <w:left w:type="dxa" w:w="175"/>
              <w:bottom w:type="dxa" w:w="140"/>
              <w:right w:type="dxa" w:w="175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EVIDÊNCIA</w:t>
            </w:r>
          </w:p>
          <w:p>
            <w:r>
              <w:rPr>
                <w:color w:val="FFFFFF"/>
                <w:sz w:val="23"/>
                <w:szCs w:val="23"/>
              </w:rPr>
              <w:t xml:space="preserve">A captura do diagrama não basta: cada caminho precisa declarar observações, suposições, consequência e ponto de interrupção.</w:t>
            </w:r>
          </w:p>
        </w:tc>
      </w:tr>
    </w:tbl>
    <w:p>
      <w:pPr>
        <w:pStyle w:val="Heading1"/>
        <w:keepNext/>
      </w:pPr>
      <w:r>
        <w:t xml:space="preserve">Pistas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Comece pelo processo normal, não pelo atacante.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Circule onde muda identidade, autoridade ou consequência.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Complete agente + condição + elemento + consequência + evidência.</w:t>
      </w:r>
    </w:p>
    <w:p>
      <w:r>
        <w:br w:type="page"/>
      </w:r>
    </w:p>
    <w:p>
      <w:pPr>
        <w:pStyle w:val="Heading1"/>
        <w:keepNext/>
      </w:pPr>
      <w:r>
        <w:t xml:space="preserve">4. Respostas esperadas e avaliação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400"/>
      </w:tblGrid>
      <w:tr>
        <w:trPr>
          <w:tblHeader/>
        </w:trPr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Erro produtivo</w:t>
            </w:r>
          </w:p>
        </w:tc>
        <w:tc>
          <w:tcPr>
            <w:tcW w:type="dxa" w:w="6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2304A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Intervenção</w:t>
            </w:r>
          </w:p>
        </w:tc>
      </w:tr>
      <w:tr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fronteira = firewall</w:t>
            </w:r>
          </w:p>
        </w:tc>
        <w:tc>
          <w:tcPr>
            <w:tcW w:type="dxa" w:w="6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perguntar onde mudam autoridade, dono e consequência</w:t>
            </w:r>
          </w:p>
        </w:tc>
      </w:tr>
      <w:tr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ATT&amp;CK = vulnerabilidade</w:t>
            </w:r>
          </w:p>
        </w:tc>
        <w:tc>
          <w:tcPr>
            <w:tcW w:type="dxa" w:w="6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retomar comportamento observado versus condição explorável</w:t>
            </w:r>
          </w:p>
        </w:tc>
      </w:tr>
      <w:tr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CAPEC = grupo adversário</w:t>
            </w:r>
          </w:p>
        </w:tc>
        <w:tc>
          <w:tcPr>
            <w:tcW w:type="dxa" w:w="6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retomar padrão, pré-condições e mitigação</w:t>
            </w:r>
          </w:p>
        </w:tc>
      </w:tr>
      <w:tr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risco = número de etapas</w:t>
            </w:r>
          </w:p>
        </w:tc>
        <w:tc>
          <w:tcPr>
            <w:tcW w:type="dxa" w:w="6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pedir consequência, exposição e controles existentes</w:t>
            </w:r>
          </w:p>
        </w:tc>
      </w:tr>
      <w:tr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segmentar resolve tudo</w:t>
            </w:r>
          </w:p>
        </w:tc>
        <w:tc>
          <w:tcPr>
            <w:tcW w:type="dxa" w:w="6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FFF" w:val="clear"/>
            <w:tcMar>
              <w:top w:type="dxa" w:w="105"/>
              <w:left w:type="dxa" w:w="130"/>
              <w:bottom w:type="dxa" w:w="105"/>
              <w:right w:type="dxa" w:w="130"/>
            </w:tcMar>
          </w:tcPr>
          <w:p>
            <w:r>
              <w:rPr>
                <w:b w:val="false"/>
                <w:bCs w:val="false"/>
                <w:color w:val="172B4D"/>
                <w:sz w:val="21"/>
                <w:szCs w:val="21"/>
              </w:rPr>
              <w:t xml:space="preserve">pedir fluxo legítimo, acesso emergencial e validação operacional</w:t>
            </w:r>
          </w:p>
        </w:tc>
      </w:tr>
    </w:tbl>
    <w:p>
      <w:pPr>
        <w:pStyle w:val="Heading1"/>
        <w:keepNext/>
      </w:pPr>
      <w:r>
        <w:t xml:space="preserve">Rubrica oral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Modelo: fluxos nomeados, direção e duas fronteiras.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Ameaça: agente, condição, elemento, consequência e evidência.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Taxonomia: finalidade correta, fonte e ausência de mapeamento forçado.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Risco: consequência, tratamento, responsável, teste e residual.</w:t>
      </w:r>
    </w:p>
    <w:p>
      <w:pPr>
        <w:pStyle w:val="Heading1"/>
        <w:keepNext/>
      </w:pPr>
      <w:r>
        <w:t xml:space="preserve">Fechamento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Peça: “Interrompemos o caminho em ___ com ___; a evidência de eficácia será ___ e o risco residual é ___.” Selecione uma confusão para retomar na A04.</w:t>
      </w:r>
    </w:p>
    <w:p>
      <w:pPr>
        <w:pStyle w:val="Heading1"/>
        <w:keepNext/>
      </w:pPr>
      <w:r>
        <w:t xml:space="preserve">Transferência</w:t>
      </w:r>
    </w:p>
    <w:p>
      <w:pPr>
        <w:spacing w:after="105" w:line="310"/>
      </w:pPr>
      <w:r>
        <w:rPr>
          <w:color w:val="172B4D"/>
          <w:sz w:val="23"/>
          <w:szCs w:val="23"/>
        </w:rPr>
        <w:t xml:space="preserve">Discuta o paradoxo: remover a conexão TI/OT reduz caminhos, mas pode criar manutenção manual, mídia removível ou acesso emergencial menos governado.</w:t>
      </w:r>
    </w:p>
    <w:p>
      <w:pPr>
        <w:pStyle w:val="Heading1"/>
        <w:keepNext/>
      </w:pPr>
      <w:r>
        <w:t xml:space="preserve">Referências</w:t>
      </w:r>
    </w:p>
    <w:p>
      <w:pPr>
        <w:pStyle w:val="ListParagraph"/>
        <w:numPr>
          <w:ilvl w:val="0"/>
          <w:numId w:val="1"/>
        </w:numPr>
        <w:spacing w:after="75" w:line="305"/>
      </w:pPr>
      <w:r>
        <w:rPr>
          <w:color w:val="172B4D"/>
          <w:sz w:val="23"/>
          <w:szCs w:val="23"/>
        </w:rPr>
        <w:t xml:space="preserve">NIST CSF 2.0; MITRE CAPEC; MITRE ATT&amp;CK Enterprise/ICS; OWASP Threat Modeling.</w:t>
      </w:r>
    </w:p>
    <w:sectPr>
      <w:footerReference w:type="default" r:id="rId7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E71"/>
        <w:sz w:val="17"/>
        <w:szCs w:val="17"/>
      </w:rPr>
      <w:t xml:space="preserve">A03 • roteiro docente • Segurança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3"/>
        <w:szCs w:val="23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2304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2304A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70" w:before="170"/>
      <w:outlineLvl w:val="1"/>
    </w:pPr>
    <w:rPr>
      <w:rFonts w:ascii="Arial" w:cs="Arial" w:eastAsia="Arial" w:hAnsi="Arial"/>
      <w:b/>
      <w:bCs/>
      <w:color w:val="0B65C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A03 — Roteiro docente</dc:title>
  <dc:creator>Curso de Segurança Digital</dc:creator>
  <cp:lastModifiedBy>Un-named</cp:lastModifiedBy>
  <cp:revision>1</cp:revision>
  <dcterms:created xsi:type="dcterms:W3CDTF">2026-08-06T19:35:36.968Z</dcterms:created>
  <dcterms:modified xsi:type="dcterms:W3CDTF">2026-08-06T19:35:36.968Z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