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087F7A"/>
          <w:sz w:val="23"/>
          <w:szCs w:val="23"/>
        </w:rPr>
        <w:t xml:space="preserve">A02 • FUNDAMENTOS E RISCO</w:t>
      </w:r>
    </w:p>
    <w:p>
      <w:pPr>
        <w:pStyle w:val="Title"/>
      </w:pPr>
      <w:r>
        <w:t xml:space="preserve">O que realmente está exposto?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Missão: investigar uma exposição simples no Juice Shop local e produzir um registro que conecte ativo, fraqueza, vetor, consequência, controle e reteste.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500"/>
      </w:tblGrid>
      <w:tr>
        <w:trPr>
          <w:tblHeader/>
        </w:trPr>
        <w:tc>
          <w:tcPr>
            <w:tcW w:type="dxa" w:w="34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Duração</w:t>
            </w:r>
          </w:p>
        </w:tc>
        <w:tc>
          <w:tcPr>
            <w:tcW w:type="dxa" w:w="34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Organização</w:t>
            </w:r>
          </w:p>
        </w:tc>
        <w:tc>
          <w:tcPr>
            <w:tcW w:type="dxa" w:w="35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Entrega</w:t>
            </w:r>
          </w:p>
        </w:tc>
      </w:tr>
      <w:tr>
        <w:tc>
          <w:tcPr>
            <w:tcW w:type="dxa" w:w="34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52 minutos</w:t>
            </w:r>
          </w:p>
        </w:tc>
        <w:tc>
          <w:tcPr>
            <w:tcW w:type="dxa" w:w="34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duplas; papéis rotativos</w:t>
            </w:r>
          </w:p>
        </w:tc>
        <w:tc>
          <w:tcPr>
            <w:tcW w:type="dxa" w:w="35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um PDF por dupla</w:t>
            </w:r>
          </w:p>
        </w:tc>
      </w:tr>
    </w:tbl>
    <w:p>
      <w:pPr>
        <w:pStyle w:val="Heading1"/>
        <w:keepNext/>
        <w:spacing w:after="100" w:before="220"/>
      </w:pPr>
      <w:r>
        <w:t xml:space="preserve">Objetivos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Inventariar ativos de TI e OT relacionando função e consequência.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Distinguir ameaça, fraqueza, vulnerabilidade, exposição e exploit na evidência.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Priorizar o registro, escolher controle e definir validação reproduzível.</w:t>
      </w:r>
    </w:p>
    <w:p>
      <w:pPr>
        <w:pStyle w:val="Heading1"/>
        <w:keepNext/>
        <w:spacing w:after="100" w:before="220"/>
      </w:pPr>
      <w:r>
        <w:t xml:space="preserve">Pré-requisitos e recursos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A01 e página MkDocs A02 consultável durante a atividade.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Juice Shop local no endereço informado pelo professor.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Navegador com DevTools; Burp Community é opcional.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Este roteiro contém evidência alternativa para falha do ambiente.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B42318" w:val="clear"/>
            <w:tcMar>
              <w:top w:type="dxa" w:w="145"/>
              <w:left w:type="dxa" w:w="180"/>
              <w:bottom w:type="dxa" w:w="145"/>
              <w:right w:type="dxa" w:w="180"/>
            </w:tcMar>
          </w:tcPr>
          <w:p>
            <w:pPr>
              <w:spacing w:after="65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ATENÇÃO</w:t>
            </w:r>
          </w:p>
          <w:p>
            <w:pPr>
              <w:spacing w:line="315"/>
            </w:pPr>
            <w:r>
              <w:rPr>
                <w:color w:val="FFFFFF"/>
                <w:sz w:val="23"/>
                <w:szCs w:val="23"/>
              </w:rPr>
              <w:t xml:space="preserve">Escopo: somente o Juice Shop local fornecido. Não teste a demonstração pública, sistemas institucionais ou terceiros. Use dados fictícios. Pare se o destino divergir, houver dados reais ou o comportamento alcançar outro sistema.</w:t>
            </w:r>
          </w:p>
        </w:tc>
      </w:tr>
    </w:tbl>
    <w:p>
      <w:pPr>
        <w:pStyle w:val="Heading1"/>
        <w:keepNext/>
        <w:spacing w:after="100" w:before="220"/>
      </w:pPr>
      <w:r>
        <w:t xml:space="preserve">Hipótese inicial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Antes de executar, registre qual recurso pode estar exposto, por que isso seria possível e qual resposta confirmaria ou refutaria sua hipótese.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Hipótese: __________________________________________________________________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Evidência esperada: __________________________________________________________</w:t>
      </w:r>
    </w:p>
    <w:p>
      <w:r>
        <w:br w:type="page"/>
      </w:r>
    </w:p>
    <w:p>
      <w:pPr>
        <w:pStyle w:val="Heading2"/>
        <w:keepNext/>
        <w:spacing w:after="100" w:before="220"/>
      </w:pPr>
      <w:r>
        <w:t xml:space="preserve">Etapa 1 — Preparar e verificar (8 min)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Copie do quadro o endereço exato do alvo local; confirme protocolo, host e porta.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Abra a página inicial e registre somente versão/identificação exibida sem dados sensíveis.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Definam papéis: investigador opera; revisor confere escopo e anota. Troquem depois da Etapa 2.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Se a página não abrir ou o destino não for o indicado, use a evidência alternativa e não improvise.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B65C2" w:val="clear"/>
            <w:tcMar>
              <w:top w:type="dxa" w:w="145"/>
              <w:left w:type="dxa" w:w="180"/>
              <w:bottom w:type="dxa" w:w="145"/>
              <w:right w:type="dxa" w:w="180"/>
            </w:tcMar>
          </w:tcPr>
          <w:p>
            <w:pPr>
              <w:spacing w:after="65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EVIDÊNCIA</w:t>
            </w:r>
          </w:p>
          <w:p>
            <w:pPr>
              <w:spacing w:line="315"/>
            </w:pPr>
            <w:r>
              <w:rPr>
                <w:color w:val="FFFFFF"/>
                <w:sz w:val="23"/>
                <w:szCs w:val="23"/>
              </w:rPr>
              <w:t xml:space="preserve">Estado inicial: alvo sanitizado, horário relativo e confirmação de que a página inicial responde. Não capture credenciais, tokens, cookies ou IP público.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2 — Observar sem enumerar (12 min)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Com DevTools na aba Network, observe uma requisição orientada pelo professor. Execute uma tentativa por vez. Registre método, caminho relativo, status, tipo de conteúdo e o que a resposta demonstra. Não use scanner, força bruta ou lista de caminhos.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B65C2" w:val="clear"/>
            <w:tcMar>
              <w:top w:type="dxa" w:w="145"/>
              <w:left w:type="dxa" w:w="180"/>
              <w:bottom w:type="dxa" w:w="145"/>
              <w:right w:type="dxa" w:w="180"/>
            </w:tcMar>
          </w:tcPr>
          <w:p>
            <w:pPr>
              <w:spacing w:after="65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ALTERNATIVA</w:t>
            </w:r>
          </w:p>
          <w:p>
            <w:pPr>
              <w:spacing w:line="315"/>
            </w:pPr>
            <w:r>
              <w:rPr>
                <w:color w:val="FFFFFF"/>
                <w:sz w:val="23"/>
                <w:szCs w:val="23"/>
              </w:rPr>
              <w:t xml:space="preserve">Se o ambiente falhar, use: GET /ftp/acquisitions.md → HTTP/1.1 200 OK, Content-Type: text/markdown. Trate-a como evidência fictícia; não presuma conteúdo que não foi mostrado.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87F7A" w:val="clear"/>
            <w:tcMar>
              <w:top w:type="dxa" w:w="145"/>
              <w:left w:type="dxa" w:w="180"/>
              <w:bottom w:type="dxa" w:w="145"/>
              <w:right w:type="dxa" w:w="180"/>
            </w:tcMar>
          </w:tcPr>
          <w:p>
            <w:pPr>
              <w:spacing w:after="65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PISTA</w:t>
            </w:r>
          </w:p>
          <w:p>
            <w:pPr>
              <w:spacing w:line="315"/>
            </w:pPr>
            <w:r>
              <w:rPr>
                <w:color w:val="FFFFFF"/>
                <w:sz w:val="23"/>
                <w:szCs w:val="23"/>
              </w:rPr>
              <w:t xml:space="preserve">Um código 200 comprova que o servidor entregou o recurso naquela requisição. Ele não prova sozinho a causa, a autoria, o alcance nem a consequência.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3 — Inventariar e interpretar (12 min)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Preencha ao menos quatro linhas. Inclua o recurso observado, a aplicação, a plataforma e um ativo OT de transferência.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800"/>
        <w:gridCol w:w="2600"/>
      </w:tblGrid>
      <w:tr>
        <w:trPr>
          <w:tblHeader/>
        </w:trPr>
        <w:tc>
          <w:tcPr>
            <w:tcW w:type="dxa" w:w="22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Ativo/tipo</w:t>
            </w:r>
          </w:p>
        </w:tc>
        <w:tc>
          <w:tcPr>
            <w:tcW w:type="dxa" w:w="27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Função/proprietário</w:t>
            </w:r>
          </w:p>
        </w:tc>
        <w:tc>
          <w:tcPr>
            <w:tcW w:type="dxa" w:w="28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Consequência</w:t>
            </w:r>
          </w:p>
        </w:tc>
        <w:tc>
          <w:tcPr>
            <w:tcW w:type="dxa" w:w="26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Prioridade e evidência</w:t>
            </w:r>
          </w:p>
        </w:tc>
      </w:tr>
      <w:tr>
        <w:tc>
          <w:tcPr>
            <w:tcW w:type="dxa" w:w="22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4 — Registrar a vulnerabilidade (10 min)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Descreva comportamento esperado e observado. Relacione: ativo; ameaça plausível; fraqueza provável; vulnerabilidade concreta; caminho de exposição; técnica necessária; consequência; limites da hipótese. Não invente um CVE.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0"/>
      </w:tblGrid>
      <w:tr>
        <w:trPr>
          <w:tblHeader/>
        </w:trPr>
        <w:tc>
          <w:tcPr>
            <w:tcW w:type="dxa" w:w="33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70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Registro da dupla</w:t>
            </w:r>
          </w:p>
        </w:tc>
      </w:tr>
      <w:tr>
        <w:tc>
          <w:tcPr>
            <w:tcW w:type="dxa" w:w="3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Evidência reproduzível e interpretação</w:t>
            </w:r>
          </w:p>
        </w:tc>
        <w:tc>
          <w:tcPr>
            <w:tcW w:type="dxa" w:w="7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Fraqueza provável e lacuna</w:t>
            </w:r>
          </w:p>
        </w:tc>
        <w:tc>
          <w:tcPr>
            <w:tcW w:type="dxa" w:w="7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Vetor/ameaça dentro do escopo</w:t>
            </w:r>
          </w:p>
        </w:tc>
        <w:tc>
          <w:tcPr>
            <w:tcW w:type="dxa" w:w="7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Consequência e prioridade</w:t>
            </w:r>
          </w:p>
        </w:tc>
        <w:tc>
          <w:tcPr>
            <w:tcW w:type="dxa" w:w="7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Limites e próxima evidência</w:t>
            </w:r>
          </w:p>
        </w:tc>
        <w:tc>
          <w:tcPr>
            <w:tcW w:type="dxa" w:w="7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B75D00" w:val="clear"/>
            <w:tcMar>
              <w:top w:type="dxa" w:w="145"/>
              <w:left w:type="dxa" w:w="180"/>
              <w:bottom w:type="dxa" w:w="145"/>
              <w:right w:type="dxa" w:w="180"/>
            </w:tcMar>
          </w:tcPr>
          <w:p>
            <w:pPr>
              <w:spacing w:after="65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DECISÃO</w:t>
            </w:r>
          </w:p>
          <w:p>
            <w:pPr>
              <w:spacing w:line="315"/>
            </w:pPr>
            <w:r>
              <w:rPr>
                <w:color w:val="FFFFFF"/>
                <w:sz w:val="23"/>
                <w:szCs w:val="23"/>
              </w:rPr>
              <w:t xml:space="preserve">Escolha uma prioridade pela consequência, não pela obtenção de uma flag. Explique o que mudaria a prioridade.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5 — Tratar e validar (10 min)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Compare as opções e recomende uma conforme a função do recurso.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900"/>
        <w:gridCol w:w="2900"/>
      </w:tblGrid>
      <w:tr>
        <w:trPr>
          <w:tblHeader/>
        </w:trPr>
        <w:tc>
          <w:tcPr>
            <w:tcW w:type="dxa" w:w="19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Opção</w:t>
            </w:r>
          </w:p>
        </w:tc>
        <w:tc>
          <w:tcPr>
            <w:tcW w:type="dxa" w:w="26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Melhor uso</w:t>
            </w:r>
          </w:p>
        </w:tc>
        <w:tc>
          <w:tcPr>
            <w:tcW w:type="dxa" w:w="29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Evidência/entrega</w:t>
            </w:r>
          </w:p>
        </w:tc>
        <w:tc>
          <w:tcPr>
            <w:tcW w:type="dxa" w:w="29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Limitação/risco</w:t>
            </w:r>
          </w:p>
        </w:tc>
      </w:tr>
      <w:tr>
        <w:tc>
          <w:tcPr>
            <w:tcW w:type="dxa" w:w="1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Remover da área pública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recurso não deve ser servido</w:t>
            </w:r>
          </w:p>
        </w:tc>
        <w:tc>
          <w:tcPr>
            <w:tcW w:type="dxa" w:w="2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rota negada e publicação revisada</w:t>
            </w:r>
          </w:p>
        </w:tc>
        <w:tc>
          <w:tcPr>
            <w:tcW w:type="dxa" w:w="2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pode quebrar dependência</w:t>
            </w:r>
          </w:p>
        </w:tc>
      </w:tr>
      <w:tr>
        <w:tc>
          <w:tcPr>
            <w:tcW w:type="dxa" w:w="1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Autorizar no servidor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papel precisa acessar</w:t>
            </w:r>
          </w:p>
        </w:tc>
        <w:tc>
          <w:tcPr>
            <w:tcW w:type="dxa" w:w="2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casos permitido e negado</w:t>
            </w:r>
          </w:p>
        </w:tc>
        <w:tc>
          <w:tcPr>
            <w:tcW w:type="dxa" w:w="2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política incorreta</w:t>
            </w:r>
          </w:p>
        </w:tc>
      </w:tr>
      <w:tr>
        <w:tc>
          <w:tcPr>
            <w:tcW w:type="dxa" w:w="1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Reduzir conteúdo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publicação é necessária</w:t>
            </w:r>
          </w:p>
        </w:tc>
        <w:tc>
          <w:tcPr>
            <w:tcW w:type="dxa" w:w="2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somente dados necessários</w:t>
            </w:r>
          </w:p>
        </w:tc>
        <w:tc>
          <w:tcPr>
            <w:tcW w:type="dxa" w:w="2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não corrige outras rotas</w:t>
            </w:r>
          </w:p>
        </w:tc>
      </w:tr>
      <w:tr>
        <w:tc>
          <w:tcPr>
            <w:tcW w:type="dxa" w:w="1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Detectar acessos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correção não imediata</w:t>
            </w:r>
          </w:p>
        </w:tc>
        <w:tc>
          <w:tcPr>
            <w:tcW w:type="dxa" w:w="2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log/alerta testado</w:t>
            </w:r>
          </w:p>
        </w:tc>
        <w:tc>
          <w:tcPr>
            <w:tcW w:type="dxa" w:w="29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não impede exposição</w:t>
            </w:r>
          </w:p>
        </w:tc>
      </w:tr>
    </w:tbl>
    <w:p>
      <w:pPr>
        <w:spacing w:after="120" w:line="330"/>
      </w:pPr>
      <w:r>
        <w:rPr>
          <w:color w:val="172B4D"/>
          <w:sz w:val="24"/>
          <w:szCs w:val="24"/>
        </w:rPr>
        <w:t xml:space="preserve">Controle escolhido e premissa: __________________________________________________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Reteste e resultado esperado: ___________________________________________________</w:t>
      </w:r>
    </w:p>
    <w:p>
      <w:pPr>
        <w:pStyle w:val="Heading1"/>
        <w:keepNext/>
        <w:spacing w:after="100" w:before="220"/>
      </w:pPr>
      <w:r>
        <w:t xml:space="preserve">Entrega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Envie no Google Classroom um PDF chamado A02-dupla-NN.pdf com: hipótese inicial; inventário priorizado; uma evidência interpretada; registro de vulnerabilidade; controle e reteste; reflexão de até cinco linhas. Uma captura sem interpretação não conta como evidência.</w:t>
      </w:r>
    </w:p>
    <w:p>
      <w:pPr>
        <w:pStyle w:val="Heading1"/>
        <w:keepNext/>
        <w:spacing w:after="100" w:before="220"/>
      </w:pPr>
      <w:r>
        <w:t xml:space="preserve">Critérios de sucesso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4000"/>
      </w:tblGrid>
      <w:tr>
        <w:trPr>
          <w:tblHeader/>
        </w:trPr>
        <w:tc>
          <w:tcPr>
            <w:tcW w:type="dxa" w:w="23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40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Atendeu</w:t>
            </w:r>
          </w:p>
        </w:tc>
        <w:tc>
          <w:tcPr>
            <w:tcW w:type="dxa" w:w="4000"/>
            <w:shd w:fill="1230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Parcial</w:t>
            </w:r>
          </w:p>
        </w:tc>
      </w:tr>
      <w:tr>
        <w:tc>
          <w:tcPr>
            <w:tcW w:type="dxa" w:w="2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Inventário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ativos, função, proprietário e consequência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lista sem priorização</w:t>
            </w:r>
          </w:p>
        </w:tc>
      </w:tr>
      <w:tr>
        <w:tc>
          <w:tcPr>
            <w:tcW w:type="dxa" w:w="2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Precisão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termos distintos e limites explícitos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mistura termos ou afirma causa</w:t>
            </w:r>
          </w:p>
        </w:tc>
      </w:tr>
      <w:tr>
        <w:tc>
          <w:tcPr>
            <w:tcW w:type="dxa" w:w="2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Evidência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reproduzível, sanitizada e interpretada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captura pouco explicada</w:t>
            </w:r>
          </w:p>
        </w:tc>
      </w:tr>
      <w:tr>
        <w:tc>
          <w:tcPr>
            <w:tcW w:type="dxa" w:w="2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Tratamento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controle ligado à causa e reteste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controle genérico</w:t>
            </w:r>
          </w:p>
        </w:tc>
      </w:tr>
      <w:tr>
        <w:tc>
          <w:tcPr>
            <w:tcW w:type="dxa" w:w="23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Conduta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escopo e parada respeitados</w:t>
            </w:r>
          </w:p>
        </w:tc>
        <w:tc>
          <w:tcPr>
            <w:tcW w:type="dxa" w:w="4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90"/>
            </w:pPr>
            <w:r>
              <w:rPr>
                <w:b w:val="false"/>
                <w:bCs w:val="false"/>
                <w:color w:val="172B4D"/>
                <w:sz w:val="22"/>
                <w:szCs w:val="22"/>
              </w:rPr>
              <w:t xml:space="preserve">registro incompleto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Limpeza e encerramento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Feche DevTools e descarte capturas que contenham cookies, tokens ou dados não sanitizados.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Se você iniciou o Juice Shop, encerre o processo ou container pelo procedimento informado.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Confirme que a porta do serviço vulnerável não ficou acessível fora do laboratório.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Preserve somente o PDF sanitizado da entrega.</w:t>
      </w:r>
    </w:p>
    <w:p>
      <w:pPr>
        <w:pStyle w:val="Heading1"/>
        <w:keepNext/>
        <w:spacing w:after="100" w:before="220"/>
      </w:pPr>
      <w:r>
        <w:t xml:space="preserve">Extensão opcional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Proponha uma consulta de inventário que encontraria exposições semelhantes sem varrer redes ou testar terceiros. Indique fonte dos dados, responsável e critério de atualização.</w:t>
      </w:r>
    </w:p>
    <w:p>
      <w:pPr>
        <w:pStyle w:val="Heading1"/>
        <w:keepNext/>
        <w:spacing w:after="100" w:before="220"/>
      </w:pPr>
      <w:r>
        <w:t xml:space="preserve">Transferência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Em uma HMI industrial, qual consequência física e qual janela de manutenção mudariam a escolha entre remover, autorizar e monitorar?</w:t>
      </w:r>
    </w:p>
    <w:p>
      <w:pPr>
        <w:pStyle w:val="Heading1"/>
        <w:keepNext/>
        <w:spacing w:after="100" w:before="220"/>
      </w:pPr>
      <w:r>
        <w:t xml:space="preserve">Fontes oficiais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NIST CSF 2.0 — https://doi.org/10.6028/NIST.CSWP.29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CVE Program — https://www.cve.org/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CWE — https://cwe.mitre.org/</w:t>
      </w:r>
    </w:p>
    <w:p>
      <w:pPr>
        <w:pStyle w:val="ListParagraph"/>
        <w:numPr>
          <w:ilvl w:val="0"/>
          <w:numId w:val="1"/>
        </w:numPr>
        <w:spacing w:after="85" w:line="315"/>
      </w:pPr>
      <w:r>
        <w:rPr>
          <w:color w:val="172B4D"/>
          <w:sz w:val="24"/>
          <w:szCs w:val="24"/>
        </w:rPr>
        <w:t xml:space="preserve">OWASP Juice Shop — https://owasp.org/www-project-juice-shop/</w:t>
      </w:r>
    </w:p>
    <w:sectPr>
      <w:footerReference w:type="default" r:id="rId7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E71"/>
        <w:sz w:val="18"/>
        <w:szCs w:val="18"/>
      </w:rPr>
      <w:t xml:space="preserve">A02 • Segurança Digital • roteiro do estudante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4"/>
        <w:szCs w:val="24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/>
    </w:pPr>
    <w:rPr>
      <w:rFonts w:ascii="Arial" w:cs="Arial" w:eastAsia="Arial" w:hAnsi="Arial"/>
      <w:b/>
      <w:bCs/>
      <w:color w:val="12304A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2304A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65C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A02 — Ativos, ameaças e vulnerabilidades — prática</dc:title>
  <dc:creator>Curso de Segurança Digital</dc:creator>
  <cp:lastModifiedBy>Un-named</cp:lastModifiedBy>
  <cp:revision>1</cp:revision>
  <dcterms:created xsi:type="dcterms:W3CDTF">2026-08-06T17:53:21.313Z</dcterms:created>
  <dcterms:modified xsi:type="dcterms:W3CDTF">2026-08-06T17:53:21.313Z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