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087F7A"/>
          <w:sz w:val="23"/>
          <w:szCs w:val="23"/>
        </w:rPr>
        <w:t xml:space="preserve">A02 • FUNDAMENTOS E RISCO</w:t>
      </w:r>
    </w:p>
    <w:p>
      <w:pPr>
        <w:pStyle w:val="Title"/>
      </w:pPr>
      <w:r>
        <w:t xml:space="preserve">O que realmente está exposto?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Missão: investigar uma exposição simples no Juice Shop local e produzir um registro que conecte ativo, fraqueza, vetor, consequência, controle e reteste.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00"/>
      </w:tblGrid>
      <w:tr>
        <w:trPr>
          <w:tblHeader/>
        </w:trPr>
        <w:tc>
          <w:tcPr>
            <w:tcW w:type="dxa" w:w="34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Duração</w:t>
            </w:r>
          </w:p>
        </w:tc>
        <w:tc>
          <w:tcPr>
            <w:tcW w:type="dxa" w:w="34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Organização</w:t>
            </w:r>
          </w:p>
        </w:tc>
        <w:tc>
          <w:tcPr>
            <w:tcW w:type="dxa" w:w="35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Entrega</w:t>
            </w:r>
          </w:p>
        </w:tc>
      </w:tr>
      <w:tr>
        <w:tc>
          <w:tcPr>
            <w:tcW w:type="dxa" w:w="34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52 minutos</w:t>
            </w:r>
          </w:p>
        </w:tc>
        <w:tc>
          <w:tcPr>
            <w:tcW w:type="dxa" w:w="34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duplas; papéis rotativos</w:t>
            </w:r>
          </w:p>
        </w:tc>
        <w:tc>
          <w:tcPr>
            <w:tcW w:type="dxa" w:w="35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um PDF por dupla</w:t>
            </w:r>
          </w:p>
        </w:tc>
      </w:tr>
    </w:tbl>
    <w:p>
      <w:pPr>
        <w:pStyle w:val="Heading1"/>
        <w:keepNext/>
        <w:spacing w:after="100" w:before="220"/>
      </w:pPr>
      <w:r>
        <w:t xml:space="preserve">Objetivos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Inventariar os ativos do ambiente Juice Shop relacionando função e consequência.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Distinguir ameaça, fraqueza, vulnerabilidade, exposição e exploit na evidência.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Priorizar o registro, escolher controle e definir validação reproduzível.</w:t>
      </w:r>
    </w:p>
    <w:p>
      <w:pPr>
        <w:pStyle w:val="Heading1"/>
        <w:keepNext/>
        <w:spacing w:after="100" w:before="220"/>
      </w:pPr>
      <w:r>
        <w:t xml:space="preserve">Pré-requisitos e recursos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A01 e página MkDocs A02 consultável durante a atividade.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Docker Desktop iniciado no Windows ou Docker Engine em execução no Linux.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Navegador com DevTools; Burp Community é opcional.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Acesso para baixar a imagem antes da aula; depois do download, a prática pode continuar localmente.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Este roteiro contém evidência alternativa para falha do ambiente.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42318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ATENÇÃO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Escopo: somente o Juice Shop local fornecido. Não teste a demonstração pública, sistemas institucionais ou terceiros. Use dados fictícios. Pare se o destino divergir, houver dados reais ou o comportamento alcançar outro sistema.</w:t>
            </w:r>
          </w:p>
        </w:tc>
      </w:tr>
    </w:tbl>
    <w:p>
      <w:pPr>
        <w:pStyle w:val="Heading1"/>
        <w:keepNext/>
        <w:spacing w:after="100" w:before="220"/>
      </w:pPr>
      <w:r>
        <w:t xml:space="preserve">Hipótese inicial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Antes de executar, registre qual recurso pode estar exposto, por que isso seria possível e qual resposta confirmaria ou refutaria sua hipótese.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Hipótese: __________________________________________________________________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Evidência esperada: __________________________________________________________</w:t>
      </w:r>
    </w:p>
    <w:p>
      <w:r>
        <w:br w:type="page"/>
      </w:r>
    </w:p>
    <w:p>
      <w:pPr>
        <w:pStyle w:val="Heading2"/>
        <w:keepNext/>
        <w:spacing w:after="100" w:before="220"/>
      </w:pPr>
      <w:r>
        <w:t xml:space="preserve">Etapa 1 — Subir o Juice Shop localmente (12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Os comandos Docker são iguais no PowerShell do Windows e no terminal Linux. No Windows, abra primeiro o Docker Desktop em modo de containers Linux. No Linux, confirme que o Docker Engine está ativo.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1. Confirme que o cliente consegue falar com o mecanismo Docker:</w:t>
      </w:r>
    </w:p>
    <w:p>
      <w:pPr>
        <w:shd w:fill="0D2235" w:val="clear"/>
        <w:spacing w:after="110" w:before="50" w:line="280"/>
        <w:ind w:left="180" w:right="180"/>
      </w:pPr>
      <w:r>
        <w:rPr>
          <w:rFonts w:ascii="Consolas" w:cs="Consolas" w:eastAsia="Consolas" w:hAnsi="Consolas"/>
          <w:color w:val="D8F3EA"/>
          <w:sz w:val="20"/>
          <w:szCs w:val="20"/>
        </w:rPr>
        <w:t xml:space="preserve">docker version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2. Baixe a imagem oficial usada pelo guia do OWASP Juice Shop:</w:t>
      </w:r>
    </w:p>
    <w:p>
      <w:pPr>
        <w:shd w:fill="0D2235" w:val="clear"/>
        <w:spacing w:after="110" w:before="50" w:line="280"/>
        <w:ind w:left="180" w:right="180"/>
      </w:pPr>
      <w:r>
        <w:rPr>
          <w:rFonts w:ascii="Consolas" w:cs="Consolas" w:eastAsia="Consolas" w:hAnsi="Consolas"/>
          <w:color w:val="D8F3EA"/>
          <w:sz w:val="20"/>
          <w:szCs w:val="20"/>
        </w:rPr>
        <w:t xml:space="preserve">docker pull bkimminich/juice-shop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3. Inicie um container acessível somente pela própria máquina:</w:t>
      </w:r>
    </w:p>
    <w:p>
      <w:pPr>
        <w:shd w:fill="0D2235" w:val="clear"/>
        <w:spacing w:after="110" w:before="50" w:line="280"/>
        <w:ind w:left="180" w:right="180"/>
      </w:pPr>
      <w:r>
        <w:rPr>
          <w:rFonts w:ascii="Consolas" w:cs="Consolas" w:eastAsia="Consolas" w:hAnsi="Consolas"/>
          <w:color w:val="D8F3EA"/>
          <w:sz w:val="20"/>
          <w:szCs w:val="20"/>
        </w:rPr>
        <w:t xml:space="preserve">docker run --rm -d --name juice-shop-a02 -p 127.0.0.1:3000:3000 bkimminich/juice-shop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4. Confirme o estado e aguarde a coluna STATUS indicar que o container está em execução:</w:t>
      </w:r>
    </w:p>
    <w:p>
      <w:pPr>
        <w:shd w:fill="0D2235" w:val="clear"/>
        <w:spacing w:after="110" w:before="50" w:line="280"/>
        <w:ind w:left="180" w:right="180"/>
      </w:pPr>
      <w:r>
        <w:rPr>
          <w:rFonts w:ascii="Consolas" w:cs="Consolas" w:eastAsia="Consolas" w:hAnsi="Consolas"/>
          <w:color w:val="D8F3EA"/>
          <w:sz w:val="20"/>
          <w:szCs w:val="20"/>
        </w:rPr>
        <w:t xml:space="preserve">docker ps --filter name=juice-shop-a02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42318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ATENÇÃO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O vínculo 127.0.0.1 limita o serviço ao computador local. Não substitua por 0.0.0.0, não publique a porta no roteador e não use a demonstração pública do Juice Shop como alvo.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Windows — PowerShell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Inicie o Docker Desktop e aguarde a indicação de que o mecanismo está ativo.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Execute os quatro comandos acima no PowerShell, sem acrescentar sudo.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Abra http://127.0.0.1:3000 no navegador. Se o Docker estiver em modo de containers Windows, altere para containers Linux.</w:t>
      </w:r>
    </w:p>
    <w:p>
      <w:pPr>
        <w:pStyle w:val="Heading2"/>
        <w:keepNext/>
        <w:spacing w:after="100" w:before="220"/>
      </w:pPr>
      <w:r>
        <w:t xml:space="preserve">Linux — terminal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Execute docker version. Se houver erro de conexão, inicie o serviço conforme a instalação da sua distribuição ou peça apoio ao professor.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Execute os quatro comandos acima. Use sudo somente se essa for a configuração institucional definida para o laboratório.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Abra http://127.0.0.1:3000 no navegador.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87F7A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PISTA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Se a porta 3000 já estiver ocupada, pare e confirme com o professor. Quando autorizado, use -p 127.0.0.1:3001:3000 e acesse http://127.0.0.1:3001.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2 — Verificar o alvo e organizar a dupla (5 min)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Confirme que a barra de endereço mostra exatamente 127.0.0.1 e a porta escolhida.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Registre o estado inicial sem capturar cookies, tokens ou credenciais.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Definam papéis: investigador opera; revisor confere escopo e anota. Troquem depois da observação.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Se a página não abrir, consulte docker logs --tail 30 juice-shop-a02. Não improvise contra outro endereço.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B65C2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EVIDÊNCIA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Estado inicial: alvo sanitizado, horário relativo e confirmação de que a página inicial responde. Não capture credenciais, tokens, cookies ou IP público.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3 — Observar sem enumerar (10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Com DevTools na aba Network, observe uma requisição orientada pelo professor. Execute uma tentativa por vez. Registre método, caminho relativo, status, tipo de conteúdo e o que a resposta demonstra. Não use scanner, força bruta ou lista de caminhos.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B65C2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ALTERNATIVA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Se o ambiente falhar, use: GET /ftp/acquisitions.md → HTTP/1.1 200 OK, Content-Type: text/markdown. Trate-a como evidência fictícia; não presuma conteúdo que não foi mostrado.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87F7A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PISTA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Um código 200 comprova que o servidor entregou o recurso naquela requisição. Ele não prova sozinho a causa, a autoria, o alcance nem a consequência.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4 — Inventariar e interpretar (8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Preencha ao menos quatro linhas usando somente o ambiente investigado: o arquivo ou recurso observado, a aplicação/rota, os dados relacionados e o container ou plataforma. Para cada ativo, explique função, responsável provável, consequência e evidência.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700"/>
        <w:gridCol w:w="2800"/>
        <w:gridCol w:w="2600"/>
      </w:tblGrid>
      <w:tr>
        <w:trPr>
          <w:tblHeader/>
        </w:trPr>
        <w:tc>
          <w:tcPr>
            <w:tcW w:type="dxa" w:w="22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Ativo/tipo</w:t>
            </w:r>
          </w:p>
        </w:tc>
        <w:tc>
          <w:tcPr>
            <w:tcW w:type="dxa" w:w="27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Função/proprietário</w:t>
            </w:r>
          </w:p>
        </w:tc>
        <w:tc>
          <w:tcPr>
            <w:tcW w:type="dxa" w:w="28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Consequência</w:t>
            </w:r>
          </w:p>
        </w:tc>
        <w:tc>
          <w:tcPr>
            <w:tcW w:type="dxa" w:w="26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Prioridade e evidência</w:t>
            </w:r>
          </w:p>
        </w:tc>
      </w:tr>
      <w:tr>
        <w:tc>
          <w:tcPr>
            <w:tcW w:type="dxa" w:w="22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5 — Registrar a vulnerabilidade (9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Descreva comportamento esperado e observado. Relacione: ativo; ameaça plausível; fraqueza provável; vulnerabilidade concreta; caminho de exposição; técnica necessária; consequência; limites da hipótese. Não invente um CVE.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7000"/>
      </w:tblGrid>
      <w:tr>
        <w:trPr>
          <w:tblHeader/>
        </w:trPr>
        <w:tc>
          <w:tcPr>
            <w:tcW w:type="dxa" w:w="33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dxa" w:w="70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Registro da dupla</w:t>
            </w:r>
          </w:p>
        </w:tc>
      </w:tr>
      <w:tr>
        <w:tc>
          <w:tcPr>
            <w:tcW w:type="dxa" w:w="3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Evidência reproduzível e interpretação</w:t>
            </w:r>
          </w:p>
        </w:tc>
        <w:tc>
          <w:tcPr>
            <w:tcW w:type="dxa" w:w="7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Fraqueza provável e lacuna</w:t>
            </w:r>
          </w:p>
        </w:tc>
        <w:tc>
          <w:tcPr>
            <w:tcW w:type="dxa" w:w="7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Vetor/ameaça dentro do escopo</w:t>
            </w:r>
          </w:p>
        </w:tc>
        <w:tc>
          <w:tcPr>
            <w:tcW w:type="dxa" w:w="7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Consequência e prioridade</w:t>
            </w:r>
          </w:p>
        </w:tc>
        <w:tc>
          <w:tcPr>
            <w:tcW w:type="dxa" w:w="7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Limites e próxima evidência</w:t>
            </w:r>
          </w:p>
        </w:tc>
        <w:tc>
          <w:tcPr>
            <w:tcW w:type="dxa" w:w="7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75D00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DECISÃO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Escolha uma prioridade pela consequência, não pela obtenção de uma flag. Explique o que mudaria a prioridade.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6 — Tratar e validar (8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Compare as opções e recomende uma conforme a função do recurso.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900"/>
        <w:gridCol w:w="2900"/>
      </w:tblGrid>
      <w:tr>
        <w:trPr>
          <w:tblHeader/>
        </w:trPr>
        <w:tc>
          <w:tcPr>
            <w:tcW w:type="dxa" w:w="19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Opção</w:t>
            </w:r>
          </w:p>
        </w:tc>
        <w:tc>
          <w:tcPr>
            <w:tcW w:type="dxa" w:w="26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Melhor uso</w:t>
            </w:r>
          </w:p>
        </w:tc>
        <w:tc>
          <w:tcPr>
            <w:tcW w:type="dxa" w:w="29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Evidência/entrega</w:t>
            </w:r>
          </w:p>
        </w:tc>
        <w:tc>
          <w:tcPr>
            <w:tcW w:type="dxa" w:w="29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Limitação/risco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Remover da área pública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recurso não deve ser servido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rota negada e publicação revisada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pode quebrar dependência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Autorizar no servidor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papel precisa acessar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casos permitido e negado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política incorreta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Reduzir conteúdo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publicação é necessária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somente dados necessários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não corrige outras rotas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Detectar acessos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correção não imediata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log/alerta testado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não impede exposição</w:t>
            </w:r>
          </w:p>
        </w:tc>
      </w:tr>
    </w:tbl>
    <w:p>
      <w:pPr>
        <w:spacing w:after="120" w:line="330"/>
      </w:pPr>
      <w:r>
        <w:rPr>
          <w:color w:val="172B4D"/>
          <w:sz w:val="24"/>
          <w:szCs w:val="24"/>
        </w:rPr>
        <w:t xml:space="preserve">Controle escolhido e premissa: __________________________________________________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Reteste e resultado esperado: ___________________________________________________</w:t>
      </w:r>
    </w:p>
    <w:p>
      <w:pPr>
        <w:pStyle w:val="Heading1"/>
        <w:keepNext/>
        <w:spacing w:after="100" w:before="220"/>
      </w:pPr>
      <w:r>
        <w:t xml:space="preserve">Entrega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Envie no Google Classroom um PDF chamado A02-dupla-NN.pdf com: hipótese inicial; inventário priorizado; uma evidência interpretada; registro de vulnerabilidade; controle e reteste; reflexão de até cinco linhas. Uma captura sem interpretação não conta como evidência.</w:t>
      </w:r>
    </w:p>
    <w:p>
      <w:pPr>
        <w:pStyle w:val="Heading1"/>
        <w:keepNext/>
        <w:spacing w:after="100" w:before="220"/>
      </w:pPr>
      <w:r>
        <w:t xml:space="preserve">Critérios de sucesso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4000"/>
      </w:tblGrid>
      <w:tr>
        <w:trPr>
          <w:tblHeader/>
        </w:trPr>
        <w:tc>
          <w:tcPr>
            <w:tcW w:type="dxa" w:w="23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Critério</w:t>
            </w:r>
          </w:p>
        </w:tc>
        <w:tc>
          <w:tcPr>
            <w:tcW w:type="dxa" w:w="40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Atendeu</w:t>
            </w:r>
          </w:p>
        </w:tc>
        <w:tc>
          <w:tcPr>
            <w:tcW w:type="dxa" w:w="40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Parcial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Inventário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ativos, função, proprietário e consequência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lista sem priorização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Precisão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termos distintos e limites explícitos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mistura termos ou afirma causa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Evidência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reproduzível, sanitizada e interpretada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captura pouco explicada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Tratamento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controle ligado à causa e reteste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controle genérico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Conduta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escopo e parada respeitados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registro incompleto</w:t>
            </w:r>
          </w:p>
        </w:tc>
      </w:tr>
    </w:tbl>
    <w:p>
      <w:r>
        <w:br w:type="page"/>
      </w:r>
    </w:p>
    <w:p>
      <w:pPr>
        <w:pStyle w:val="Heading1"/>
        <w:keepNext/>
        <w:spacing w:after="100" w:before="220"/>
      </w:pPr>
      <w:r>
        <w:t xml:space="preserve">Limpeza e encerramento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Windows PowerShell e Linux usam o mesmo comando para parar o container:</w:t>
      </w:r>
    </w:p>
    <w:p>
      <w:pPr>
        <w:shd w:fill="0D2235" w:val="clear"/>
        <w:spacing w:after="110" w:before="50" w:line="280"/>
        <w:ind w:left="180" w:right="180"/>
      </w:pPr>
      <w:r>
        <w:rPr>
          <w:rFonts w:ascii="Consolas" w:cs="Consolas" w:eastAsia="Consolas" w:hAnsi="Consolas"/>
          <w:color w:val="D8F3EA"/>
          <w:sz w:val="20"/>
          <w:szCs w:val="20"/>
        </w:rPr>
        <w:t xml:space="preserve">docker stop juice-shop-a02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Confirme que docker ps --filter name=juice-shop-a02 não lista o container em execução.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Como foi usado --rm, o container é removido automaticamente após a parada; a imagem permanece para reutilização.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Feche DevTools e descarte capturas que contenham cookies, tokens ou dados não sanitizados.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Confirme que http://127.0.0.1:3000 não responde mais e preserve somente o PDF sanitizado.</w:t>
      </w:r>
    </w:p>
    <w:p>
      <w:pPr>
        <w:pStyle w:val="Heading1"/>
        <w:keepNext/>
        <w:spacing w:after="100" w:before="220"/>
      </w:pPr>
      <w:r>
        <w:t xml:space="preserve">Extensão opcional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Proponha uma consulta de inventário que encontraria exposições semelhantes sem varrer redes ou testar terceiros. Indique fonte dos dados, responsável e critério de atualização.</w:t>
      </w:r>
    </w:p>
    <w:p>
      <w:pPr>
        <w:pStyle w:val="Heading1"/>
        <w:keepNext/>
        <w:spacing w:after="100" w:before="220"/>
      </w:pPr>
      <w:r>
        <w:t xml:space="preserve">Transferência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Em uma HMI industrial, qual consequência física e qual janela de manutenção mudariam a escolha entre remover, autorizar e monitorar?</w:t>
      </w:r>
    </w:p>
    <w:p>
      <w:pPr>
        <w:pStyle w:val="Heading1"/>
        <w:keepNext/>
        <w:spacing w:after="100" w:before="220"/>
      </w:pPr>
      <w:r>
        <w:t xml:space="preserve">Fontes oficiais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OWASP Juice Shop — execução com Docker: https://pwning.owasp-juice.shop/companion-guide/latest/part1/running.html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Docker Desktop para Windows: https://docs.docker.com/desktop/setup/install/windows-install/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Docker Engine para Linux: https://docs.docker.com/engine/install/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NIST CSF 2.0 — https://doi.org/10.6028/NIST.CSWP.29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CVE Program — https://www.cve.org/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CWE — https://cwe.mitre.org/</w:t>
      </w:r>
    </w:p>
    <w:sectPr>
      <w:footerReference w:type="default" r:id="rId7"/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B5E71"/>
        <w:sz w:val="18"/>
        <w:szCs w:val="18"/>
      </w:rPr>
      <w:t xml:space="preserve">A02 • Segurança Digital • roteiro do estudante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4"/>
        <w:szCs w:val="24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80"/>
    </w:pPr>
    <w:rPr>
      <w:rFonts w:ascii="Arial" w:cs="Arial" w:eastAsia="Arial" w:hAnsi="Arial"/>
      <w:b/>
      <w:bCs/>
      <w:color w:val="12304A"/>
      <w:sz w:val="42"/>
      <w:szCs w:val="42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Arial" w:cs="Arial" w:eastAsia="Arial" w:hAnsi="Arial"/>
      <w:b/>
      <w:bCs/>
      <w:color w:val="12304A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B65C2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A02 — Ativos, ameaças e vulnerabilidades — prática</dc:title>
  <dc:creator>Curso de Segurança Digital</dc:creator>
  <cp:lastModifiedBy>Un-named</cp:lastModifiedBy>
  <cp:revision>1</cp:revision>
  <dcterms:created xsi:type="dcterms:W3CDTF">2026-08-06T21:25:54.906Z</dcterms:created>
  <dcterms:modified xsi:type="dcterms:W3CDTF">2026-08-06T21:25:54.906Z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