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087F7A"/>
          <w:sz w:val="23"/>
          <w:szCs w:val="23"/>
        </w:rPr>
        <w:t xml:space="preserve">A01 • FUNDAMENTOS E RISCO</w:t>
      </w:r>
    </w:p>
    <w:p>
      <w:pPr>
        <w:pStyle w:val="Title"/>
      </w:pPr>
      <w:r>
        <w:t xml:space="preserve">O incidente que parou a linha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Missão: reconstruir uma linha do tempo preliminar e defender a próxima ação de coleta sem comprometer o processo.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500"/>
      </w:tblGrid>
      <w:tr>
        <w:tc>
          <w:tcPr>
            <w:tcW w:type="dxa" w:w="3400"/>
            <w:shd w:fill="E7F0F8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172B4D"/>
                <w:sz w:val="23"/>
                <w:szCs w:val="23"/>
              </w:rPr>
              <w:t xml:space="preserve">Duração
52 minutos</w:t>
            </w:r>
          </w:p>
        </w:tc>
        <w:tc>
          <w:tcPr>
            <w:tcW w:type="dxa" w:w="3400"/>
            <w:shd w:fill="E7F0F8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172B4D"/>
                <w:sz w:val="23"/>
                <w:szCs w:val="23"/>
              </w:rPr>
              <w:t xml:space="preserve">Organização
duplas</w:t>
            </w:r>
          </w:p>
        </w:tc>
        <w:tc>
          <w:tcPr>
            <w:tcW w:type="dxa" w:w="3500"/>
            <w:shd w:fill="E7F0F8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172B4D"/>
                <w:sz w:val="23"/>
                <w:szCs w:val="23"/>
              </w:rPr>
              <w:t xml:space="preserve">Entrega
um PDF por dupla</w:t>
            </w:r>
          </w:p>
        </w:tc>
      </w:tr>
    </w:tbl>
    <w:p>
      <w:pPr>
        <w:pStyle w:val="Heading1"/>
        <w:keepNext/>
        <w:spacing w:after="100" w:before="220"/>
      </w:pPr>
      <w:r>
        <w:t xml:space="preserve">Objetivos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Distinguir observação, hipótese e conclusão ao analisar registros.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Relacionar eventos a impacto em TI, OT e safety.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Justificar uma próxima coleta ou contenção com evidência e restrições.</w:t>
      </w:r>
    </w:p>
    <w:p>
      <w:pPr>
        <w:pStyle w:val="Heading1"/>
        <w:keepNext/>
        <w:spacing w:after="100" w:before="220"/>
      </w:pPr>
      <w:r>
        <w:t xml:space="preserve">Pré-requisitos e recursos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Página MkDocs A01 consultável durante a atividade.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Este roteiro e o pacote de evidências nele contido.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Editor de texto ou papel para organizar a linha do tempo.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Juice Shop local é opcional; nenhuma exploração é necessária nesta aula.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B42318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ATENÇÃO</w:t>
            </w:r>
          </w:p>
          <w:p>
            <w:pPr>
              <w:spacing w:line="320"/>
            </w:pPr>
            <w:r>
              <w:rPr>
                <w:color w:val="FFFFFF"/>
                <w:sz w:val="24"/>
                <w:szCs w:val="24"/>
              </w:rPr>
              <w:t xml:space="preserve">Escopo autorizado: somente os dados fictícios deste roteiro e o ambiente da disciplina. Não teste endereços externos. Pare se o laboratório apresentar efeito fora do cenário e avise o professor.</w:t>
            </w:r>
          </w:p>
        </w:tc>
      </w:tr>
    </w:tbl>
    <w:p>
      <w:pPr>
        <w:pStyle w:val="Heading1"/>
        <w:keepNext/>
        <w:spacing w:after="100" w:before="220"/>
      </w:pPr>
      <w:r>
        <w:t xml:space="preserve">Hipótese inicial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Antes de continuar, registre: (1) a causa mais provável; (2) por que ela explicaria a parada; (3) qual evidência poderia refutá-la.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Hipótese: __________________________________________________________________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Evidência necessária: ________________________________________________________</w:t>
      </w:r>
    </w:p>
    <w:p>
      <w:r>
        <w:br w:type="page"/>
      </w:r>
    </w:p>
    <w:p>
      <w:pPr>
        <w:pStyle w:val="Heading2"/>
        <w:keepNext/>
        <w:spacing w:after="100" w:before="220"/>
      </w:pPr>
      <w:r>
        <w:t xml:space="preserve">Etapa 1 — Ordenar sem interpretar (10 min)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Os relógios foram sincronizados para esta atividade. Ordene os registros e marque cada linha como evento de autenticação, comunicação, processo ou resposta.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6800"/>
      </w:tblGrid>
      <w:tr>
        <w:trPr>
          <w:tblHeader/>
        </w:trPr>
        <w:tc>
          <w:tcPr>
            <w:tcW w:type="dxa" w:w="1600"/>
            <w:shd w:fill="12304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Horário</w:t>
            </w:r>
          </w:p>
        </w:tc>
        <w:tc>
          <w:tcPr>
            <w:tcW w:type="dxa" w:w="1900"/>
            <w:shd w:fill="12304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Fonte</w:t>
            </w:r>
          </w:p>
        </w:tc>
        <w:tc>
          <w:tcPr>
            <w:tcW w:type="dxa" w:w="6800"/>
            <w:shd w:fill="12304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Registro</w:t>
            </w:r>
          </w:p>
        </w:tc>
      </w:tr>
      <w:tr>
        <w:tc>
          <w:tcPr>
            <w:tcW w:type="dxa" w:w="16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09:17:08</w:t>
            </w:r>
          </w:p>
        </w:tc>
        <w:tc>
          <w:tcPr>
            <w:tcW w:type="dxa" w:w="19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HMI-01</w:t>
            </w:r>
          </w:p>
        </w:tc>
        <w:tc>
          <w:tcPr>
            <w:tcW w:type="dxa" w:w="68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alarm_ack ALM-204</w:t>
            </w:r>
          </w:p>
        </w:tc>
      </w:tr>
      <w:tr>
        <w:tc>
          <w:tcPr>
            <w:tcW w:type="dxa" w:w="16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09:16:52</w:t>
            </w:r>
          </w:p>
        </w:tc>
        <w:tc>
          <w:tcPr>
            <w:tcW w:type="dxa" w:w="19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HMI-01</w:t>
            </w:r>
          </w:p>
        </w:tc>
        <w:tc>
          <w:tcPr>
            <w:tcW w:type="dxa" w:w="68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login_success operador_turno</w:t>
            </w:r>
          </w:p>
        </w:tc>
      </w:tr>
      <w:tr>
        <w:tc>
          <w:tcPr>
            <w:tcW w:type="dxa" w:w="16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09:17:05</w:t>
            </w:r>
          </w:p>
        </w:tc>
        <w:tc>
          <w:tcPr>
            <w:tcW w:type="dxa" w:w="19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LINE-01</w:t>
            </w:r>
          </w:p>
        </w:tc>
        <w:tc>
          <w:tcPr>
            <w:tcW w:type="dxa" w:w="68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state_change RUN → STOP</w:t>
            </w:r>
          </w:p>
        </w:tc>
      </w:tr>
      <w:tr>
        <w:tc>
          <w:tcPr>
            <w:tcW w:type="dxa" w:w="16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09:17:03</w:t>
            </w:r>
          </w:p>
        </w:tc>
        <w:tc>
          <w:tcPr>
            <w:tcW w:type="dxa" w:w="19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PLC-01</w:t>
            </w:r>
          </w:p>
        </w:tc>
        <w:tc>
          <w:tcPr>
            <w:tcW w:type="dxa" w:w="68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comm_timeout 3200 ms</w:t>
            </w:r>
          </w:p>
        </w:tc>
      </w:tr>
      <w:tr>
        <w:tc>
          <w:tcPr>
            <w:tcW w:type="dxa" w:w="16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09:18:11</w:t>
            </w:r>
          </w:p>
        </w:tc>
        <w:tc>
          <w:tcPr>
            <w:tcW w:type="dxa" w:w="19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NET-SENSOR</w:t>
            </w:r>
          </w:p>
        </w:tc>
        <w:tc>
          <w:tcPr>
            <w:tcW w:type="dxa" w:w="68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flux HMI-01 → PLC-01 restabelecido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B65C2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EVIDÊNCIA</w:t>
            </w:r>
          </w:p>
          <w:p>
            <w:pPr>
              <w:spacing w:line="320"/>
            </w:pPr>
            <w:r>
              <w:rPr>
                <w:color w:val="FFFFFF"/>
                <w:sz w:val="24"/>
                <w:szCs w:val="24"/>
              </w:rPr>
              <w:t xml:space="preserve">Entregue uma linha do tempo ordenada. Para cada evento, escreva uma frase dizendo o que ele mostra diretamente — sem atribuir causa ou autoria.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Etapa 2 — Comparar hipóteses (15 min)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Compare pelo menos duas explicações. Uma boa hipótese explica vários eventos e declara o que ainda não consegue explicar.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4000"/>
      </w:tblGrid>
      <w:tr>
        <w:trPr>
          <w:tblHeader/>
        </w:trPr>
        <w:tc>
          <w:tcPr>
            <w:tcW w:type="dxa" w:w="2800"/>
            <w:shd w:fill="12304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Hipótese</w:t>
            </w:r>
          </w:p>
        </w:tc>
        <w:tc>
          <w:tcPr>
            <w:tcW w:type="dxa" w:w="3500"/>
            <w:shd w:fill="12304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Evidência favorável</w:t>
            </w:r>
          </w:p>
        </w:tc>
        <w:tc>
          <w:tcPr>
            <w:tcW w:type="dxa" w:w="4000"/>
            <w:shd w:fill="12304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Lacuna ou contradição</w:t>
            </w:r>
          </w:p>
        </w:tc>
      </w:tr>
      <w:tr>
        <w:tc>
          <w:tcPr>
            <w:tcW w:type="dxa" w:w="28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Falha de comunicação</w:t>
            </w:r>
          </w:p>
        </w:tc>
        <w:tc>
          <w:tcPr>
            <w:tcW w:type="dxa" w:w="35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  <w:tc>
          <w:tcPr>
            <w:tcW w:type="dxa" w:w="40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28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Ação indevida ou credencial comprometida</w:t>
            </w:r>
          </w:p>
        </w:tc>
        <w:tc>
          <w:tcPr>
            <w:tcW w:type="dxa" w:w="35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  <w:tc>
          <w:tcPr>
            <w:tcW w:type="dxa" w:w="40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87F7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PISTA</w:t>
            </w:r>
          </w:p>
          <w:p>
            <w:pPr>
              <w:spacing w:line="320"/>
            </w:pPr>
            <w:r>
              <w:rPr>
                <w:color w:val="FFFFFF"/>
                <w:sz w:val="24"/>
                <w:szCs w:val="24"/>
              </w:rPr>
              <w:t xml:space="preserve">Login anterior ao evento não prova que a pessoa autenticada causou a parada. Sequência temporal é necessária para correlação, mas não basta para causalidade.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Etapa 3 — Decidir a próxima coleta (15 min)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Escolha uma ação: preservar os logs da HMI; capturar tráfego entre HMI e PLC; consultar o histórico de alarmes; ou isolar a HMI. Compare benefício, risco operacional e reversibilidade.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800"/>
        <w:gridCol w:w="3100"/>
      </w:tblGrid>
      <w:tr>
        <w:trPr>
          <w:tblHeader/>
        </w:trPr>
        <w:tc>
          <w:tcPr>
            <w:tcW w:type="dxa" w:w="1900"/>
            <w:shd w:fill="12304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Opção</w:t>
            </w:r>
          </w:p>
        </w:tc>
        <w:tc>
          <w:tcPr>
            <w:tcW w:type="dxa" w:w="2500"/>
            <w:shd w:fill="12304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Melhor uso</w:t>
            </w:r>
          </w:p>
        </w:tc>
        <w:tc>
          <w:tcPr>
            <w:tcW w:type="dxa" w:w="2800"/>
            <w:shd w:fill="12304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Evidência gerada</w:t>
            </w:r>
          </w:p>
        </w:tc>
        <w:tc>
          <w:tcPr>
            <w:tcW w:type="dxa" w:w="3100"/>
            <w:shd w:fill="12304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Limitação/risco</w:t>
            </w:r>
          </w:p>
        </w:tc>
      </w:tr>
      <w:tr>
        <w:tc>
          <w:tcPr>
            <w:tcW w:type="dxa" w:w="19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Preservar logs</w:t>
            </w:r>
          </w:p>
        </w:tc>
        <w:tc>
          <w:tcPr>
            <w:tcW w:type="dxa" w:w="25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  <w:tc>
          <w:tcPr>
            <w:tcW w:type="dxa" w:w="31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19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Capturar tráfego</w:t>
            </w:r>
          </w:p>
        </w:tc>
        <w:tc>
          <w:tcPr>
            <w:tcW w:type="dxa" w:w="25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  <w:tc>
          <w:tcPr>
            <w:tcW w:type="dxa" w:w="31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19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Histórico de alarmes</w:t>
            </w:r>
          </w:p>
        </w:tc>
        <w:tc>
          <w:tcPr>
            <w:tcW w:type="dxa" w:w="25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  <w:tc>
          <w:tcPr>
            <w:tcW w:type="dxa" w:w="31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</w:tr>
      <w:tr>
        <w:tc>
          <w:tcPr>
            <w:tcW w:type="dxa" w:w="19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Isolar HMI</w:t>
            </w:r>
          </w:p>
        </w:tc>
        <w:tc>
          <w:tcPr>
            <w:tcW w:type="dxa" w:w="25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  <w:tc>
          <w:tcPr>
            <w:tcW w:type="dxa" w:w="31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B75D00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DECISÃO</w:t>
            </w:r>
          </w:p>
          <w:p>
            <w:pPr>
              <w:spacing w:line="320"/>
            </w:pPr>
            <w:r>
              <w:rPr>
                <w:color w:val="FFFFFF"/>
                <w:sz w:val="24"/>
                <w:szCs w:val="24"/>
              </w:rPr>
              <w:t xml:space="preserve">Registre a ação escolhida, a autorização necessária, o critério de parada e por que ela preserva disponibilidade e safety.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Etapa 4 — Validar e comunicar (12 min)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Revise se a conclusão excede o que as evidências sustentam.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Mantenha uma hipótese alternativa plausível.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Indique qual novo resultado confirmaria ou enfraqueceria a hipótese principal.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Sanitize a entrega: não inclua credenciais, tokens, IPs públicos ou dados pessoais.</w:t>
      </w:r>
    </w:p>
    <w:p>
      <w:pPr>
        <w:pStyle w:val="Heading1"/>
        <w:keepNext/>
        <w:spacing w:after="100" w:before="220"/>
      </w:pPr>
      <w:r>
        <w:t xml:space="preserve">Entrega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Envie no Google Classroom um PDF chamado A01-dupla-NN.pdf contendo: hipótese inicial; linha do tempo; tabela de hipóteses; decisão justificada; e uma reflexão de até cinco linhas.</w:t>
      </w:r>
    </w:p>
    <w:p>
      <w:pPr>
        <w:pStyle w:val="Heading1"/>
        <w:keepNext/>
        <w:spacing w:after="100" w:before="220"/>
      </w:pPr>
      <w:r>
        <w:t xml:space="preserve">Critérios de sucesso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00"/>
        <w:gridCol w:w="4000"/>
      </w:tblGrid>
      <w:tr>
        <w:trPr>
          <w:tblHeader/>
        </w:trPr>
        <w:tc>
          <w:tcPr>
            <w:tcW w:type="dxa" w:w="2300"/>
            <w:shd w:fill="12304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Critério</w:t>
            </w:r>
          </w:p>
        </w:tc>
        <w:tc>
          <w:tcPr>
            <w:tcW w:type="dxa" w:w="4000"/>
            <w:shd w:fill="12304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Atendeu</w:t>
            </w:r>
          </w:p>
        </w:tc>
        <w:tc>
          <w:tcPr>
            <w:tcW w:type="dxa" w:w="4000"/>
            <w:shd w:fill="12304A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Parcial</w:t>
            </w:r>
          </w:p>
        </w:tc>
      </w:tr>
      <w:tr>
        <w:tc>
          <w:tcPr>
            <w:tcW w:type="dxa" w:w="23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Linha do tempo</w:t>
            </w:r>
          </w:p>
        </w:tc>
        <w:tc>
          <w:tcPr>
            <w:tcW w:type="dxa" w:w="40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Ordenada; fatos separados de inferências</w:t>
            </w:r>
          </w:p>
        </w:tc>
        <w:tc>
          <w:tcPr>
            <w:tcW w:type="dxa" w:w="40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Há ordem, mas mistura fato e inferência</w:t>
            </w:r>
          </w:p>
        </w:tc>
      </w:tr>
      <w:tr>
        <w:tc>
          <w:tcPr>
            <w:tcW w:type="dxa" w:w="23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Hipóteses</w:t>
            </w:r>
          </w:p>
        </w:tc>
        <w:tc>
          <w:tcPr>
            <w:tcW w:type="dxa" w:w="40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Duas explicações comparadas com lacunas</w:t>
            </w:r>
          </w:p>
        </w:tc>
        <w:tc>
          <w:tcPr>
            <w:tcW w:type="dxa" w:w="40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Só uma hipótese ou comparação superficial</w:t>
            </w:r>
          </w:p>
        </w:tc>
      </w:tr>
      <w:tr>
        <w:tc>
          <w:tcPr>
            <w:tcW w:type="dxa" w:w="23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Decisão</w:t>
            </w:r>
          </w:p>
        </w:tc>
        <w:tc>
          <w:tcPr>
            <w:tcW w:type="dxa" w:w="40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Considera evidência, risco e safety</w:t>
            </w:r>
          </w:p>
        </w:tc>
        <w:tc>
          <w:tcPr>
            <w:tcW w:type="dxa" w:w="40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Justificativa incompleta</w:t>
            </w:r>
          </w:p>
        </w:tc>
      </w:tr>
      <w:tr>
        <w:tc>
          <w:tcPr>
            <w:tcW w:type="dxa" w:w="23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Comunicação</w:t>
            </w:r>
          </w:p>
        </w:tc>
        <w:tc>
          <w:tcPr>
            <w:tcW w:type="dxa" w:w="40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Limites e próxima validação explícitos</w:t>
            </w:r>
          </w:p>
        </w:tc>
        <w:tc>
          <w:tcPr>
            <w:tcW w:type="dxa" w:w="400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color w:val="172B4D"/>
                <w:sz w:val="23"/>
                <w:szCs w:val="23"/>
              </w:rPr>
              <w:t xml:space="preserve">Conclusão sem limites claros</w:t>
            </w:r>
          </w:p>
        </w:tc>
      </w:tr>
    </w:tbl>
    <w:p>
      <w:r>
        <w:br w:type="page"/>
      </w:r>
    </w:p>
    <w:p>
      <w:pPr>
        <w:pStyle w:val="Heading1"/>
        <w:keepNext/>
        <w:spacing w:after="100" w:before="220"/>
      </w:pPr>
      <w:r>
        <w:t xml:space="preserve">Limpeza e encerramento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Feche os arquivos do pacote e descarte anotações com dados não sanitizados.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Se o Juice Shop local foi aberto, encerre o processo ou container.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Confirme que nenhum serviço vulnerável ficou acessível fora do laboratório.</w:t>
      </w:r>
    </w:p>
    <w:p>
      <w:pPr>
        <w:pStyle w:val="Heading1"/>
        <w:keepNext/>
        <w:spacing w:after="100" w:before="220"/>
      </w:pPr>
      <w:r>
        <w:t xml:space="preserve">Extensão opcional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Crie um evento adicional que diferenciaria as duas hipóteses sem revelar a resposta. Troque com outra dupla e avalie se o novo dado realmente muda a decisão.</w:t>
      </w:r>
    </w:p>
    <w:p>
      <w:pPr>
        <w:pStyle w:val="Heading1"/>
        <w:keepNext/>
        <w:spacing w:after="100" w:before="220"/>
      </w:pPr>
      <w:r>
        <w:t xml:space="preserve">Transferência</w:t>
      </w:r>
    </w:p>
    <w:p>
      <w:pPr>
        <w:spacing w:after="120" w:line="330"/>
      </w:pPr>
      <w:r>
        <w:rPr>
          <w:color w:val="172B4D"/>
          <w:sz w:val="24"/>
          <w:szCs w:val="24"/>
        </w:rPr>
        <w:t xml:space="preserve">Em um hospital, edifício inteligente ou sistema de transporte, qual consequência alteraria a prioridade entre preservar evidência e estabilizar o processo?</w:t>
      </w:r>
    </w:p>
    <w:p>
      <w:pPr>
        <w:pStyle w:val="Heading1"/>
        <w:keepNext/>
        <w:spacing w:after="100" w:before="220"/>
      </w:pPr>
      <w:r>
        <w:t xml:space="preserve">Fontes oficiais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NIST Cybersecurity Framework 2.0 — https://www.nist.gov/cyberframework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rPr>
          <w:color w:val="172B4D"/>
          <w:sz w:val="24"/>
          <w:szCs w:val="24"/>
        </w:rPr>
        <w:t xml:space="preserve">NIST SP 800-82 Rev. 3 — https://csrc.nist.gov/pubs/sp/800/82/r3/final</w:t>
      </w:r>
    </w:p>
    <w:sectPr>
      <w:footerReference w:type="default" r:id="rId7"/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E71"/>
        <w:sz w:val="18"/>
        <w:szCs w:val="18"/>
      </w:rPr>
      <w:t xml:space="preserve">A01 • Segurança Digital • roteiro do estudante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4D"/>
        <w:sz w:val="24"/>
        <w:szCs w:val="24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80"/>
    </w:pPr>
    <w:rPr>
      <w:rFonts w:ascii="Arial" w:cs="Arial" w:eastAsia="Arial" w:hAnsi="Arial"/>
      <w:b/>
      <w:bCs/>
      <w:color w:val="12304A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2304A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B65C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A01 — O incidente que parou a linha — prática</dc:title>
  <dc:creator>Curso de Segurança Digital</dc:creator>
  <cp:lastModifiedBy>Un-named</cp:lastModifiedBy>
  <cp:revision>1</cp:revision>
  <dcterms:created xsi:type="dcterms:W3CDTF">2026-08-04T23:40:10.458Z</dcterms:created>
  <dcterms:modified xsi:type="dcterms:W3CDTF">2026-08-04T23:40:10.458Z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