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087F7A"/>
          <w:sz w:val="23"/>
          <w:szCs w:val="23"/>
        </w:rPr>
        <w:t xml:space="preserve">A02 • FUNDAMENTOS E RISCO</w:t>
      </w:r>
    </w:p>
    <w:p>
      <w:pPr>
        <w:pStyle w:val="Title"/>
      </w:pPr>
      <w:r>
        <w:t xml:space="preserve">O que realmente está exposto?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Missão: investigar uma exposição simples no Juice Shop local e produzir um registro que conecte ativo, fraqueza, vetor, consequência, controle e reteste.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00"/>
      </w:tblGrid>
      <w:tr>
        <w:trPr>
          <w:tblHeader/>
        </w:trPr>
        <w:tc>
          <w:tcPr>
            <w:tcW w:type="dxa" w:w="3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Duração</w:t>
            </w:r>
          </w:p>
        </w:tc>
        <w:tc>
          <w:tcPr>
            <w:tcW w:type="dxa" w:w="3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Organização</w:t>
            </w:r>
          </w:p>
        </w:tc>
        <w:tc>
          <w:tcPr>
            <w:tcW w:type="dxa" w:w="35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Entrega</w:t>
            </w:r>
          </w:p>
        </w:tc>
      </w:tr>
      <w:tr>
        <w:tc>
          <w:tcPr>
            <w:tcW w:type="dxa" w:w="3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52 minutos</w:t>
            </w:r>
          </w:p>
        </w:tc>
        <w:tc>
          <w:tcPr>
            <w:tcW w:type="dxa" w:w="3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duplas; papéis rotativos</w:t>
            </w:r>
          </w:p>
        </w:tc>
        <w:tc>
          <w:tcPr>
            <w:tcW w:type="dxa" w:w="3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um PDF por dupla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Objetivos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Inventariar ativos de TI e OT relacionando função e consequência.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Distinguir ameaça, fraqueza, vulnerabilidade, exposição e exploit na evidência.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Priorizar o registro, escolher controle e definir validação reproduzível.</w:t>
      </w:r>
    </w:p>
    <w:p>
      <w:pPr>
        <w:pStyle w:val="Heading1"/>
        <w:keepNext/>
        <w:spacing w:after="100" w:before="220"/>
      </w:pPr>
      <w:r>
        <w:t xml:space="preserve">Pré-requisitos e recursos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A01 e página MkDocs A02 consultável durante a atividade.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Juice Shop local no endereço informado pelo professor.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Navegador com DevTools; Burp Community é opcional.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Este roteiro contém evidência alternativa para falha do ambiente.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Escopo: somente o Juice Shop local fornecido. Não teste a demonstração pública, sistemas institucionais ou terceiros. Use dados fictícios. Pare se o destino divergir, houver dados reais ou o comportamento alcançar outro sistema.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Hipótese inicial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Antes de executar, registre qual recurso pode estar exposto, por que isso seria possível e qual resposta confirmaria ou refutaria sua hipótese.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Hipótese: __________________________________________________________________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Evidência esperada: __________________________________________________________</w:t>
      </w:r>
    </w:p>
    <w:p>
      <w:r>
        <w:br w:type="page"/>
      </w:r>
    </w:p>
    <w:p>
      <w:pPr>
        <w:pStyle w:val="Heading2"/>
        <w:keepNext/>
        <w:spacing w:after="100" w:before="220"/>
      </w:pPr>
      <w:r>
        <w:t xml:space="preserve">Etapa 1 — Preparar e verificar (8 min)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Copie do quadro o endereço exato do alvo local; confirme protocolo, host e porta.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Abra a página inicial e registre somente versão/identificação exibida sem dados sensíveis.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Definam papéis: investigador opera; revisor confere escopo e anota. Troquem depois da Etapa 2.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Se a página não abrir ou o destino não for o indicado, use a evidência alternativa e não improvise.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Estado inicial: alvo sanitizado, horário relativo e confirmação de que a página inicial responde. Não capture credenciais, tokens, cookies ou IP público.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2 — Observar sem enumerar (12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Com DevTools na aba Network, observe uma requisição orientada pelo professor. Execute uma tentativa por vez. Registre método, caminho relativo, status, tipo de conteúdo e o que a resposta demonstra. Não use scanner, força bruta ou lista de caminhos.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ALTERNATIVA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Se o ambiente falhar, use: GET /ftp/acquisitions.md → HTTP/1.1 200 OK, Content-Type: text/markdown. Trate-a como evidência fictícia; não presuma conteúdo que não foi mostrado.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Um código 200 comprova que o servidor entregou o recurso naquela requisição. Ele não prova sozinho a causa, a autoria, o alcance nem a consequência.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3 — Inventariar e interpretar (12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Preencha ao menos quatro linhas. Inclua o recurso observado, a aplicação, a plataforma e um ativo OT de transferência.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00"/>
        <w:gridCol w:w="2800"/>
        <w:gridCol w:w="2600"/>
      </w:tblGrid>
      <w:tr>
        <w:trPr>
          <w:tblHeader/>
        </w:trPr>
        <w:tc>
          <w:tcPr>
            <w:tcW w:type="dxa" w:w="22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Ativo/tipo</w:t>
            </w:r>
          </w:p>
        </w:tc>
        <w:tc>
          <w:tcPr>
            <w:tcW w:type="dxa" w:w="27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Função/proprietário</w:t>
            </w:r>
          </w:p>
        </w:tc>
        <w:tc>
          <w:tcPr>
            <w:tcW w:type="dxa" w:w="28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Consequência</w:t>
            </w:r>
          </w:p>
        </w:tc>
        <w:tc>
          <w:tcPr>
            <w:tcW w:type="dxa" w:w="26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Prioridade e evidência</w:t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4 — Registrar a vulnerabilidade (10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Descreva comportamento esperado e observado. Relacione: ativo; ameaça plausível; fraqueza provável; vulnerabilidade concreta; caminho de exposição; técnica necessária; consequência; limites da hipótese. Não invente um CVE.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000"/>
      </w:tblGrid>
      <w:tr>
        <w:trPr>
          <w:tblHeader/>
        </w:trPr>
        <w:tc>
          <w:tcPr>
            <w:tcW w:type="dxa" w:w="33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7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Registro da dupla</w:t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Evidência reproduzível e interpretação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Fraqueza provável e lacuna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Vetor/ameaça dentro do escopo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Consequência e prioridade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Limites e próxima evidência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75D00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DECISÃO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Escolha uma prioridade pela consequência, não pela obtenção de uma flag. Explique o que mudaria a prioridade.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5 — Tratar e validar (10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Compare as opções e recomende uma conforme a função do recurso.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900"/>
        <w:gridCol w:w="2900"/>
      </w:tblGrid>
      <w:tr>
        <w:trPr>
          <w:tblHeader/>
        </w:trPr>
        <w:tc>
          <w:tcPr>
            <w:tcW w:type="dxa" w:w="1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Opção</w:t>
            </w:r>
          </w:p>
        </w:tc>
        <w:tc>
          <w:tcPr>
            <w:tcW w:type="dxa" w:w="26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Melhor uso</w:t>
            </w:r>
          </w:p>
        </w:tc>
        <w:tc>
          <w:tcPr>
            <w:tcW w:type="dxa" w:w="2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Evidência/entrega</w:t>
            </w:r>
          </w:p>
        </w:tc>
        <w:tc>
          <w:tcPr>
            <w:tcW w:type="dxa" w:w="2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Limitação/risco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Remover da área pública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recurso não deve ser servido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rota negada e publicação revisada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pode quebrar dependência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Autorizar no servidor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papel precisa acessar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casos permitido e negado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política incorreta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Reduzir conteúdo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publicação é necessária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somente dados necessários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não corrige outras rotas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Detectar acessos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correção não imediata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log/alerta testado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não impede exposição</w:t>
            </w:r>
          </w:p>
        </w:tc>
      </w:tr>
    </w:tbl>
    <w:p>
      <w:pPr>
        <w:spacing w:after="120" w:line="330"/>
      </w:pPr>
      <w:r>
        <w:rPr>
          <w:color w:val="172B4D"/>
          <w:sz w:val="24"/>
          <w:szCs w:val="24"/>
        </w:rPr>
        <w:t xml:space="preserve">Controle escolhido e premissa: 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Reteste e resultado esperado: ___________________________________________________</w:t>
      </w:r>
    </w:p>
    <w:p>
      <w:pPr>
        <w:pStyle w:val="Heading1"/>
        <w:keepNext/>
        <w:spacing w:after="100" w:before="220"/>
      </w:pPr>
      <w:r>
        <w:t xml:space="preserve">Entrega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Envie no Google Classroom um PDF chamado A02-dupla-NN.pdf com: hipótese inicial; inventário priorizado; uma evidência interpretada; registro de vulnerabilidade; controle e reteste; reflexão de até cinco linhas. Uma captura sem interpretação não conta como evidência.</w:t>
      </w:r>
    </w:p>
    <w:p>
      <w:pPr>
        <w:pStyle w:val="Heading1"/>
        <w:keepNext/>
        <w:spacing w:after="100" w:before="220"/>
      </w:pPr>
      <w:r>
        <w:t xml:space="preserve">Critérios de sucesso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4000"/>
      </w:tblGrid>
      <w:tr>
        <w:trPr>
          <w:tblHeader/>
        </w:trPr>
        <w:tc>
          <w:tcPr>
            <w:tcW w:type="dxa" w:w="23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Critério</w:t>
            </w:r>
          </w:p>
        </w:tc>
        <w:tc>
          <w:tcPr>
            <w:tcW w:type="dxa" w:w="4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Atendeu</w:t>
            </w:r>
          </w:p>
        </w:tc>
        <w:tc>
          <w:tcPr>
            <w:tcW w:type="dxa" w:w="4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Parcial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Inventário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ativos, função, proprietário e consequência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lista sem priorização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Precisão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termos distintos e limites explícitos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mistura termos ou afirma causa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Evidência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reproduzível, sanitizada e interpretada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captura pouco explicada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Tratamento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controle ligado à causa e reteste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controle genérico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Conduta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escopo e parada respeitados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registro incompleto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220"/>
      </w:pPr>
      <w:r>
        <w:t xml:space="preserve">Limpeza e encerramento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Feche DevTools e descarte capturas que contenham cookies, tokens ou dados não sanitizados.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Se você iniciou o Juice Shop, encerre o processo ou container pelo procedimento informado.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a porta do serviço vulnerável não ficou acessível fora do laboratório.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Preserve somente o PDF sanitizado da entrega.</w:t>
      </w:r>
    </w:p>
    <w:p>
      <w:pPr>
        <w:pStyle w:val="Heading1"/>
        <w:keepNext/>
        <w:spacing w:after="100" w:before="220"/>
      </w:pPr>
      <w:r>
        <w:t xml:space="preserve">Extensão opcional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Proponha uma consulta de inventário que encontraria exposições semelhantes sem varrer redes ou testar terceiros. Indique fonte dos dados, responsável e critério de atualização.</w:t>
      </w:r>
    </w:p>
    <w:p>
      <w:pPr>
        <w:pStyle w:val="Heading1"/>
        <w:keepNext/>
        <w:spacing w:after="100" w:before="220"/>
      </w:pPr>
      <w:r>
        <w:t xml:space="preserve">Transferência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Em uma HMI industrial, qual consequência física e qual janela de manutenção mudariam a escolha entre remover, autorizar e monitorar?</w:t>
      </w:r>
    </w:p>
    <w:p>
      <w:pPr>
        <w:pStyle w:val="Heading1"/>
        <w:keepNext/>
        <w:spacing w:after="100" w:before="220"/>
      </w:pPr>
      <w:r>
        <w:t xml:space="preserve">Fontes oficiais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NIST CSF 2.0 — https://doi.org/10.6028/NIST.CSWP.29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CVE Program — https://www.cve.org/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CWE — https://cwe.mitre.org/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OWASP Juice Shop — https://owasp.org/www-project-juice-shop/</w:t>
      </w:r>
    </w:p>
    <w:sectPr>
      <w:footerReference w:type="default" r:id="rId7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E71"/>
        <w:sz w:val="18"/>
        <w:szCs w:val="18"/>
      </w:rPr>
      <w:t xml:space="preserve">A02 • Segurança Digital • roteiro do estudante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4"/>
        <w:szCs w:val="24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8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B65C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A02 — Ativos, ameaças e vulnerabilidades — prática</dc:title>
  <dc:creator>Curso de Segurança Digital</dc:creator>
  <cp:lastModifiedBy>Un-named</cp:lastModifiedBy>
  <cp:revision>1</cp:revision>
  <dcterms:created xsi:type="dcterms:W3CDTF">2026-08-06T19:49:56.837Z</dcterms:created>
  <dcterms:modified xsi:type="dcterms:W3CDTF">2026-08-06T19:49:56.837Z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