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87F7A"/>
          <w:sz w:val="23"/>
          <w:szCs w:val="23"/>
        </w:rPr>
        <w:t xml:space="preserve">ROTEIRO DOCENTE • A03</w:t>
      </w:r>
    </w:p>
    <w:p>
      <w:pPr>
        <w:pStyle w:val="Title"/>
      </w:pPr>
      <w:r>
        <w:t xml:space="preserve">Por onde o incidente atravessa o sistema?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Guia detalhado para conduzir modelagem de ameaças e tabletop de ransomware sem malware em 104 minutos.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2800"/>
        <w:gridCol w:w="2800"/>
      </w:tblGrid>
      <w:tr>
        <w:trPr>
          <w:tblHeader/>
        </w:trP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Carga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Organização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Cenário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Produto</w:t>
            </w:r>
          </w:p>
        </w:tc>
      </w:tr>
      <w:t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52 + 52 min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grupos de 3–4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TI/OT fictício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modelo + 3 caminhos + risco</w:t>
            </w:r>
          </w:p>
        </w:tc>
      </w:tr>
    </w:tbl>
    <w:p>
      <w:pPr>
        <w:pStyle w:val="Heading1"/>
        <w:keepNext/>
      </w:pPr>
      <w:r>
        <w:t xml:space="preserve">Contexto para o professor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A A03 reutiliza o inventário da A02. Uma identidade de suporte aparece em eventos no servidor de arquivos e uma sessão parte da estação de engenharia em direção ao jump host OT. A tensão pedagógica é resistir ao diagnóstico prematuro de ransomware e transformar correlação em perguntas de arquitetura, fronteiras, evidência e consequência.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PERGUNTA MOBILIZADORA</w:t>
            </w:r>
          </w:p>
          <w:p>
            <w:r>
              <w:rPr>
                <w:color w:val="FFFFFF"/>
                <w:sz w:val="23"/>
                <w:szCs w:val="23"/>
              </w:rPr>
              <w:t xml:space="preserve">O que precisa ser verdade para que eventos em TI alcancem uma consequência no processo — e onde esse caminho pode ser interrompido com segurança?</w:t>
            </w:r>
          </w:p>
        </w:tc>
      </w:tr>
    </w:tbl>
    <w:p>
      <w:pPr>
        <w:pStyle w:val="Heading1"/>
        <w:keepNext/>
      </w:pPr>
      <w:r>
        <w:t xml:space="preserve">Resultados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Desenhar o funcionamento normal antes do abuso.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Usar STRIDE para ameaças testáveis e taxonomias com finalidade correta.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Defender tratamento, validação e risco residual.</w:t>
      </w:r>
    </w:p>
    <w:p>
      <w:r>
        <w:br w:type="page"/>
      </w:r>
    </w:p>
    <w:p>
      <w:pPr>
        <w:pStyle w:val="Heading1"/>
        <w:keepNext/>
      </w:pPr>
      <w:r>
        <w:t xml:space="preserve">1. Preparação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Validar slides, PDF, links e legibilidade.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Escolher diagrams.net, Threat Dragon, Mermaid ou papel A3; manter alternativa impressa.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Preparar três cartões: backup íntegro incerto; conta compartilhada; sessão autorizada rumo ao jump host.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Explicitar que não haverá malware, criptografia, comando ofensivo ou teste de rede.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Papel</w:t>
            </w:r>
          </w:p>
        </w:tc>
        <w:tc>
          <w:tcPr>
            <w:tcW w:type="dxa" w:w="7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Responsabilidade</w:t>
            </w:r>
          </w:p>
        </w:tc>
      </w:tr>
      <w:tr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Arquiteto</w:t>
            </w:r>
          </w:p>
        </w:tc>
        <w:tc>
          <w:tcPr>
            <w:tcW w:type="dxa" w:w="7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mantém componentes e fluxos legíveis</w:t>
            </w:r>
          </w:p>
        </w:tc>
      </w:tr>
      <w:tr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Adversário autorizado</w:t>
            </w:r>
          </w:p>
        </w:tc>
        <w:tc>
          <w:tcPr>
            <w:tcW w:type="dxa" w:w="7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questiona pré-condições sem executar</w:t>
            </w:r>
          </w:p>
        </w:tc>
      </w:tr>
      <w:tr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Defensor</w:t>
            </w:r>
          </w:p>
        </w:tc>
        <w:tc>
          <w:tcPr>
            <w:tcW w:type="dxa" w:w="7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propõe coleta, controle e validação</w:t>
            </w:r>
          </w:p>
        </w:tc>
      </w:tr>
      <w:tr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Relator</w:t>
            </w:r>
          </w:p>
        </w:tc>
        <w:tc>
          <w:tcPr>
            <w:tcW w:type="dxa" w:w="7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separa evidência, suposição e decisão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PARADA</w:t>
            </w:r>
          </w:p>
          <w:p>
            <w:r>
              <w:rPr>
                <w:color w:val="FFFFFF"/>
                <w:sz w:val="23"/>
                <w:szCs w:val="23"/>
              </w:rPr>
              <w:t xml:space="preserve">Destino externo, dado real, tentativa técnica ofensiva, efeito operacional ou discussão que proponha testar sistemas fora do cenário.</w:t>
            </w:r>
          </w:p>
        </w:tc>
      </w:tr>
    </w:tbl>
    <w:p>
      <w:pPr>
        <w:pStyle w:val="Heading1"/>
        <w:keepNext/>
      </w:pPr>
      <w:r>
        <w:t xml:space="preserve">Plano B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Se a ferramenta falhar, papel A3 atende integralmente. Se faltar tempo, forneça os componentes e peça que os grupos desenhem apenas fluxos, fronteiras e caminhos.</w:t>
      </w:r>
    </w:p>
    <w:p>
      <w:r>
        <w:br w:type="page"/>
      </w:r>
    </w:p>
    <w:p>
      <w:pPr>
        <w:pStyle w:val="Heading1"/>
        <w:keepNext/>
      </w:pPr>
      <w:r>
        <w:t xml:space="preserve">2. Condução dos slides — 52 min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Tempo/slide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Mediação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Evidência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0–6 • 1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apresentar tensão TI/OT sem diagnóstico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duas observações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6–13 • 2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previsão: caminho, alternativa e dado decisivo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hipóteses concorrentes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13–23 • 3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desenhar fluxo normal; marcar confiança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primeira fronteira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23–35 • 4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STRIDE em um fluxo e um armazenamento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ameaça testável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35–43 • 5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comparar recursos e evitar equivalências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escolha de taxonomia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43–48 • 6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votar no ponto de interrupção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premissa + validação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48–50 • 7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explicar tabletop não destrutivo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critério de parada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50–52 • 8–9</w:t>
            </w:r>
          </w:p>
        </w:tc>
        <w:tc>
          <w:tcPr>
            <w:tcW w:type="dxa" w:w="5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entrega e transição</w:t>
            </w:r>
          </w:p>
        </w:tc>
        <w:tc>
          <w:tcPr>
            <w:tcW w:type="dxa" w:w="2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papéis assumidos</w:t>
            </w:r>
          </w:p>
        </w:tc>
      </w:tr>
    </w:tbl>
    <w:p>
      <w:pPr>
        <w:pStyle w:val="Heading1"/>
        <w:keepNext/>
      </w:pPr>
      <w:r>
        <w:t xml:space="preserve">Falas sugeridas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“O log mostra um caminho completo ou apenas pontos que ainda precisam ser ligados?”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“Onde muda quem administra, quem autoriza ou qual consequência é possível?”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“Essa referência descreve fraqueza, padrão ou comportamento?”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“Que operação legítima o controle pode interromper?”</w:t>
      </w:r>
    </w:p>
    <w:p>
      <w:pPr>
        <w:pStyle w:val="Heading1"/>
        <w:keepNext/>
      </w:pPr>
      <w:r>
        <w:t xml:space="preserve">Não antecipar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Não confirmar ransomware, comprometimento ou acesso OT.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Não transformar STRIDE em seis ameaças obrigatórias por elemento.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Não fornecer um diagrama final antes da primeira versão dos grupos.</w:t>
      </w:r>
    </w:p>
    <w:p>
      <w:r>
        <w:br w:type="page"/>
      </w:r>
    </w:p>
    <w:p>
      <w:pPr>
        <w:pStyle w:val="Heading1"/>
        <w:keepNext/>
      </w:pPr>
      <w:r>
        <w:t xml:space="preserve">3. Mediação da prática — 52 min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4700"/>
      </w:tblGrid>
      <w:tr>
        <w:trPr>
          <w:tblHeader/>
        </w:trP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Tempo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Ação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Pergunta do professor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52–62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desenho e fronteiras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o que atravessa e por que é confiável?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62–77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ameaças e caminhos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qual condição precisa ser verdadeira?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77–91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cartões do tabletop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que evidência muda a decisão?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91–100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risco e tratamento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qual consequência e risco residual?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100–104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revisão/limpeza</w:t>
            </w:r>
          </w:p>
        </w:tc>
        <w:tc>
          <w:tcPr>
            <w:tcW w:type="dxa" w:w="4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outra equipe consegue validar?</w:t>
            </w:r>
          </w:p>
        </w:tc>
      </w:tr>
    </w:tbl>
    <w:p>
      <w:pPr>
        <w:pStyle w:val="Heading1"/>
        <w:keepNext/>
      </w:pPr>
      <w:r>
        <w:t xml:space="preserve">Cartões e facilitação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4300"/>
      </w:tblGrid>
      <w:tr>
        <w:trPr>
          <w:tblHeader/>
        </w:trP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Cartão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Informação revelada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Boa decisão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último teste de restauração é desconhecido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verificar restauração antes de depender do backup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B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svc_support é compartilhada por fornecedor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conter com coordenação; migrar para identidade individual/MFA</w:t>
            </w:r>
          </w:p>
        </w:tc>
      </w:tr>
      <w:tr>
        <w:tc>
          <w:tcPr>
            <w:tcW w:type="dxa" w:w="1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sessão ao jump host estava no calendário, mas origem diverge</w:t>
            </w:r>
          </w:p>
        </w:tc>
        <w:tc>
          <w:tcPr>
            <w:tcW w:type="dxa" w:w="4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preservar logs, verificar identidade e restringir sem perder acesso seguro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</w:t>
            </w:r>
          </w:p>
          <w:p>
            <w:r>
              <w:rPr>
                <w:color w:val="FFFFFF"/>
                <w:sz w:val="23"/>
                <w:szCs w:val="23"/>
              </w:rPr>
              <w:t xml:space="preserve">A captura do diagrama não basta: cada caminho precisa declarar observações, suposições, consequência e ponto de interrupção.</w:t>
            </w:r>
          </w:p>
        </w:tc>
      </w:tr>
    </w:tbl>
    <w:p>
      <w:pPr>
        <w:pStyle w:val="Heading1"/>
        <w:keepNext/>
      </w:pPr>
      <w:r>
        <w:t xml:space="preserve">Pistas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Comece pelo processo normal, não pelo atacante.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Circule onde muda identidade, autoridade ou consequência.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Complete agente + condição + elemento + consequência + evidência.</w:t>
      </w:r>
    </w:p>
    <w:p>
      <w:r>
        <w:br w:type="page"/>
      </w:r>
    </w:p>
    <w:p>
      <w:pPr>
        <w:pStyle w:val="Heading1"/>
        <w:keepNext/>
      </w:pPr>
      <w:r>
        <w:t xml:space="preserve">4. Respostas esperadas e avaliação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6400"/>
      </w:tblGrid>
      <w:tr>
        <w:trPr>
          <w:tblHeader/>
        </w:trP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Erro produtivo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Intervenção</w:t>
            </w:r>
          </w:p>
        </w:tc>
      </w:tr>
      <w:t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fronteira = firewall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perguntar onde mudam autoridade, dono e consequência</w:t>
            </w:r>
          </w:p>
        </w:tc>
      </w:tr>
      <w:t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ATT&amp;CK = vulnerabilidade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retomar comportamento observado versus condição explorável</w:t>
            </w:r>
          </w:p>
        </w:tc>
      </w:tr>
      <w:t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CAPEC = grupo adversário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retomar padrão, pré-condições e mitigação</w:t>
            </w:r>
          </w:p>
        </w:tc>
      </w:tr>
      <w:t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risco = número de etapas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pedir consequência, exposição e controles existentes</w:t>
            </w:r>
          </w:p>
        </w:tc>
      </w:tr>
      <w:tr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segmentar resolve tudo</w:t>
            </w:r>
          </w:p>
        </w:tc>
        <w:tc>
          <w:tcPr>
            <w:tcW w:type="dxa" w:w="6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pedir fluxo legítimo, acesso emergencial e validação operacional</w:t>
            </w:r>
          </w:p>
        </w:tc>
      </w:tr>
    </w:tbl>
    <w:p>
      <w:pPr>
        <w:pStyle w:val="Heading1"/>
        <w:keepNext/>
      </w:pPr>
      <w:r>
        <w:t xml:space="preserve">Rubrica oral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Modelo: fluxos nomeados, direção e duas fronteiras.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Ameaça: agente, condição, elemento, consequência e evidência.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Taxonomia: finalidade correta, fonte e ausência de mapeamento forçado.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Risco: consequência, tratamento, responsável, teste e residual.</w:t>
      </w:r>
    </w:p>
    <w:p>
      <w:pPr>
        <w:pStyle w:val="Heading1"/>
        <w:keepNext/>
      </w:pPr>
      <w:r>
        <w:t xml:space="preserve">Fechamento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Peça: “Interrompemos o caminho em ___ com ___; a evidência de eficácia será ___ e o risco residual é ___.” Selecione uma confusão para retomar na A04.</w:t>
      </w:r>
    </w:p>
    <w:p>
      <w:pPr>
        <w:pStyle w:val="Heading1"/>
        <w:keepNext/>
      </w:pPr>
      <w:r>
        <w:t xml:space="preserve">Transferência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Discuta o paradoxo: remover a conexão TI/OT reduz caminhos, mas pode criar manutenção manual, mídia removível ou acesso emergencial menos governado.</w:t>
      </w:r>
    </w:p>
    <w:p>
      <w:pPr>
        <w:pStyle w:val="Heading1"/>
        <w:keepNext/>
      </w:pPr>
      <w:r>
        <w:t xml:space="preserve">Referências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NIST CSF 2.0; MITRE CAPEC; MITRE ATT&amp;CK Enterprise/ICS; OWASP Threat Modeling.</w:t>
      </w:r>
    </w:p>
    <w:sectPr>
      <w:footerReference w:type="default" r:id="rId7"/>
      <w:pgSz w:w="11906" w:h="16838" w:orient="portrait"/>
      <w:pgMar w:top="760" w:right="760" w:bottom="7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E71"/>
        <w:sz w:val="17"/>
        <w:szCs w:val="17"/>
      </w:rPr>
      <w:t xml:space="preserve">A03 • roteiro docente • Segurança Digital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3"/>
        <w:szCs w:val="23"/>
      </w:rPr>
    </w:rPrDefault>
    <w:pPrDefault>
      <w:pPr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90" w:before="22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70" w:before="170"/>
      <w:outlineLvl w:val="1"/>
    </w:pPr>
    <w:rPr>
      <w:rFonts w:ascii="Arial" w:cs="Arial" w:eastAsia="Arial" w:hAnsi="Arial"/>
      <w:b/>
      <w:bCs/>
      <w:color w:val="0B65C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A03 — Roteiro docente</dc:title>
  <dc:creator>Curso de Segurança Digital</dc:creator>
  <cp:lastModifiedBy>Un-named</cp:lastModifiedBy>
  <cp:revision>1</cp:revision>
  <dcterms:created xsi:type="dcterms:W3CDTF">2026-08-06T19:49:57.037Z</dcterms:created>
  <dcterms:modified xsi:type="dcterms:W3CDTF">2026-08-06T19:49:57.037Z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