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AO JUÍZO DA </w:t>
      </w:r>
      <w:r>
        <w:rPr>
          <w:rFonts w:cs="Arial" w:ascii="Arial" w:hAnsi="Arial"/>
          <w:b/>
          <w:sz w:val="24"/>
          <w:szCs w:val="24"/>
        </w:rPr>
        <w:t>{{vara}}{% if vara_estado %}, {{vara_estado}}{% endif %}</w:t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Autos nº {{processo}}</w:t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{{nome}}</w:t>
      </w:r>
      <w:r>
        <w:rPr>
          <w:rFonts w:cs="Arial" w:ascii="Arial" w:hAnsi="Arial"/>
          <w:sz w:val="24"/>
          <w:szCs w:val="24"/>
        </w:rPr>
        <w:t xml:space="preserve">, já qualificad{{o_a}} nos autos da execução penal, através da </w:t>
      </w:r>
      <w:r>
        <w:rPr>
          <w:rFonts w:cs="Arial" w:ascii="Arial" w:hAnsi="Arial"/>
          <w:b/>
          <w:sz w:val="24"/>
          <w:szCs w:val="24"/>
        </w:rPr>
        <w:t>DEFENSORIA PÚBLICA DO ESTADO DE MATO GROSSO DO SUL</w:t>
      </w:r>
      <w:r>
        <w:rPr>
          <w:rFonts w:cs="Arial" w:ascii="Arial" w:hAnsi="Arial"/>
          <w:sz w:val="24"/>
          <w:szCs w:val="24"/>
        </w:rPr>
        <w:t xml:space="preserve">, no âmbito do </w:t>
      </w:r>
      <w:r>
        <w:rPr>
          <w:rFonts w:cs="Arial" w:ascii="Arial" w:hAnsi="Arial"/>
          <w:b/>
          <w:sz w:val="24"/>
          <w:szCs w:val="24"/>
        </w:rPr>
        <w:t>Mutirão Processual – Pena Justa</w:t>
      </w:r>
      <w:r>
        <w:rPr>
          <w:rFonts w:cs="Arial" w:ascii="Arial" w:hAnsi="Arial"/>
          <w:sz w:val="24"/>
          <w:szCs w:val="24"/>
        </w:rPr>
        <w:t>, vem, respeitosamente, à presença de Vossa Excelência, expor e requerer o que segue: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  <w:t>I- DO INDULTO DE PENA. DECRETO Nº 11.846/2023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Dispõe o art. 2º, inciso XV, do Decreto nº 11.846/2023 que: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>Art. 2º Concede-se o indulto coletivo às pessoas, nacionais e migrantes:</w:t>
      </w:r>
    </w:p>
    <w:p>
      <w:pPr>
        <w:pStyle w:val="Normal"/>
        <w:spacing w:lineRule="auto" w:line="360"/>
        <w:ind w:start="2268" w:end="0"/>
        <w:jc w:val="both"/>
        <w:rPr/>
      </w:pPr>
      <w:r>
        <w:rPr>
          <w:rFonts w:cs="Arial" w:ascii="Arial" w:hAnsi="Arial"/>
          <w:color w:val="000000"/>
          <w:szCs w:val="24"/>
        </w:rPr>
        <w:t xml:space="preserve">XV - condenadas por </w:t>
      </w:r>
      <w:r>
        <w:rPr>
          <w:rFonts w:cs="Arial" w:ascii="Arial" w:hAnsi="Arial"/>
          <w:b/>
          <w:color w:val="000000"/>
          <w:szCs w:val="24"/>
        </w:rPr>
        <w:t>crime contra o patrimônio cometido sem grave ameaça ou violência a pessoa</w:t>
      </w:r>
      <w:r>
        <w:rPr>
          <w:rFonts w:cs="Arial" w:ascii="Arial" w:hAnsi="Arial"/>
          <w:color w:val="000000"/>
          <w:szCs w:val="24"/>
        </w:rPr>
        <w:t xml:space="preserve">, desde que tenham cumprido um quinto da pena, se não reincidente, </w:t>
      </w:r>
      <w:r>
        <w:rPr>
          <w:rFonts w:cs="Arial" w:ascii="Arial" w:hAnsi="Arial"/>
          <w:b/>
          <w:color w:val="000000"/>
          <w:szCs w:val="24"/>
        </w:rPr>
        <w:t>ou um quarto da pena, se reincidente</w:t>
      </w:r>
      <w:r>
        <w:rPr>
          <w:rFonts w:cs="Arial" w:ascii="Arial" w:hAnsi="Arial"/>
          <w:color w:val="000000"/>
          <w:szCs w:val="24"/>
        </w:rPr>
        <w:t xml:space="preserve">, e reparado o dano até 25 de dezembro de 2023, exceto se houver inocorrência de dano </w:t>
      </w:r>
      <w:r>
        <w:rPr>
          <w:rFonts w:cs="Arial" w:ascii="Arial" w:hAnsi="Arial"/>
          <w:b/>
          <w:color w:val="000000"/>
          <w:szCs w:val="24"/>
        </w:rPr>
        <w:t>ou incapacidade econômica de repará-lo; e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Conforme se extrai dos autos, {{sentenciado}} preenche os requisitos objetivos previstos no dispositivo acima mencionado.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Além disso, verifica-se a impossibilidade econômica de reparação do dano, circunstância evidenciada pelas condições financeiras {{do_sentenciado}}, inclusive assistid{{o_a}} pela Defensoria Pública, situação que autoriza a incidência da ressalva prevista no próprio Decreto Presidencial.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{% if falta_grave_frase %}De igual modo, {{sentenciado}} preenche o requisito subjetivo previsto no art. 6º do Decreto nº 11.846/2023, uma vez que não há registro de falta grave no período legalmente exigido.{% else %}Quanto ao requisito subjetivo previsto no art. 6º do Decreto nº 11.846/2023, eventual registro disciplinar somente obsta o indulto se configurar falta grave cometida no período legalmente exigido e reconhecida pelo juízo, o que deverá ser aferido nos autos.{% endif %}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b/>
          <w:color w:val="000000"/>
          <w:sz w:val="24"/>
          <w:szCs w:val="24"/>
        </w:rPr>
        <w:t>II- DOS REQUERIMENTOS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/>
      </w:pPr>
      <w:r>
        <w:rPr>
          <w:rFonts w:cs="Arial" w:ascii="Arial" w:hAnsi="Arial"/>
          <w:b/>
          <w:sz w:val="24"/>
          <w:szCs w:val="24"/>
        </w:rPr>
        <w:t>PELO EXPOSTO</w:t>
      </w:r>
      <w:r>
        <w:rPr>
          <w:rFonts w:cs="Arial" w:ascii="Arial" w:hAnsi="Arial"/>
          <w:sz w:val="24"/>
          <w:szCs w:val="24"/>
        </w:rPr>
        <w:t>, requer a Vossa Excelência a concessão</w:t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  <w:t xml:space="preserve"> de indulto</w:t>
      </w:r>
      <w:r>
        <w:rPr>
          <w:rFonts w:cs="Arial" w:ascii="Arial" w:hAnsi="Arial"/>
          <w:sz w:val="24"/>
          <w:szCs w:val="24"/>
        </w:rPr>
        <w:t>, com fundamento no art. 2º, inciso XV, do Decreto nº 11.846/2023, e, por conseguinte, seja declarada a extinção da punibilidade, com base no art. 107, II, do Código Penal{% if processos_patrimoniais %}, referente {% if ',' in processos_patrimoniais %}às ações penais nº{% else %}à ação penal nº{% endif %} {{processos_patrimoniais}}{% endif %};</w:t>
      </w:r>
      <w:r>
        <w:rPr>
          <w:rFonts w:cs="Arial" w:ascii="Arial" w:hAnsi="Arial"/>
          <w:color w:val="000000"/>
          <w:sz w:val="24"/>
          <w:szCs w:val="24"/>
        </w:rPr>
      </w: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Nestes termos, 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Pede deferimento.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Campo Grande - MS, </w:t>
      </w:r>
      <w:r>
        <w:rPr>
          <w:rFonts w:cs="Arial" w:ascii="Arial" w:hAnsi="Arial"/>
          <w:sz w:val="24"/>
          <w:szCs w:val="24"/>
        </w:rPr>
        <w:fldChar w:fldCharType="begin"/>
      </w:r>
      <w:r>
        <w:rPr>
          <w:sz w:val="24"/>
          <w:szCs w:val="24"/>
          <w:rFonts w:cs="Arial" w:ascii="Arial" w:hAnsi="Arial"/>
        </w:rPr>
        <w:instrText xml:space="preserve"> DATE \@"d' de 'MMMM' de 'yyyy" </w:instrText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sz w:val="24"/>
          <w:szCs w:val="24"/>
          <w:rFonts w:cs="Arial" w:ascii="Arial" w:hAnsi="Arial"/>
        </w:rPr>
        <w:t>{{hoje_extenso}}</w:t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       </w:t>
      </w:r>
      <w:r>
        <w:rPr>
          <w:rFonts w:cs="Arial" w:ascii="Arial" w:hAnsi="Arial"/>
          <w:b/>
          <w:sz w:val="24"/>
          <w:szCs w:val="24"/>
        </w:rPr>
        <w:t>{{defensor}}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     </w:t>
      </w:r>
      <w:r>
        <w:rPr>
          <w:rFonts w:cs="Arial" w:ascii="Arial" w:hAnsi="Arial"/>
          <w:b/>
          <w:sz w:val="24"/>
          <w:szCs w:val="24"/>
        </w:rPr>
        <w:t>{{defensor_cargo}}</w:t>
      </w:r>
    </w:p>
    <w:p>
      <w:pPr>
        <w:pStyle w:val="Normal"/>
        <w:spacing w:lineRule="auto" w:line="360"/>
        <w:jc w:val="center"/>
        <w:rPr/>
      </w:pPr>
      <w:r>
        <w:rPr>
          <w:rFonts w:eastAsia="Arial"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</w:rPr>
        <w:t>(assinado digitalmente)</w:t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567" w:top="1985" w:footer="142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 xml:space="preserve">Rua Barão do Melgaço, nº 128, Centro, Campo Grande - MS, CEP 79002-090 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0165" cy="10223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65" cy="1022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4"/>
                              <w:szCs w:val="16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4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95pt;height:8.05pt;mso-wrap-distance-left:0pt;mso-wrap-distance-right:0pt;mso-wrap-distance-top:0pt;mso-wrap-distance-bottom:0pt;margin-top:0.05pt;mso-position-vertical-relative:text;margin-left:421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4"/>
                        <w:szCs w:val="16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4"/>
                        <w:szCs w:val="16"/>
                      </w:rPr>
                      <w:fldChar w:fldCharType="begin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t>2</w: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ind w:end="360"/>
      <w:jc w:val="center"/>
      <w:rPr>
        <w:rFonts w:ascii="Arial" w:hAnsi="Arial" w:cs="Arial"/>
        <w:bCs/>
        <w:iCs/>
        <w:sz w:val="16"/>
        <w:szCs w:val="16"/>
      </w:rPr>
    </w:pPr>
    <w:hyperlink r:id="rId1">
      <w:r>
        <w:rPr>
          <w:rStyle w:val="Hyperlink"/>
          <w:rFonts w:cs="Arial" w:ascii="Arial" w:hAnsi="Arial"/>
          <w:sz w:val="16"/>
          <w:szCs w:val="16"/>
        </w:rPr>
        <w:t>www.defensoria.ms.def.br</w:t>
      </w:r>
    </w:hyperlink>
  </w:p>
  <w:p>
    <w:pPr>
      <w:pStyle w:val="Footer"/>
      <w:tabs>
        <w:tab w:val="clear" w:pos="8838"/>
        <w:tab w:val="center" w:pos="4419" w:leader="none"/>
        <w:tab w:val="right" w:pos="8505" w:leader="none"/>
      </w:tabs>
      <w:ind w:end="-284"/>
      <w:jc w:val="center"/>
      <w:rPr>
        <w:rFonts w:ascii="Arial" w:hAnsi="Arial" w:cs="Arial"/>
        <w:bCs/>
        <w:iCs/>
        <w:sz w:val="16"/>
        <w:szCs w:val="16"/>
      </w:rPr>
    </w:pPr>
    <w:r>
      <w:rPr>
        <w:rFonts w:cs="Arial" w:ascii="Arial" w:hAnsi="Arial"/>
        <w:bCs/>
        <w:iCs/>
        <w:sz w:val="16"/>
        <w:szCs w:val="16"/>
      </w:rPr>
    </w:r>
  </w:p>
  <w:p>
    <w:pPr>
      <w:pStyle w:val="Normal"/>
      <w:rPr>
        <w:rFonts w:ascii="Arial" w:hAnsi="Arial" w:cs="Arial"/>
        <w:sz w:val="16"/>
      </w:rPr>
    </w:pPr>
    <w:r>
      <w:rPr>
        <w:rFonts w:cs="Arial" w:ascii="Arial" w:hAnsi="Arial"/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46442A18" w14:textId="3EAC65EE" w:rsidR="0065737F" w:rsidRDefault="008C3F16" w:rsidP="008C3F16">
    <w:pPr>
      <w:ind w:left="0" w:right="0" w:firstLine="0" w:hanging="0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b/>
      <w:sz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2835" w:start="0" w:end="0"/>
      <w:jc w:val="both"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2977" w:start="0" w:end="0"/>
      <w:jc w:val="both"/>
      <w:outlineLvl w:val="4"/>
    </w:pPr>
    <w:rPr>
      <w:rFonts w:ascii="Arial" w:hAnsi="Arial" w:cs="Arial"/>
      <w:i/>
      <w:iCs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firstLine="3402" w:start="0" w:end="0"/>
      <w:jc w:val="both"/>
      <w:outlineLvl w:val="6"/>
    </w:pPr>
    <w:rPr>
      <w:b/>
      <w:i/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2835" w:start="0" w:end="0"/>
      <w:jc w:val="both"/>
      <w:outlineLvl w:val="7"/>
    </w:pPr>
    <w:rPr>
      <w:b/>
      <w:bCs/>
      <w:i/>
      <w:iCs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360"/>
      <w:ind w:firstLine="2835" w:start="0" w:end="0"/>
      <w:jc w:val="both"/>
      <w:outlineLvl w:val="8"/>
    </w:pPr>
    <w:rPr>
      <w:b/>
      <w:i/>
      <w:sz w:val="22"/>
    </w:rPr>
  </w:style>
  <w:style w:type="character" w:styleId="WW8Num1z0">
    <w:name w:val="WW8Num1z0"/>
    <w:qFormat/>
    <w:rPr>
      <w:sz w:val="28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Times New Roman" w:hAnsi="Times New Roman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Fontepargpadro"/>
    <w:rPr/>
  </w:style>
  <w:style w:type="character" w:styleId="CabealhoChar">
    <w:name w:val="Cabeçalho Char"/>
    <w:qFormat/>
    <w:rPr>
      <w:lang w:val="pt-BR" w:bidi="ar-SA"/>
    </w:rPr>
  </w:style>
  <w:style w:type="character" w:styleId="RodapChar">
    <w:name w:val="Rodapé Char"/>
    <w:qFormat/>
    <w:rPr>
      <w:lang w:val="pt-BR"/>
    </w:rPr>
  </w:style>
  <w:style w:type="character" w:styleId="label1">
    <w:name w:val="label1"/>
    <w:qFormat/>
    <w:rPr>
      <w:b/>
      <w:bCs/>
    </w:rPr>
  </w:style>
  <w:style w:type="character" w:styleId="TextodenotaderodapChar">
    <w:name w:val="Texto de nota de rodapé Char"/>
    <w:qFormat/>
    <w:rPr/>
  </w:style>
  <w:style w:type="character" w:styleId="Recuodecorpodetexto2Char">
    <w:name w:val="Recuo de corpo de texto 2 Char"/>
    <w:qFormat/>
    <w:rPr>
      <w:b/>
      <w:bCs/>
      <w:sz w:val="24"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Ttulo1Char">
    <w:name w:val="Título 1 Char"/>
    <w:qFormat/>
    <w:rPr>
      <w:b/>
      <w:sz w:val="28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sz w:val="24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firstLine="1701" w:start="0" w:end="0"/>
      <w:jc w:val="both"/>
    </w:pPr>
    <w:rPr>
      <w:sz w:val="28"/>
    </w:rPr>
  </w:style>
  <w:style w:type="paragraph" w:styleId="Corpodetexto2">
    <w:name w:val="Corpo de texto 2"/>
    <w:basedOn w:val="Normal"/>
    <w:qFormat/>
    <w:pPr>
      <w:jc w:val="both"/>
    </w:pPr>
    <w:rPr>
      <w:b/>
      <w:bCs/>
      <w:sz w:val="24"/>
    </w:rPr>
  </w:style>
  <w:style w:type="paragraph" w:styleId="Recuodecorpodetexto2">
    <w:name w:val="Recuo de corpo de texto 2"/>
    <w:basedOn w:val="Normal"/>
    <w:qFormat/>
    <w:pPr>
      <w:ind w:firstLine="2835" w:start="0" w:end="0"/>
      <w:jc w:val="both"/>
    </w:pPr>
    <w:rPr>
      <w:b/>
      <w:bCs/>
      <w:sz w:val="24"/>
      <w:lang w:val="en-US"/>
    </w:rPr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Corpodetexto3">
    <w:name w:val="Corpo de texto 3"/>
    <w:basedOn w:val="Normal"/>
    <w:qFormat/>
    <w:pPr>
      <w:jc w:val="both"/>
    </w:pPr>
    <w:rPr>
      <w:sz w:val="26"/>
    </w:rPr>
  </w:style>
  <w:style w:type="paragraph" w:styleId="Recuodecorpodetexto3">
    <w:name w:val="Recuo de corpo de texto 3"/>
    <w:basedOn w:val="Normal"/>
    <w:qFormat/>
    <w:pPr>
      <w:spacing w:lineRule="auto" w:line="360"/>
      <w:ind w:firstLine="2880" w:start="0" w:end="0"/>
      <w:jc w:val="both"/>
    </w:pPr>
    <w:rPr>
      <w:sz w:val="26"/>
    </w:rPr>
  </w:style>
  <w:style w:type="paragraph" w:styleId="FootnoteText">
    <w:name w:val="Footnote Text"/>
    <w:basedOn w:val="Normal"/>
    <w:pPr/>
    <w:rPr/>
  </w:style>
  <w:style w:type="paragraph" w:styleId="Pr-formataoHTML">
    <w:name w:val="Pré-formatação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color w:val="1F384C"/>
      <w:sz w:val="18"/>
      <w:szCs w:val="18"/>
    </w:rPr>
  </w:style>
  <w:style w:type="paragraph" w:styleId="PargrafodaLista">
    <w:name w:val="Parágrafo da Lista"/>
    <w:basedOn w:val="Normal"/>
    <w:qFormat/>
    <w:pPr>
      <w:spacing w:before="0" w:after="0"/>
      <w:ind w:hanging="0" w:start="720" w:end="0"/>
      <w:contextualSpacing/>
    </w:pPr>
    <w:rPr>
      <w:sz w:val="24"/>
      <w:szCs w:val="24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paragraph" w:styleId="textbody">
    <w:name w:val="textbody"/>
    <w:basedOn w:val="Normal"/>
    <w:qFormat/>
    <w:pPr>
      <w:spacing w:before="100" w:after="100"/>
    </w:pPr>
    <w:rPr>
      <w:sz w:val="24"/>
      <w:szCs w:val="24"/>
    </w:rPr>
  </w:style>
  <w:style w:type="paragraph" w:styleId="SemEspaamento">
    <w:name w:val="Sem Espaçamento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pt-BR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defensoria.ms.def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2026-05-27T16:33:00Z</dcterms:created>
  <dc:creator>User</dc:creator>
  <dc:description/>
  <cp:keywords/>
  <dc:language>en-US</dc:language>
  <cp:lastModifiedBy>Mauricio Augusto Barbosa</cp:lastModifiedBy>
  <cp:lastPrinted>2024-12-17T18:59:00Z</cp:lastPrinted>
  <dcterms:modified xsi:type="dcterms:W3CDTF">2026-05-29T16:38:00Z</dcterms:modified>
  <cp:revision>3</cp:revision>
  <dc:subject/>
  <dc:title>OF</dc:title>
</cp:coreProperties>
</file>