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AO JUÍZO DA </w:t>
      </w:r>
      <w:r>
        <w:rPr>
          <w:rFonts w:cs="Arial" w:ascii="Arial" w:hAnsi="Arial"/>
          <w:b/>
          <w:sz w:val="24"/>
          <w:szCs w:val="24"/>
        </w:rPr>
        <w:t>{{vara}}{% if vara_estado %}, {{vara_estado}}{% endif %}</w:t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Autos nº {{processo}}</w:t>
      </w: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{{nome}}</w:t>
      </w:r>
      <w:r>
        <w:rPr>
          <w:rFonts w:cs="Arial" w:ascii="Arial" w:hAnsi="Arial"/>
          <w:sz w:val="24"/>
          <w:szCs w:val="24"/>
        </w:rPr>
        <w:t xml:space="preserve">, já qualificad{{o_a}} nos autos da execução penal, através da </w:t>
      </w:r>
      <w:r>
        <w:rPr>
          <w:rFonts w:cs="Arial" w:ascii="Arial" w:hAnsi="Arial"/>
          <w:b/>
          <w:sz w:val="24"/>
          <w:szCs w:val="24"/>
        </w:rPr>
        <w:t>DEFENSORIA PÚBLICA DO ESTADO DE MATO GROSSO DO SUL</w:t>
      </w:r>
      <w:r>
        <w:rPr>
          <w:rFonts w:cs="Arial" w:ascii="Arial" w:hAnsi="Arial"/>
          <w:sz w:val="24"/>
          <w:szCs w:val="24"/>
        </w:rPr>
        <w:t xml:space="preserve">, no âmbito do </w:t>
      </w:r>
      <w:r>
        <w:rPr>
          <w:rFonts w:cs="Arial" w:ascii="Arial" w:hAnsi="Arial"/>
          <w:b/>
          <w:sz w:val="24"/>
          <w:szCs w:val="24"/>
        </w:rPr>
        <w:t>Mutirão Processual – Pena Justa</w:t>
      </w:r>
      <w:r>
        <w:rPr>
          <w:rFonts w:cs="Arial" w:ascii="Arial" w:hAnsi="Arial"/>
          <w:sz w:val="24"/>
          <w:szCs w:val="24"/>
        </w:rPr>
        <w:t>, vem, respeitosamente, à presença de Vossa Excelência, expor e requerer o que segue: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  <w:t>I- DO INDULTO DE PENA. DECRETO Nº 12.338/2024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color w:val="000000"/>
          <w:sz w:val="24"/>
          <w:szCs w:val="24"/>
        </w:rPr>
        <w:t>Dispõe o art. 9º, inciso VII, do Decreto nº 12.338/2024 que: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>Art. 9º Concede-se o indulto coletivo às pessoas, nacionais e migrantes, condenadas: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color w:val="000000"/>
          <w:szCs w:val="24"/>
        </w:rPr>
      </w:pPr>
      <w:r>
        <w:rPr>
          <w:rFonts w:cs="Arial" w:ascii="Arial" w:hAnsi="Arial"/>
          <w:color w:val="000000"/>
          <w:szCs w:val="24"/>
        </w:rPr>
        <w:t xml:space="preserve">VII - a pena privativa de liberdade sob o regime aberto ou </w:t>
      </w:r>
      <w:r>
        <w:rPr>
          <w:rFonts w:cs="Arial" w:ascii="Arial" w:hAnsi="Arial"/>
          <w:b/>
          <w:color w:val="000000"/>
          <w:szCs w:val="24"/>
        </w:rPr>
        <w:t>substituída por pena restritiva de direitos</w:t>
      </w:r>
      <w:r>
        <w:rPr>
          <w:rFonts w:cs="Arial" w:ascii="Arial" w:hAnsi="Arial"/>
          <w:color w:val="000000"/>
          <w:szCs w:val="24"/>
        </w:rPr>
        <w:t xml:space="preserve">, na forma prevista no art. 44 do Decreto-Lei nº 2.848, de 7 de dezembro de 1940 – Código Penal, ou beneficiadas com a suspensão condicional da pena, que tenham cumprido, até 25 de dezembro de 2024, </w:t>
      </w:r>
      <w:r>
        <w:rPr>
          <w:rFonts w:cs="Arial" w:ascii="Arial" w:hAnsi="Arial"/>
          <w:b/>
          <w:color w:val="000000"/>
          <w:szCs w:val="24"/>
        </w:rPr>
        <w:t>um sexto da pena, se não reincidentes</w:t>
      </w:r>
      <w:r>
        <w:rPr>
          <w:rFonts w:cs="Arial" w:ascii="Arial" w:hAnsi="Arial"/>
          <w:color w:val="000000"/>
          <w:szCs w:val="24"/>
        </w:rPr>
        <w:t>, ou um quinto da pena, se reincidentes;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Conforme se extrai dos autos, {{sentenciado}} preenche os requisitos objetivos previstos no dispositivo acima mencionado.</w:t>
      </w:r>
      <w:r>
        <w:rPr>
          <w:rFonts w:cs="Arial" w:ascii="Arial" w:hAnsi="Arial"/>
          <w:color w:val="000000"/>
          <w:sz w:val="24"/>
          <w:szCs w:val="24"/>
          <w:highlight w:val="yellow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ab/>
        <w:t>{% if falta_grave_frase %}De igual modo, {{sentenciado}} preenche o requisito subjetivo previsto no art. 6º do Decreto nº 12.338/2024, uma vez que não há registro de falta grave no período legalmente exigido.{% else %}Quanto ao requisito subjetivo previsto no art. 6º do Decreto nº 12.338/2024, eventual registro disciplinar somente obsta o indulto se configurar falta grave cometida no período legalmente exigido e reconhecida pelo juízo, o que deverá ser aferido nos autos.{% endif %}</w:t>
      </w:r>
    </w:p>
    <w:p>
      <w:pPr>
        <w:pStyle w:val="Normal"/>
        <w:tabs>
          <w:tab w:val="clear" w:pos="708"/>
          <w:tab w:val="left" w:pos="2268" w:leader="none"/>
        </w:tabs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/>
      </w:pPr>
      <w:r>
        <w:rPr>
          <w:rFonts w:cs="Arial" w:ascii="Arial" w:hAnsi="Arial"/>
          <w:b/>
          <w:color w:val="000000"/>
          <w:sz w:val="24"/>
          <w:szCs w:val="24"/>
        </w:rPr>
        <w:t>II- DOS REQUERIMENTOS</w:t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PELO EXPOSTO</w:t>
      </w:r>
      <w:r>
        <w:rPr>
          <w:rFonts w:cs="Arial" w:ascii="Arial" w:hAnsi="Arial"/>
          <w:sz w:val="24"/>
          <w:szCs w:val="24"/>
        </w:rPr>
        <w:t xml:space="preserve">, requer a Vossa Excelência a </w:t>
      </w:r>
      <w:r>
        <w:rPr>
          <w:rFonts w:cs="Arial" w:ascii="Arial" w:hAnsi="Arial"/>
          <w:b/>
          <w:sz w:val="24"/>
          <w:szCs w:val="24"/>
        </w:rPr>
        <w:t>concessão de indulto</w:t>
      </w:r>
      <w:r>
        <w:rPr>
          <w:rFonts w:cs="Arial" w:ascii="Arial" w:hAnsi="Arial"/>
          <w:sz w:val="24"/>
          <w:szCs w:val="24"/>
        </w:rPr>
        <w:t xml:space="preserve">, com fundamento no art. 9º, inciso VII, do Decreto nº 12.338/2024, e, por conseguinte, seja declarada a extinção da punibilidade, com base no art. 107, II, do Código Penal, bem como </w:t>
      </w:r>
      <w:r>
        <w:rPr>
          <w:rFonts w:cs="Arial" w:ascii="Arial" w:hAnsi="Arial"/>
          <w:b/>
          <w:sz w:val="24"/>
          <w:szCs w:val="24"/>
        </w:rPr>
        <w:t>seja declarada extinta a pena de multa aplicada à condenação {{do_sentenciado}}</w:t>
      </w:r>
      <w:r>
        <w:rPr>
          <w:rFonts w:cs="Arial" w:ascii="Arial" w:hAnsi="Arial"/>
          <w:sz w:val="24"/>
          <w:szCs w:val="24"/>
        </w:rPr>
        <w:t>, nos termos do art. 4º do Decreto Presidencial.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Nestes termos, </w:t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emEspaamento"/>
        <w:tabs>
          <w:tab w:val="clear" w:pos="708"/>
          <w:tab w:val="left" w:pos="1418" w:leader="none"/>
        </w:tabs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Pede deferimento.</w:t>
      </w:r>
    </w:p>
    <w:p>
      <w:pPr>
        <w:pStyle w:val="Normal"/>
        <w:spacing w:lineRule="auto" w:line="360"/>
        <w:ind w:start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ind w:firstLine="2268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Campo Grande - MS, </w:t>
      </w:r>
      <w:r>
        <w:rPr>
          <w:rFonts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cs="Arial" w:ascii="Arial" w:hAnsi="Arial"/>
        </w:rPr>
        <w:instrText xml:space="preserve"> DATE \@"d' de 'MMMM' de 'yyyy" </w:instrText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sz w:val="24"/>
          <w:szCs w:val="24"/>
          <w:rFonts w:cs="Arial" w:ascii="Arial" w:hAnsi="Arial"/>
        </w:rPr>
        <w:t>{{hoje_extenso}}</w:t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{{defensor}}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     </w:t>
      </w:r>
      <w:r>
        <w:rPr>
          <w:rFonts w:cs="Arial" w:ascii="Arial" w:hAnsi="Arial"/>
          <w:b/>
          <w:sz w:val="24"/>
          <w:szCs w:val="24"/>
        </w:rPr>
        <w:t>{{defensor_cargo}}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</w:rPr>
        <w:t>(assinado digitalmente)</w:t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67" w:top="1985" w:footer="142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Rua Barão do Melgaço, nº 128, Centro, Campo Grande - MS, CEP 79002-090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0165" cy="10223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1022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4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4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4"/>
                              <w:szCs w:val="16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95pt;height:8.05pt;mso-wrap-distance-left:0pt;mso-wrap-distance-right:0pt;mso-wrap-distance-top:0pt;mso-wrap-distance-bottom:0pt;margin-top:0.05pt;mso-position-vertical-relative:text;margin-left:421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4"/>
                        <w:szCs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4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4"/>
                        <w:szCs w:val="16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jc w:val="center"/>
      <w:rPr>
        <w:rFonts w:ascii="Arial" w:hAnsi="Arial" w:cs="Arial"/>
        <w:bCs/>
        <w:iCs/>
        <w:sz w:val="16"/>
        <w:szCs w:val="16"/>
      </w:rPr>
    </w:pPr>
    <w:hyperlink r:id="rId1">
      <w:r>
        <w:rPr>
          <w:rStyle w:val="Hyperlink"/>
          <w:rFonts w:cs="Arial" w:ascii="Arial" w:hAnsi="Arial"/>
          <w:sz w:val="16"/>
          <w:szCs w:val="16"/>
        </w:rPr>
        <w:t>www.defensoria.ms.def.br</w:t>
      </w:r>
    </w:hyperlink>
  </w:p>
  <w:p>
    <w:pPr>
      <w:pStyle w:val="Footer"/>
      <w:tabs>
        <w:tab w:val="clear" w:pos="8838"/>
        <w:tab w:val="center" w:pos="4419" w:leader="none"/>
        <w:tab w:val="right" w:pos="8505" w:leader="none"/>
      </w:tabs>
      <w:ind w:end="-284"/>
      <w:jc w:val="center"/>
      <w:rPr>
        <w:rFonts w:ascii="Arial" w:hAnsi="Arial" w:cs="Arial"/>
        <w:bCs/>
        <w:iCs/>
        <w:sz w:val="16"/>
        <w:szCs w:val="16"/>
      </w:rPr>
    </w:pPr>
    <w:r>
      <w:rPr>
        <w:rFonts w:cs="Arial" w:ascii="Arial" w:hAnsi="Arial"/>
        <w:bCs/>
        <w:iCs/>
        <w:sz w:val="16"/>
        <w:szCs w:val="16"/>
      </w:rPr>
    </w:r>
  </w:p>
  <w:p>
    <w:pPr>
      <w:pStyle w:val="Normal"/>
      <w:rPr>
        <w:rFonts w:ascii="Arial" w:hAnsi="Arial" w:cs="Arial"/>
        <w:sz w:val="16"/>
      </w:rPr>
    </w:pPr>
    <w:r>
      <w:rPr>
        <w:rFonts w:cs="Arial" w:ascii="Arial" w:hAnsi="Arial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2835" w:start="0" w:end="0"/>
      <w:jc w:val="both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977" w:start="0" w:end="0"/>
      <w:jc w:val="both"/>
      <w:outlineLvl w:val="4"/>
    </w:pPr>
    <w:rPr>
      <w:rFonts w:ascii="Arial" w:hAnsi="Arial" w:cs="Arial"/>
      <w:i/>
      <w:iC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3402" w:start="0" w:end="0"/>
      <w:jc w:val="both"/>
      <w:outlineLvl w:val="6"/>
    </w:pPr>
    <w:rPr>
      <w:b/>
      <w:i/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2835" w:start="0" w:end="0"/>
      <w:jc w:val="both"/>
      <w:outlineLvl w:val="7"/>
    </w:pPr>
    <w:rPr>
      <w:b/>
      <w:bCs/>
      <w:i/>
      <w:iCs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360"/>
      <w:ind w:firstLine="2835" w:start="0" w:end="0"/>
      <w:jc w:val="both"/>
      <w:outlineLvl w:val="8"/>
    </w:pPr>
    <w:rPr>
      <w:b/>
      <w:i/>
      <w:sz w:val="22"/>
    </w:rPr>
  </w:style>
  <w:style w:type="character" w:styleId="WW8Num1z0">
    <w:name w:val="WW8Num1z0"/>
    <w:qFormat/>
    <w:rPr>
      <w:sz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Fontepargpadro"/>
    <w:rPr/>
  </w:style>
  <w:style w:type="character" w:styleId="CabealhoChar">
    <w:name w:val="Cabeçalho Char"/>
    <w:qFormat/>
    <w:rPr>
      <w:lang w:val="pt-BR" w:bidi="ar-SA"/>
    </w:rPr>
  </w:style>
  <w:style w:type="character" w:styleId="RodapChar">
    <w:name w:val="Rodapé Char"/>
    <w:qFormat/>
    <w:rPr>
      <w:lang w:val="pt-BR"/>
    </w:rPr>
  </w:style>
  <w:style w:type="character" w:styleId="label1">
    <w:name w:val="label1"/>
    <w:qFormat/>
    <w:rPr>
      <w:b/>
      <w:bCs/>
    </w:rPr>
  </w:style>
  <w:style w:type="character" w:styleId="TextodenotaderodapChar">
    <w:name w:val="Texto de nota de rodapé Char"/>
    <w:qFormat/>
    <w:rPr/>
  </w:style>
  <w:style w:type="character" w:styleId="Recuodecorpodetexto2Char">
    <w:name w:val="Recuo de corpo de texto 2 Char"/>
    <w:qFormat/>
    <w:rPr>
      <w:b/>
      <w:bCs/>
      <w:sz w:val="24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b/>
      <w:sz w:val="28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sz w:val="24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firstLine="1701" w:start="0" w:end="0"/>
      <w:jc w:val="both"/>
    </w:pPr>
    <w:rPr>
      <w:sz w:val="28"/>
    </w:rPr>
  </w:style>
  <w:style w:type="paragraph" w:styleId="Corpodetexto2">
    <w:name w:val="Corpo de texto 2"/>
    <w:basedOn w:val="Normal"/>
    <w:qFormat/>
    <w:pPr>
      <w:jc w:val="both"/>
    </w:pPr>
    <w:rPr>
      <w:b/>
      <w:bCs/>
      <w:sz w:val="24"/>
    </w:rPr>
  </w:style>
  <w:style w:type="paragraph" w:styleId="Recuodecorpodetexto2">
    <w:name w:val="Recuo de corpo de texto 2"/>
    <w:basedOn w:val="Normal"/>
    <w:qFormat/>
    <w:pPr>
      <w:ind w:firstLine="2835" w:start="0" w:end="0"/>
      <w:jc w:val="both"/>
    </w:pPr>
    <w:rPr>
      <w:b/>
      <w:bCs/>
      <w:sz w:val="24"/>
      <w:lang w:val="en-US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Corpodetexto3">
    <w:name w:val="Corpo de texto 3"/>
    <w:basedOn w:val="Normal"/>
    <w:qFormat/>
    <w:pPr>
      <w:jc w:val="both"/>
    </w:pPr>
    <w:rPr>
      <w:sz w:val="26"/>
    </w:rPr>
  </w:style>
  <w:style w:type="paragraph" w:styleId="Recuodecorpodetexto3">
    <w:name w:val="Recuo de corpo de texto 3"/>
    <w:basedOn w:val="Normal"/>
    <w:qFormat/>
    <w:pPr>
      <w:spacing w:lineRule="auto" w:line="360"/>
      <w:ind w:firstLine="2880" w:start="0" w:end="0"/>
      <w:jc w:val="both"/>
    </w:pPr>
    <w:rPr>
      <w:sz w:val="26"/>
    </w:rPr>
  </w:style>
  <w:style w:type="paragraph" w:styleId="FootnoteText">
    <w:name w:val="Footnote Text"/>
    <w:basedOn w:val="Normal"/>
    <w:pPr/>
    <w:rPr/>
  </w:style>
  <w:style w:type="paragraph" w:styleId="Pr-formataoHTML">
    <w:name w:val="Pré-formatação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1F384C"/>
      <w:sz w:val="18"/>
      <w:szCs w:val="18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extbody">
    <w:name w:val="textbody"/>
    <w:basedOn w:val="Normal"/>
    <w:qFormat/>
    <w:pPr>
      <w:spacing w:before="100" w:after="100"/>
    </w:pPr>
    <w:rPr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defensoria.ms.def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2026-05-27T15:38:00Z</dcterms:created>
  <dc:creator>User</dc:creator>
  <dc:description/>
  <cp:keywords/>
  <dc:language>en-US</dc:language>
  <cp:lastModifiedBy>MATRIX 7000</cp:lastModifiedBy>
  <cp:lastPrinted>2025-01-07T11:03:00Z</cp:lastPrinted>
  <dcterms:modified xsi:type="dcterms:W3CDTF">2026-06-04T09:22:00Z</dcterms:modified>
  <cp:revision>4</cp:revision>
  <dc:subject/>
  <dc:title>OF</dc:title>
</cp:coreProperties>
</file>