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12.790/2025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VIII, do Decreto nº 12.790/2025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VIII - a pena privativa de liberdade que estejam em livramento condicional ou </w:t>
      </w:r>
      <w:r>
        <w:rPr>
          <w:rFonts w:cs="Arial" w:ascii="Arial" w:hAnsi="Arial"/>
          <w:b/>
          <w:color w:val="000000"/>
          <w:szCs w:val="24"/>
        </w:rPr>
        <w:t>cumprindo pena em regime aberto</w:t>
      </w:r>
      <w:r>
        <w:rPr>
          <w:rFonts w:cs="Arial" w:ascii="Arial" w:hAnsi="Arial"/>
          <w:color w:val="000000"/>
          <w:szCs w:val="24"/>
        </w:rPr>
        <w:t xml:space="preserve">, cujo período da </w:t>
      </w:r>
      <w:r>
        <w:rPr>
          <w:rFonts w:cs="Arial" w:ascii="Arial" w:hAnsi="Arial"/>
          <w:b/>
          <w:color w:val="000000"/>
          <w:szCs w:val="24"/>
        </w:rPr>
        <w:t>pena remanescente</w:t>
      </w:r>
      <w:r>
        <w:rPr>
          <w:rFonts w:cs="Arial" w:ascii="Arial" w:hAnsi="Arial"/>
          <w:color w:val="000000"/>
          <w:szCs w:val="24"/>
        </w:rPr>
        <w:t>, em 25 de dezembro de 2025, n</w:t>
      </w:r>
      <w:r>
        <w:rPr>
          <w:rFonts w:cs="Arial" w:ascii="Arial" w:hAnsi="Arial"/>
          <w:b/>
          <w:color w:val="000000"/>
          <w:szCs w:val="24"/>
        </w:rPr>
        <w:t>ão seja superior a seis anos</w:t>
      </w:r>
      <w:r>
        <w:rPr>
          <w:rFonts w:cs="Arial" w:ascii="Arial" w:hAnsi="Arial"/>
          <w:color w:val="000000"/>
          <w:szCs w:val="24"/>
        </w:rPr>
        <w:t xml:space="preserve">, se não reincidentes, </w:t>
      </w:r>
      <w:r>
        <w:rPr>
          <w:rFonts w:cs="Arial" w:ascii="Arial" w:hAnsi="Arial"/>
          <w:b/>
          <w:color w:val="000000"/>
          <w:szCs w:val="24"/>
        </w:rPr>
        <w:t>ou quatro anos</w:t>
      </w:r>
      <w:r>
        <w:rPr>
          <w:rFonts w:cs="Arial" w:ascii="Arial" w:hAnsi="Arial"/>
          <w:color w:val="000000"/>
          <w:szCs w:val="24"/>
        </w:rPr>
        <w:t>, se reincidentes;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Conforme se extrai dos autos, o sentenciado encontra-se em situação compatível com a hipótese prevista no dispositivo acima mencionado, preenchendo os requisitos objetivos exigidos pelo Decreto Presidencial.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Além disso, verifica-se o preenchimento do requisito subjetivo previsto no art. 6º do Decreto nº 12.790/2025, uma vez que não há registro de falta grave no período legalmente exigido.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 xml:space="preserve">, requer a Vossa Excelência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>, com fundamento no art. 9º, inciso XV, do Decreto nº 12.790/2025, e, por conseguinte, seja declarada a extinção da punibilidade, com base no art. 107, II, do Código Penal, ao passo que requer a expedição de alvará de soltura;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  </w:t>
      </w: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sz w:val="16"/>
        <w:szCs w:val="16"/>
      </w:rPr>
      <w:t>www.defensoria.ms.def.br</w:t>
    </w:r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2026-05-27T14:59:00Z</dcterms:created>
  <dc:creator>User</dc:creator>
  <dc:description/>
  <cp:keywords/>
  <dc:language>en-US</dc:language>
  <cp:lastModifiedBy>Mauricio Augusto Barbosa</cp:lastModifiedBy>
  <cp:lastPrinted>2025-03-31T13:01:00Z</cp:lastPrinted>
  <dcterms:modified xsi:type="dcterms:W3CDTF">2026-05-29T16:32:00Z</dcterms:modified>
  <cp:revision>7</cp:revision>
  <dc:subject/>
  <dc:title>OF</dc:title>
</cp:coreProperties>
</file>