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s-oil-lubricants"/>
    <w:p>
      <w:pPr>
        <w:pStyle w:val="Heading1"/>
      </w:pPr>
      <w:r>
        <w:t xml:space="preserve">ALS OIL &amp; LUBRICANTS</w:t>
      </w:r>
    </w:p>
    <w:bookmarkStart w:id="10" w:name="escopo-do-projeto-previsão-de-tat-volume"/>
    <w:p>
      <w:pPr>
        <w:pStyle w:val="Heading2"/>
      </w:pPr>
      <w:r>
        <w:t xml:space="preserve">Escopo do Projeto — Previsão de TAT &amp; Volume</w:t>
      </w:r>
    </w:p>
    <w:bookmarkStart w:id="9" w:name="X5fcf6207981b9aad3cd40ba53945537d24b4ccb"/>
    <w:p>
      <w:pPr>
        <w:pStyle w:val="Heading3"/>
      </w:pPr>
      <w:r>
        <w:t xml:space="preserve">Engajamento freelance de ciência de dados</w:t>
      </w:r>
    </w:p>
    <w:bookmarkEnd w:id="9"/>
    <w:bookmarkEnd w:id="10"/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define o que gostaríamos que você construísse e o contexto necessário para dimensionar o esforço. Não estamos pedindo que você se comprometa com nada ainda — apenas que retorne com uma abordagem proposta, as ferramentas que usaria, uma estimativa do tempo envolvido e quaisquer dúvidas que tiver.</w:t>
      </w:r>
    </w:p>
    <w:bookmarkEnd w:id="11"/>
    <w:bookmarkStart w:id="12" w:name="contexto-da-empresa-e-do-processo"/>
    <w:p>
      <w:pPr>
        <w:pStyle w:val="Heading2"/>
      </w:pPr>
      <w:r>
        <w:t xml:space="preserve">2. Contexto da empresa e do processo</w:t>
      </w:r>
    </w:p>
    <w:p>
      <w:pPr>
        <w:pStyle w:val="FirstParagraph"/>
      </w:pPr>
      <w:r>
        <w:t xml:space="preserve">A ALS Oil &amp; Lubricants é um laboratório de análise de lubrificantes e monitoramento de condições. Os clientes nos enviam amostras de óleo para monitorar a saúde dos equipamentos, estender os intervalos de troca de óleo e reduzir paradas não programadas. Cada amostra passa por três estágios: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CRD</w:t>
      </w:r>
      <w:r>
        <w:t xml:space="preserve"> </w:t>
      </w:r>
      <w:r>
        <w:t xml:space="preserve">— a amostra é recebida e registrada. (Apenas registro; não conta no TAT.)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Laboratório</w:t>
      </w:r>
      <w:r>
        <w:t xml:space="preserve"> </w:t>
      </w:r>
      <w:r>
        <w:t xml:space="preserve">— a amostra passa pelos seus testes. Primeira e mais demorada parte do TAT.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Interpretação</w:t>
      </w:r>
      <w:r>
        <w:t xml:space="preserve"> </w:t>
      </w:r>
      <w:r>
        <w:t xml:space="preserve">— os resultados são revisados e interpretados. Segunda parte do TAT.</w:t>
      </w:r>
    </w:p>
    <w:p>
      <w:pPr>
        <w:pStyle w:val="FirstParagraph"/>
      </w:pPr>
      <w:r>
        <w:t xml:space="preserve">Algumas amostras são enviadas para re-teste, voltando ao Laboratório e à Interpretação. O relógio do TAT</w:t>
      </w:r>
      <w:r>
        <w:t xml:space="preserve"> </w:t>
      </w:r>
      <w:r>
        <w:rPr>
          <w:b/>
          <w:bCs/>
        </w:rPr>
        <w:t xml:space="preserve">não é zerado</w:t>
      </w:r>
      <w:r>
        <w:t xml:space="preserve"> </w:t>
      </w:r>
      <w:r>
        <w:t xml:space="preserve">— o tempo extra é somado, então re-testes aumentam diretamente o TAT daquela amostra.</w:t>
      </w:r>
    </w:p>
    <w:p>
      <w:pPr>
        <w:pStyle w:val="BodyText"/>
      </w:pPr>
      <w:r>
        <w:t xml:space="preserve">Uma amostra passa por vários testes (chamamos de ensaios, também referidos como análises). Os ensaios são agrupados em grupos de trabalho (workgroups), e os grupos de trabalho em pacotes (também chamados de planos de análise). Esses agrupamentos, juntamente com o laboratório/local, são as unidades pelas quais gerenciamos nossa carga de trabalho — portanto, a previsão deve poder ser produzida para qualquer um deles.</w:t>
      </w:r>
    </w:p>
    <w:bookmarkEnd w:id="12"/>
    <w:bookmarkStart w:id="13" w:name="glossário"/>
    <w:p>
      <w:pPr>
        <w:pStyle w:val="Heading2"/>
      </w:pPr>
      <w:r>
        <w:t xml:space="preserve">3.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</w:t>
            </w:r>
          </w:p>
        </w:tc>
        <w:tc>
          <w:tcPr/>
          <w:p>
            <w:pPr>
              <w:pStyle w:val="Compact"/>
            </w:pPr>
            <w:r>
              <w:t xml:space="preserve">Turnaround Time — tempo total de processamento nas etapas de Laboratório e Interpretação. Corre continuamente; não pausa em fins de semana ou feriados.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de prazo (deadline band)</w:t>
            </w:r>
          </w:p>
        </w:tc>
        <w:tc>
          <w:tcPr/>
          <w:p>
            <w:pPr>
              <w:pStyle w:val="Compact"/>
            </w:pPr>
            <w:r>
              <w:t xml:space="preserve">TAT máximo permitido para uma amostra (48 / 72 / 96 / 120 h). Fixo por amostra conforme tipo de óleo, equipamento, compartimento e atributos semelhantes — não é escolhido livremente.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Prazo cumprido</w:t>
            </w:r>
          </w:p>
        </w:tc>
        <w:tc>
          <w:tcPr/>
          <w:p>
            <w:pPr>
              <w:pStyle w:val="Compact"/>
            </w:pPr>
            <w:r>
              <w:t xml:space="preserve">A amostra foi concluída dentro de sua faixa de prazo, medida a partir do timestamp de recebimento.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On-time (dentro do prazo)</w:t>
            </w:r>
          </w:p>
        </w:tc>
        <w:tc>
          <w:tcPr/>
          <w:p>
            <w:pPr>
              <w:pStyle w:val="Compact"/>
            </w:pPr>
            <w:r>
              <w:t xml:space="preserve">Participação de amostras que cumpriram o prazo. Nossa meta de serviço é de pelo menos 90% ao mês.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Ensaio</w:t>
            </w:r>
          </w:p>
        </w:tc>
        <w:tc>
          <w:tcPr/>
          <w:p>
            <w:pPr>
              <w:pStyle w:val="Compact"/>
            </w:pPr>
            <w:r>
              <w:t xml:space="preserve">Um teste individual executado em uma amostra. Sinônimos: análise, teste.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 de trabalho (workgroup)</w:t>
            </w:r>
          </w:p>
        </w:tc>
        <w:tc>
          <w:tcPr/>
          <w:p>
            <w:pPr>
              <w:pStyle w:val="Compact"/>
            </w:pPr>
            <w:r>
              <w:t xml:space="preserve">Um grupo de ensaios.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Um grupo de grupos de trabalho. Sinônimo: plano de análise.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S360</w:t>
            </w:r>
          </w:p>
        </w:tc>
        <w:tc>
          <w:tcPr/>
          <w:p>
            <w:pPr>
              <w:pStyle w:val="Compact"/>
            </w:pPr>
            <w:r>
              <w:t xml:space="preserve">Nosso LIMS (Sistema de Gerenciamento de Informações de Laboratório) — a fonte dos 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agente</w:t>
            </w:r>
          </w:p>
        </w:tc>
        <w:tc>
          <w:tcPr/>
          <w:p>
            <w:pPr>
              <w:pStyle w:val="Compact"/>
            </w:pPr>
            <w:r>
              <w:t xml:space="preserve">O sistema automatizado existente ao qual seu modelo se conecta; ele chama o modelo sob demanda para devolver previsões aos usuários.</w:t>
            </w:r>
          </w:p>
        </w:tc>
      </w:tr>
    </w:tbl>
    <w:bookmarkEnd w:id="13"/>
    <w:bookmarkStart w:id="15" w:name="o-que-queremos-que-você-construa"/>
    <w:p>
      <w:pPr>
        <w:pStyle w:val="Heading2"/>
      </w:pPr>
      <w:r>
        <w:t xml:space="preserve">4. O que queremos que você construa</w:t>
      </w:r>
    </w:p>
    <w:p>
      <w:pPr>
        <w:pStyle w:val="FirstParagraph"/>
      </w:pPr>
      <w:r>
        <w:t xml:space="preserve">Estando no meio de um período, prever como aquele período terminará para uma entidade escolhida — tanto o resultado de TAT / on-time quanto o volume de amostras. A previsão se atualiza conforme o período avança.</w:t>
      </w:r>
    </w:p>
    <w:p>
      <w:pPr>
        <w:pStyle w:val="BodyText"/>
      </w:pPr>
      <w:r>
        <w:t xml:space="preserve">O período é flexível — um dia, uma semana, um mês ou um intervalo personalizado — dependendo do que o usuário precisar, para ambos os resultados. (O mês é nossa referência principal porque a meta de 90% on-time é mensal.) A previsão também deve poder ser produzida por entidade: a operação inteira, ou um laboratório, pacote ou grupo de trabalho específico.</w:t>
      </w:r>
    </w:p>
    <w:bookmarkStart w:id="14" w:name="entrega-e-como-será-usada"/>
    <w:p>
      <w:pPr>
        <w:pStyle w:val="Heading3"/>
      </w:pPr>
      <w:r>
        <w:t xml:space="preserve">Entrega e como será usada</w:t>
      </w:r>
    </w:p>
    <w:p>
      <w:pPr>
        <w:pStyle w:val="Compact"/>
        <w:numPr>
          <w:ilvl w:val="0"/>
          <w:numId w:val="1002"/>
        </w:numPr>
      </w:pPr>
      <w:r>
        <w:t xml:space="preserve">Um modelo que roda de forma autônoma (não um notebook ou relatório manual), integrado ao nosso agente existente.</w:t>
      </w:r>
    </w:p>
    <w:p>
      <w:pPr>
        <w:pStyle w:val="Compact"/>
        <w:numPr>
          <w:ilvl w:val="0"/>
          <w:numId w:val="1002"/>
        </w:numPr>
      </w:pPr>
      <w:r>
        <w:t xml:space="preserve">Atualizado sob demanda: quando um usuário pergunta ao agente, o modelo puxa os dados mais recentes e devolve uma previsão atualizada para a entidade e o período solicitados.</w:t>
      </w:r>
    </w:p>
    <w:p>
      <w:pPr>
        <w:pStyle w:val="Compact"/>
        <w:numPr>
          <w:ilvl w:val="0"/>
          <w:numId w:val="1002"/>
        </w:numPr>
      </w:pPr>
      <w:r>
        <w:t xml:space="preserve">Os principais usuários são gerentes de laboratório e equipe operacional, então o resultado deve ser simples de ler — um número claro mais uma noção de confiança — mesmo que o método por trás seja sofisticado.</w:t>
      </w:r>
    </w:p>
    <w:p>
      <w:pPr>
        <w:pStyle w:val="FirstParagraph"/>
      </w:pPr>
      <w:r>
        <w:t xml:space="preserve">Definiríamos a interface agente-modelo (entradas: entidade, data de referência, período-alvo; saída: previsão mais intervalo de incerteza) em conjunto com você.</w:t>
      </w:r>
    </w:p>
    <w:bookmarkEnd w:id="14"/>
    <w:bookmarkEnd w:id="15"/>
    <w:bookmarkStart w:id="17" w:name="dados-que-você-receberá"/>
    <w:p>
      <w:pPr>
        <w:pStyle w:val="Heading2"/>
      </w:pPr>
      <w:r>
        <w:t xml:space="preserve">5. Dados que você receberá</w:t>
      </w:r>
    </w:p>
    <w:p>
      <w:pPr>
        <w:pStyle w:val="FirstParagraph"/>
      </w:pPr>
      <w:r>
        <w:t xml:space="preserve">Você extrairá dados do nosso LIMS, o S360. Ele provavelmente já contém tudo o que você precisa; se algo estiver faltando, forneceremos com base nos seus requisitos. Não há dicionário de dados — você precisará descobrir as estruturas das tabelas por conta própria.</w:t>
      </w:r>
    </w:p>
    <w:bookmarkStart w:id="16" w:name="espere-dados-imperfeitos"/>
    <w:p>
      <w:pPr>
        <w:pStyle w:val="Heading3"/>
      </w:pPr>
      <w:r>
        <w:t xml:space="preserve">Espere dados imperfeitos</w:t>
      </w:r>
    </w:p>
    <w:p>
      <w:pPr>
        <w:pStyle w:val="FirstParagraph"/>
      </w:pPr>
      <w:r>
        <w:t xml:space="preserve">Os dados refletem registros reais, então planeje-se para valores ausentes, outliers ocasionais e alguns erros de digitação. Perceber e lidar com isso faz parte do trabalho.</w:t>
      </w:r>
    </w:p>
    <w:p>
      <w:pPr>
        <w:pStyle w:val="BodyText"/>
      </w:pPr>
      <w:r>
        <w:t xml:space="preserve">Observe também: no meio de um período, muitas amostras foram recebidas mas ainda não concluídas, então seu TAT final e seu status on-time são desconhecidos. A forma como você trata essas amostras em andamento (censuradas) importa para a previsão.</w:t>
      </w:r>
    </w:p>
    <w:bookmarkEnd w:id="16"/>
    <w:bookmarkEnd w:id="17"/>
    <w:bookmarkStart w:id="18" w:name="ambiente-e-ferramentas"/>
    <w:p>
      <w:pPr>
        <w:pStyle w:val="Heading2"/>
      </w:pPr>
      <w:r>
        <w:t xml:space="preserve">6. Ambiente e ferramentas</w:t>
      </w:r>
    </w:p>
    <w:p>
      <w:pPr>
        <w:pStyle w:val="Compact"/>
        <w:numPr>
          <w:ilvl w:val="0"/>
          <w:numId w:val="1003"/>
        </w:numPr>
      </w:pPr>
      <w:r>
        <w:t xml:space="preserve">Linguagem: Python.</w:t>
      </w:r>
    </w:p>
    <w:p>
      <w:pPr>
        <w:pStyle w:val="Compact"/>
        <w:numPr>
          <w:ilvl w:val="0"/>
          <w:numId w:val="1003"/>
        </w:numPr>
      </w:pPr>
      <w:r>
        <w:t xml:space="preserve">Roda na sua própria máquina; o modelo é posteriormente integrado ao nosso agente.</w:t>
      </w:r>
    </w:p>
    <w:p>
      <w:pPr>
        <w:pStyle w:val="Compact"/>
        <w:numPr>
          <w:ilvl w:val="0"/>
          <w:numId w:val="1003"/>
        </w:numPr>
      </w:pPr>
      <w:r>
        <w:t xml:space="preserve">Acesso aos dados: S360 (nosso LIMS).</w:t>
      </w:r>
    </w:p>
    <w:bookmarkEnd w:id="18"/>
    <w:bookmarkStart w:id="19" w:name="como-julgaremos-o-sucesso"/>
    <w:p>
      <w:pPr>
        <w:pStyle w:val="Heading2"/>
      </w:pPr>
      <w:r>
        <w:t xml:space="preserve">7. Como julgaremos o sucesso</w:t>
      </w:r>
    </w:p>
    <w:p>
      <w:pPr>
        <w:pStyle w:val="FirstParagraph"/>
      </w:pPr>
      <w:r>
        <w:t xml:space="preserve">Pela precisão da previsão — quão próxima a previsão de meio de período está do resultado real. A forma natural de demonstrar isso é o backtesting: para períodos passados, posicione-se em um ponto intermediário usando apenas os dados disponíveis naquele momento, preveja o resultado e compare. Medidas úteis: erro médio no volume (MAE / MAPE); erro em pontos percentuais no % on-time, especialmente se sinaliza corretamente os meses em risco de não atingir 90%; e se o intervalo de confiança que você reporta está bem calibrado.</w:t>
      </w:r>
    </w:p>
    <w:bookmarkEnd w:id="19"/>
    <w:bookmarkStart w:id="20" w:name="o-que-gostaríamos-de-receber-de-você"/>
    <w:p>
      <w:pPr>
        <w:pStyle w:val="Heading2"/>
      </w:pPr>
      <w:r>
        <w:t xml:space="preserve">8. O que gostaríamos de receber de você</w:t>
      </w:r>
    </w:p>
    <w:p>
      <w:pPr>
        <w:pStyle w:val="Compact"/>
        <w:numPr>
          <w:ilvl w:val="0"/>
          <w:numId w:val="1004"/>
        </w:numPr>
      </w:pPr>
      <w:r>
        <w:t xml:space="preserve">Sua abordagem proposta e as ferramentas/bibliotecas que usaria.</w:t>
      </w:r>
    </w:p>
    <w:p>
      <w:pPr>
        <w:pStyle w:val="Compact"/>
        <w:numPr>
          <w:ilvl w:val="0"/>
          <w:numId w:val="1004"/>
        </w:numPr>
      </w:pPr>
      <w:r>
        <w:t xml:space="preserve">Uma estimativa do tempo que o trabalho levará, com as premissas por trás dela.</w:t>
      </w:r>
    </w:p>
    <w:p>
      <w:pPr>
        <w:pStyle w:val="Compact"/>
        <w:numPr>
          <w:ilvl w:val="0"/>
          <w:numId w:val="1004"/>
        </w:numPr>
      </w:pPr>
      <w:r>
        <w:t xml:space="preserve">Quaisquer dúvidas ou informações que você gostaria de ter antes de começar.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Confidencial.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2026-09-22T22:15:09Z</dcterms:created>
  <dcterms:modified xsi:type="dcterms:W3CDTF">2026-09-22T22:15:09Z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