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visão-geral-do-projeto"/>
    <w:p>
      <w:pPr>
        <w:pStyle w:val="Heading1"/>
      </w:pPr>
      <w:r>
        <w:t xml:space="preserve">Visão Geral do Projeto</w:t>
      </w:r>
    </w:p>
    <w:bookmarkStart w:id="9" w:name="resumo-em-uma-frase"/>
    <w:p>
      <w:pPr>
        <w:pStyle w:val="Heading2"/>
      </w:pPr>
      <w:r>
        <w:t xml:space="preserve">Resumo em uma frase</w:t>
      </w:r>
    </w:p>
    <w:p>
      <w:pPr>
        <w:pStyle w:val="FirstParagraph"/>
      </w:pPr>
      <w:r>
        <w:t xml:space="preserve">Construir um modelo de previsão autônomo que, estando no meio de um período, prevê como um período escolhido terminará para uma entidade escolhida — tanto o resultado de</w:t>
      </w:r>
      <w:r>
        <w:t xml:space="preserve"> </w:t>
      </w:r>
      <w:r>
        <w:rPr>
          <w:b/>
          <w:bCs/>
        </w:rPr>
        <w:t xml:space="preserve">TAT / on-time</w:t>
      </w:r>
      <w:r>
        <w:t xml:space="preserve"> </w:t>
      </w:r>
      <w:r>
        <w:t xml:space="preserve">quanto o</w:t>
      </w:r>
      <w:r>
        <w:t xml:space="preserve"> </w:t>
      </w:r>
      <w:r>
        <w:rPr>
          <w:b/>
          <w:bCs/>
        </w:rPr>
        <w:t xml:space="preserve">volume de amostras</w:t>
      </w:r>
      <w:r>
        <w:t xml:space="preserve"> </w:t>
      </w:r>
      <w:r>
        <w:t xml:space="preserve">— atualizado sob demanda por meio de um agente existente.</w:t>
      </w:r>
    </w:p>
    <w:bookmarkEnd w:id="9"/>
    <w:bookmarkStart w:id="10" w:name="os-dois-alvos-da-previsão"/>
    <w:p>
      <w:pPr>
        <w:pStyle w:val="Heading2"/>
      </w:pPr>
      <w:r>
        <w:t xml:space="preserve">Os dois alvos da previsão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2178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Saída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Referência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TAT / resultado on-time</w:t>
            </w:r>
          </w:p>
        </w:tc>
        <w:tc>
          <w:tcPr/>
          <w:p>
            <w:pPr>
              <w:pStyle w:val="Compact"/>
            </w:pPr>
            <w:r>
              <w:t xml:space="preserve">Participação de amostras concluídas dentro da faixa de prazo</w:t>
            </w:r>
          </w:p>
        </w:tc>
        <w:tc>
          <w:tcPr/>
          <w:p>
            <w:pPr>
              <w:pStyle w:val="Compact"/>
            </w:pPr>
            <w:r>
              <w:t xml:space="preserve">Meta de 90% on-time é mensal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de amostras</w:t>
            </w:r>
          </w:p>
        </w:tc>
        <w:tc>
          <w:tcPr/>
          <w:p>
            <w:pPr>
              <w:pStyle w:val="Compact"/>
            </w:pPr>
            <w:r>
              <w:t xml:space="preserve">Número de amostras processadas no período</w:t>
            </w:r>
          </w:p>
        </w:tc>
        <w:tc>
          <w:tcPr/>
          <w:p>
            <w:pPr>
              <w:pStyle w:val="Compact"/>
            </w:pPr>
            <w:r>
              <w:t xml:space="preserve">Dia / semana / mês / intervalo personalizado</w:t>
            </w:r>
          </w:p>
        </w:tc>
      </w:tr>
    </w:tbl>
    <w:bookmarkEnd w:id="10"/>
    <w:bookmarkStart w:id="11" w:name="flexibilidade-de-período"/>
    <w:p>
      <w:pPr>
        <w:pStyle w:val="Heading2"/>
      </w:pPr>
      <w:r>
        <w:t xml:space="preserve">Flexibilidade de período</w:t>
      </w:r>
    </w:p>
    <w:p>
      <w:pPr>
        <w:pStyle w:val="Compact"/>
        <w:numPr>
          <w:ilvl w:val="0"/>
          <w:numId w:val="1001"/>
        </w:numPr>
      </w:pPr>
      <w:r>
        <w:t xml:space="preserve">Dia, semana, mês ou intervalo personalizado.</w:t>
      </w:r>
    </w:p>
    <w:p>
      <w:pPr>
        <w:pStyle w:val="Compact"/>
        <w:numPr>
          <w:ilvl w:val="0"/>
          <w:numId w:val="1001"/>
        </w:numPr>
      </w:pPr>
      <w:r>
        <w:t xml:space="preserve">O mês é a referência principal porque a meta de 90% é mensal.</w:t>
      </w:r>
    </w:p>
    <w:bookmarkEnd w:id="11"/>
    <w:bookmarkStart w:id="12" w:name="flexibilidade-de-entidade"/>
    <w:p>
      <w:pPr>
        <w:pStyle w:val="Heading2"/>
      </w:pPr>
      <w:r>
        <w:t xml:space="preserve">Flexibilidade de entidade</w:t>
      </w:r>
    </w:p>
    <w:p>
      <w:pPr>
        <w:pStyle w:val="FirstParagraph"/>
      </w:pPr>
      <w:r>
        <w:t xml:space="preserve">A previsão deve poder ser produzida para qualquer um dos seguintes:</w:t>
      </w:r>
      <w:r>
        <w:t xml:space="preserve"> </w:t>
      </w:r>
      <w:r>
        <w:t xml:space="preserve">- A operação inteira</w:t>
      </w:r>
      <w:r>
        <w:t xml:space="preserve"> </w:t>
      </w:r>
      <w:r>
        <w:t xml:space="preserve">- Um laboratório/local específico</w:t>
      </w:r>
      <w:r>
        <w:t xml:space="preserve"> </w:t>
      </w:r>
      <w:r>
        <w:t xml:space="preserve">- Um pacote específico (plano de análise)</w:t>
      </w:r>
      <w:r>
        <w:t xml:space="preserve"> </w:t>
      </w:r>
      <w:r>
        <w:t xml:space="preserve">- Um grupo de trabalho específico</w:t>
      </w:r>
    </w:p>
    <w:bookmarkEnd w:id="12"/>
    <w:bookmarkStart w:id="13" w:name="principais-entradas-e-saídas"/>
    <w:p>
      <w:pPr>
        <w:pStyle w:val="Heading2"/>
      </w:pPr>
      <w:r>
        <w:t xml:space="preserve">Principais entradas e saídas</w:t>
      </w:r>
    </w:p>
    <w:p>
      <w:pPr>
        <w:pStyle w:val="FirstParagraph"/>
      </w:pPr>
      <w:r>
        <w:rPr>
          <w:b/>
          <w:bCs/>
        </w:rPr>
        <w:t xml:space="preserve">Entradas:</w:t>
      </w:r>
      <w:r>
        <w:t xml:space="preserve"> </w:t>
      </w:r>
      <w:r>
        <w:t xml:space="preserve">entidade, data de referência (as-of), período-alvo.</w:t>
      </w:r>
      <w:r>
        <w:t xml:space="preserve"> </w:t>
      </w:r>
      <w:r>
        <w:rPr>
          <w:b/>
          <w:bCs/>
        </w:rPr>
        <w:t xml:space="preserve">Saída:</w:t>
      </w:r>
      <w:r>
        <w:t xml:space="preserve"> </w:t>
      </w:r>
      <w:r>
        <w:t xml:space="preserve">previsão mais intervalo de incerteza.</w:t>
      </w:r>
    </w:p>
    <w:bookmarkEnd w:id="13"/>
    <w:bookmarkStart w:id="14" w:name="X409281d6425b992410f8234ec5aa3085ca9f73e"/>
    <w:p>
      <w:pPr>
        <w:pStyle w:val="Heading2"/>
      </w:pPr>
      <w:r>
        <w:t xml:space="preserve">O fluxo de trabalho (3 estágios por amostra)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CRD</w:t>
      </w:r>
      <w:r>
        <w:t xml:space="preserve"> </w:t>
      </w:r>
      <w:r>
        <w:t xml:space="preserve">— recebida e registrada (não conta no TAT).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Laboratório</w:t>
      </w:r>
      <w:r>
        <w:t xml:space="preserve"> </w:t>
      </w:r>
      <w:r>
        <w:t xml:space="preserve">— os testes são executados (primeira e mais demorada parte do TAT).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Interpretação</w:t>
      </w:r>
      <w:r>
        <w:t xml:space="preserve"> </w:t>
      </w:r>
      <w:r>
        <w:t xml:space="preserve">— os resultados são revisados (segunda parte do TAT).</w:t>
      </w:r>
    </w:p>
    <w:p>
      <w:pPr>
        <w:pStyle w:val="FirstParagraph"/>
      </w:pPr>
      <w:r>
        <w:t xml:space="preserve">Re-testes voltam pelo Laboratório + Interpretação e</w:t>
      </w:r>
      <w:r>
        <w:t xml:space="preserve"> </w:t>
      </w:r>
      <w:r>
        <w:rPr>
          <w:b/>
          <w:bCs/>
        </w:rPr>
        <w:t xml:space="preserve">não zeram</w:t>
      </w:r>
      <w:r>
        <w:t xml:space="preserve"> </w:t>
      </w:r>
      <w:r>
        <w:t xml:space="preserve">o relógio do TAT — eles aumentam o TAT diretamente.</w:t>
      </w:r>
    </w:p>
    <w:bookmarkEnd w:id="14"/>
    <w:bookmarkStart w:id="15" w:name="hierarquia-dos-agrupamentos"/>
    <w:p>
      <w:pPr>
        <w:pStyle w:val="Heading2"/>
      </w:pPr>
      <w:r>
        <w:t xml:space="preserve">Hierarquia dos agrupamentos</w:t>
      </w:r>
    </w:p>
    <w:p>
      <w:pPr>
        <w:pStyle w:val="SourceCode"/>
      </w:pPr>
      <w:r>
        <w:rPr>
          <w:rStyle w:val="VerbatimChar"/>
        </w:rPr>
        <w:t xml:space="preserve">Amostra → Ensaios (testes/análises) → Grupos de trabalho → Pacotes (planos de análise) → Laboratório/Local → Operação</w:t>
      </w:r>
    </w:p>
    <w:bookmarkEnd w:id="15"/>
    <w:bookmarkStart w:id="16" w:name="formato-da-entrega"/>
    <w:p>
      <w:pPr>
        <w:pStyle w:val="Heading2"/>
      </w:pPr>
      <w:r>
        <w:t xml:space="preserve">Formato da entrega</w:t>
      </w:r>
    </w:p>
    <w:p>
      <w:pPr>
        <w:pStyle w:val="Compact"/>
        <w:numPr>
          <w:ilvl w:val="0"/>
          <w:numId w:val="1003"/>
        </w:numPr>
      </w:pPr>
      <w:r>
        <w:t xml:space="preserve">Modelo autônomo (não um notebook / relatório manual), integrado ao agente existente.</w:t>
      </w:r>
    </w:p>
    <w:p>
      <w:pPr>
        <w:pStyle w:val="Compact"/>
        <w:numPr>
          <w:ilvl w:val="0"/>
          <w:numId w:val="1003"/>
        </w:numPr>
      </w:pPr>
      <w:r>
        <w:t xml:space="preserve">Atualizado sob demanda quando um usuário pergunta ao agente.</w:t>
      </w:r>
    </w:p>
    <w:p>
      <w:pPr>
        <w:pStyle w:val="Compact"/>
        <w:numPr>
          <w:ilvl w:val="0"/>
          <w:numId w:val="1003"/>
        </w:numPr>
      </w:pPr>
      <w:r>
        <w:t xml:space="preserve">Saída simples e legível: um número claro + confiança, para gerentes de laboratório e equipe operacional.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2026-09-22T22:15:09Z</dcterms:created>
  <dcterms:modified xsi:type="dcterms:W3CDTF">2026-09-22T22:15:09Z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