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notas-sobre-os-dados-s360"/>
    <w:p>
      <w:pPr>
        <w:pStyle w:val="Heading1"/>
      </w:pPr>
      <w:r>
        <w:t xml:space="preserve">Notas sobre os Dados (S360)</w:t>
      </w:r>
    </w:p>
    <w:bookmarkStart w:id="9" w:name="fonte"/>
    <w:p>
      <w:pPr>
        <w:pStyle w:val="Heading2"/>
      </w:pPr>
      <w:r>
        <w:t xml:space="preserve">Fonte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S360</w:t>
      </w:r>
      <w:r>
        <w:t xml:space="preserve"> </w:t>
      </w:r>
      <w:r>
        <w:t xml:space="preserve">— o LIMS, fonte da verdade.</w:t>
      </w:r>
    </w:p>
    <w:p>
      <w:pPr>
        <w:pStyle w:val="Compact"/>
        <w:numPr>
          <w:ilvl w:val="0"/>
          <w:numId w:val="1001"/>
        </w:numPr>
      </w:pPr>
      <w:r>
        <w:t xml:space="preserve">Provavelmente contém tudo o que é necessário; se algo estiver faltando, o cliente fornecerá conforme nossos requisitos.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 dicionário de dados</w:t>
      </w:r>
      <w:r>
        <w:t xml:space="preserve"> </w:t>
      </w:r>
      <w:r>
        <w:t xml:space="preserve">— precisamos fazer engenharia reversa das estruturas das tabelas por conta própria.</w:t>
      </w:r>
    </w:p>
    <w:bookmarkEnd w:id="9"/>
    <w:bookmarkStart w:id="10" w:name="Xacbfc63c408440b6f3abe1e49c567a89d648c84"/>
    <w:p>
      <w:pPr>
        <w:pStyle w:val="Heading2"/>
      </w:pPr>
      <w:r>
        <w:t xml:space="preserve">Problemas esperados de qualidade dos dados</w:t>
      </w:r>
    </w:p>
    <w:p>
      <w:pPr>
        <w:pStyle w:val="Compact"/>
        <w:numPr>
          <w:ilvl w:val="0"/>
          <w:numId w:val="1002"/>
        </w:numPr>
      </w:pPr>
      <w:r>
        <w:t xml:space="preserve">Valores ausentes</w:t>
      </w:r>
    </w:p>
    <w:p>
      <w:pPr>
        <w:pStyle w:val="Compact"/>
        <w:numPr>
          <w:ilvl w:val="0"/>
          <w:numId w:val="1002"/>
        </w:numPr>
      </w:pPr>
      <w:r>
        <w:t xml:space="preserve">Outliers ocasionais</w:t>
      </w:r>
    </w:p>
    <w:p>
      <w:pPr>
        <w:pStyle w:val="Compact"/>
        <w:numPr>
          <w:ilvl w:val="0"/>
          <w:numId w:val="1002"/>
        </w:numPr>
      </w:pPr>
      <w:r>
        <w:t xml:space="preserve">Erros de digitação</w:t>
      </w:r>
    </w:p>
    <w:p>
      <w:pPr>
        <w:pStyle w:val="Compact"/>
        <w:numPr>
          <w:ilvl w:val="0"/>
          <w:numId w:val="1002"/>
        </w:numPr>
      </w:pPr>
      <w:r>
        <w:t xml:space="preserve">→ Perceber e lidar com isso faz parte do trabalho.</w:t>
      </w:r>
    </w:p>
    <w:bookmarkEnd w:id="10"/>
    <w:bookmarkStart w:id="11" w:name="X1b76f65a18c9de6602fdaecfc80a1de4d7b6a7a"/>
    <w:p>
      <w:pPr>
        <w:pStyle w:val="Heading2"/>
      </w:pPr>
      <w:r>
        <w:t xml:space="preserve">Censura (consideração crítica de modelagem)</w:t>
      </w:r>
    </w:p>
    <w:p>
      <w:pPr>
        <w:pStyle w:val="FirstParagraph"/>
      </w:pPr>
      <w:r>
        <w:t xml:space="preserve">No meio do período, muitas amostras foram recebidas mas ainda não concluídas. Seu TAT final e status on-time são desconhecidos. A forma como essas amostras em andamento (censuradas) são tratadas afeta materialmente a previsão.</w:t>
      </w:r>
    </w:p>
    <w:p>
      <w:pPr>
        <w:pStyle w:val="BodyText"/>
      </w:pPr>
      <w:r>
        <w:t xml:space="preserve">Amostras censuradas devem ser tratadas com uma abordagem fundamentada — por exemplo, análise de sobrevivência, estimativas de conclusão esperada ou modelagem explícita de</w:t>
      </w:r>
      <w:r>
        <w:t xml:space="preserve"> </w:t>
      </w:r>
      <w:r>
        <w:t xml:space="preserve">“risco”</w:t>
      </w:r>
      <w:r>
        <w:t xml:space="preserve"> </w:t>
      </w:r>
      <w:r>
        <w:t xml:space="preserve">— em vez de serem descartadas ou assumidas como concluídas.</w:t>
      </w:r>
    </w:p>
    <w:bookmarkEnd w:id="11"/>
    <w:bookmarkStart w:id="12" w:name="elementos-de-dados-a-descobrir-no-s360"/>
    <w:p>
      <w:pPr>
        <w:pStyle w:val="Heading2"/>
      </w:pPr>
      <w:r>
        <w:t xml:space="preserve">Elementos de dados a descobrir no S360</w:t>
      </w:r>
    </w:p>
    <w:p>
      <w:pPr>
        <w:pStyle w:val="Compact"/>
        <w:numPr>
          <w:ilvl w:val="0"/>
          <w:numId w:val="1003"/>
        </w:numPr>
      </w:pPr>
      <w:r>
        <w:t xml:space="preserve">ID da amostra e timestamp de recebimento (CRD).</w:t>
      </w:r>
    </w:p>
    <w:p>
      <w:pPr>
        <w:pStyle w:val="Compact"/>
        <w:numPr>
          <w:ilvl w:val="0"/>
          <w:numId w:val="1003"/>
        </w:numPr>
      </w:pPr>
      <w:r>
        <w:t xml:space="preserve">Timestamps de conclusão por estágio (Laboratório, Interpretação).</w:t>
      </w:r>
    </w:p>
    <w:p>
      <w:pPr>
        <w:pStyle w:val="Compact"/>
        <w:numPr>
          <w:ilvl w:val="0"/>
          <w:numId w:val="1003"/>
        </w:numPr>
      </w:pPr>
      <w:r>
        <w:t xml:space="preserve">Eventos de re-teste / loops.</w:t>
      </w:r>
    </w:p>
    <w:p>
      <w:pPr>
        <w:pStyle w:val="Compact"/>
        <w:numPr>
          <w:ilvl w:val="0"/>
          <w:numId w:val="1003"/>
        </w:numPr>
      </w:pPr>
      <w:r>
        <w:t xml:space="preserve">Faixa de prazo por amostra (ou os atributos necessários para derivá-la: tipo de óleo, equipamento, compartimento).</w:t>
      </w:r>
    </w:p>
    <w:p>
      <w:pPr>
        <w:pStyle w:val="Compact"/>
        <w:numPr>
          <w:ilvl w:val="0"/>
          <w:numId w:val="1003"/>
        </w:numPr>
      </w:pPr>
      <w:r>
        <w:t xml:space="preserve">Mapeamento da hierarquia ensaio → grupo de trabalho → pacote.</w:t>
      </w:r>
    </w:p>
    <w:p>
      <w:pPr>
        <w:pStyle w:val="Compact"/>
        <w:numPr>
          <w:ilvl w:val="0"/>
          <w:numId w:val="1003"/>
        </w:numPr>
      </w:pPr>
      <w:r>
        <w:t xml:space="preserve">Identificador de laboratório / local.</w:t>
      </w:r>
    </w:p>
    <w:bookmarkEnd w:id="12"/>
    <w:bookmarkStart w:id="13" w:name="plano-de-descoberta-de-dados"/>
    <w:p>
      <w:pPr>
        <w:pStyle w:val="Heading2"/>
      </w:pPr>
      <w:r>
        <w:t xml:space="preserve">Plano de descoberta de dados</w:t>
      </w:r>
    </w:p>
    <w:p>
      <w:pPr>
        <w:pStyle w:val="Compact"/>
        <w:numPr>
          <w:ilvl w:val="0"/>
          <w:numId w:val="1004"/>
        </w:numPr>
      </w:pPr>
      <w:r>
        <w:t xml:space="preserve">Explorar a lista de tabelas e os esquemas no S360.</w:t>
      </w:r>
    </w:p>
    <w:p>
      <w:pPr>
        <w:pStyle w:val="Compact"/>
        <w:numPr>
          <w:ilvl w:val="0"/>
          <w:numId w:val="1004"/>
        </w:numPr>
      </w:pPr>
      <w:r>
        <w:t xml:space="preserve">Rastrear o ciclo de vida de uma amostra de ponta a ponta pelas tabelas.</w:t>
      </w:r>
    </w:p>
    <w:p>
      <w:pPr>
        <w:pStyle w:val="Compact"/>
        <w:numPr>
          <w:ilvl w:val="0"/>
          <w:numId w:val="1004"/>
        </w:numPr>
      </w:pPr>
      <w:r>
        <w:t xml:space="preserve">Confirmar as junções da hierarquia (ensaios → grupos de trabalho → pacotes → laboratório).</w:t>
      </w:r>
    </w:p>
    <w:p>
      <w:pPr>
        <w:pStyle w:val="Compact"/>
        <w:numPr>
          <w:ilvl w:val="0"/>
          <w:numId w:val="1004"/>
        </w:numPr>
      </w:pPr>
      <w:r>
        <w:t xml:space="preserve">Confirmar a derivação da faixa de prazo.</w:t>
      </w:r>
    </w:p>
    <w:p>
      <w:pPr>
        <w:pStyle w:val="Compact"/>
        <w:numPr>
          <w:ilvl w:val="0"/>
          <w:numId w:val="1004"/>
        </w:numPr>
      </w:pPr>
      <w:r>
        <w:t xml:space="preserve">Construir um relatório inicial de qualidade (ausências, outliers, sanidade dos timestamps).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2026-09-22T22:15:09Z</dcterms:created>
  <dcterms:modified xsi:type="dcterms:W3CDTF">2026-09-22T22:15:09Z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