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400" w:after="600" w:line="253" w:lineRule="exact"/>
        <w:jc w:val="center"/>
      </w:pPr>
      <w:r>
        <w:rPr>
          <w:rFonts w:ascii="Arial" w:hAnsi="Arial" w:cs="Arial"/>
          <w:rFonts w:ascii="Arial" w:hAnsi="Arial"/>
          <w:b/>
          <w:color w:val="000000"/>
          <w:sz w:val="40"/>
        </w:rPr>
        <w:t>PROGRAMACIÓN DIDÁCTICA</w:t>
      </w:r>
    </w:p>
    <w:p>
      <w:pPr>
        <w:spacing w:before="240" w:after="40" w:line="253" w:lineRule="exact"/>
        <w:jc w:val="center"/>
      </w:pPr>
      <w:r>
        <w:rPr>
          <w:rFonts w:ascii="Arial" w:hAnsi="Arial" w:cs="Arial"/>
          <w:rFonts w:ascii="Arial" w:hAnsi="Arial"/>
          <w:b/>
          <w:sz w:val="24"/>
        </w:rPr>
        <w:t>DEPARTAMENTO DIDÁCTICO:</w:t>
      </w:r>
    </w:p>
    <w:p>
      <w:pPr>
        <w:spacing w:before="40" w:after="240" w:line="253" w:lineRule="exact"/>
        <w:jc w:val="center"/>
      </w:pPr>
      <w:r>
        <w:rPr>
          <w:rFonts w:ascii="Arial" w:hAnsi="Arial" w:cs="Arial"/>
          <w:rFonts w:ascii="Arial" w:hAnsi="Arial"/>
          <w:b w:val="0"/>
          <w:sz w:val="24"/>
        </w:rPr>
        <w:t>Electrónica</w:t>
      </w:r>
    </w:p>
    <w:p>
      <w:pPr>
        <w:spacing w:before="240" w:after="40" w:line="253" w:lineRule="exact"/>
        <w:jc w:val="center"/>
      </w:pPr>
      <w:r>
        <w:rPr>
          <w:rFonts w:ascii="Arial" w:hAnsi="Arial" w:cs="Arial"/>
          <w:rFonts w:ascii="Arial" w:hAnsi="Arial"/>
          <w:b/>
          <w:sz w:val="24"/>
        </w:rPr>
        <w:t>CICLO FORMATIVO:</w:t>
      </w:r>
    </w:p>
    <w:p>
      <w:pPr>
        <w:spacing w:before="40" w:after="240" w:line="253" w:lineRule="exact"/>
        <w:jc w:val="center"/>
      </w:pPr>
      <w:r>
        <w:rPr>
          <w:rFonts w:ascii="Arial" w:hAnsi="Arial" w:cs="Arial"/>
          <w:rFonts w:ascii="Arial" w:hAnsi="Arial"/>
          <w:b w:val="0"/>
          <w:sz w:val="24"/>
        </w:rPr>
        <w:t>Técnico en Instalaciones de Telecomunicaciones</w:t>
      </w:r>
    </w:p>
    <w:p>
      <w:pPr>
        <w:spacing w:before="240" w:after="40" w:line="253" w:lineRule="exact"/>
        <w:jc w:val="center"/>
      </w:pPr>
      <w:r>
        <w:rPr>
          <w:rFonts w:ascii="Arial" w:hAnsi="Arial" w:cs="Arial"/>
          <w:rFonts w:ascii="Arial" w:hAnsi="Arial"/>
          <w:b/>
          <w:sz w:val="24"/>
        </w:rPr>
        <w:t>MÓDULO PROFESIONAL:</w:t>
      </w:r>
    </w:p>
    <w:p>
      <w:pPr>
        <w:spacing w:before="40" w:after="240" w:line="253" w:lineRule="exact"/>
        <w:jc w:val="center"/>
      </w:pPr>
      <w:r>
        <w:rPr>
          <w:rFonts w:ascii="Arial" w:hAnsi="Arial" w:cs="Arial"/>
          <w:rFonts w:ascii="Arial" w:hAnsi="Arial"/>
          <w:b w:val="0"/>
          <w:sz w:val="24"/>
        </w:rPr>
        <w:t>0237 Infraestructuras comunes de telecomunicación en viviendas y edificios</w:t>
      </w:r>
    </w:p>
    <w:p>
      <w:pPr>
        <w:spacing w:before="240" w:after="40" w:line="253" w:lineRule="exact"/>
        <w:jc w:val="center"/>
      </w:pPr>
      <w:r>
        <w:rPr>
          <w:rFonts w:ascii="Arial" w:hAnsi="Arial" w:cs="Arial"/>
          <w:rFonts w:ascii="Arial" w:hAnsi="Arial"/>
          <w:b/>
          <w:sz w:val="24"/>
        </w:rPr>
        <w:t>CURSO ACADÉMICO:</w:t>
      </w:r>
    </w:p>
    <w:p>
      <w:pPr>
        <w:spacing w:before="40" w:after="240" w:line="253" w:lineRule="exact"/>
        <w:jc w:val="center"/>
      </w:pPr>
      <w:r>
        <w:rPr>
          <w:rFonts w:ascii="Arial" w:hAnsi="Arial" w:cs="Arial"/>
          <w:rFonts w:ascii="Arial" w:hAnsi="Arial"/>
          <w:b w:val="0"/>
          <w:sz w:val="24"/>
        </w:rPr>
        <w:t>2025/2026</w:t>
      </w:r>
    </w:p>
    <w:p>
      <w:r>
        <w:br w:type="page"/>
      </w:r>
    </w:p>
    <w:p>
      <w:pPr>
        <w:pStyle w:val="Heading1"/>
        <w:spacing w:before="240" w:after="80" w:line="253" w:lineRule="exact"/>
        <w:jc w:val="center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ÍNDICE</w:t>
      </w:r>
    </w:p>
    <w:p/>
    <w:p>
      <w:r>
        <w:fldChar w:fldCharType="begin"/>
      </w:r>
      <w:r>
        <w:instrText xml:space="preserve">TOC \o "1-3" \h \z \u</w:instrText>
      </w:r>
      <w:r>
        <w:fldChar w:fldCharType="separate"/>
      </w:r>
    </w:p>
    <w:p>
      <w:r>
        <w:rPr>
          <w:rFonts w:ascii="Arial" w:hAnsi="Arial" w:cs="Arial"/>
          <w:rFonts w:ascii="Arial" w:hAnsi="Arial"/>
          <w:b w:val="0"/>
          <w:sz w:val="22"/>
        </w:rPr>
        <w:rPr/>
      </w:r>
      <w:r>
        <w:fldChar w:fldCharType="end"/>
      </w:r>
    </w:p>
    <w:p>
      <w:pPr>
        <w:spacing w:before="40" w:after="160" w:line="253" w:lineRule="exact"/>
      </w:pPr>
      <w:r>
        <w:rPr>
          <w:rFonts w:ascii="Arial" w:hAnsi="Arial" w:cs="Arial"/>
          <w:rFonts w:ascii="Arial" w:hAnsi="Arial"/>
          <w:b/>
          <w:color w:val="000000"/>
          <w:sz w:val="20"/>
        </w:rPr>
        <w:t>⚠ ÍNDICE: Para generar o actualizar el índice automáticamente si añades o modificas títulos, haz clic derecho sobre este bloque y selecciona 'Actualizar campos'.</w:t>
      </w:r>
    </w:p>
    <w:p>
      <w:r>
        <w:br w:type="page"/>
      </w:r>
    </w:p>
    <w:p>
      <w:pPr>
        <w:pStyle w:val="Heading1"/>
        <w:spacing w:before="240" w:after="80" w:line="253" w:lineRule="exact"/>
        <w:jc w:val="center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A. INTRODUCCIÓN Y CONTEXTUALIZACIÓN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A1. Justificación de la programación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Indicar base normativa, Leyes de Educación y Reales Decretos aplicables al título...]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A2. Contextualización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Perfil profesional del título, entorno socioeconómico y características generales del centro...]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A3. Ubicación del módulo en el ciclo formativo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El presente módulo profesional, '0237 Infraestructuras comunes de telecomunicación en viviendas y edificios', se imparte dentro del ciclo formativo y tiene una carga horaria de 224 horas. Aporta al alumnado los conocimientos, procedimientos y actitudes necesarios para el ejercicio profesional en el sector correspondiente, en coherencia con los Resultados de Aprendizaje.</w:t>
      </w:r>
    </w:p>
    <w:p>
      <w:pPr>
        <w:pStyle w:val="Heading1"/>
        <w:spacing w:before="240" w:after="80" w:line="253" w:lineRule="exact"/>
        <w:jc w:val="center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B. RESULTADOS DE APRENDIZAJE Y FCT/FEOE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B1. Resultados de Aprendizaje del Módulo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Esta programación didáctica consta de 2 Resultado(s) de Aprendizaje oficiales:</w:t>
      </w:r>
    </w:p>
    <w:p>
      <w:pPr>
        <w:pStyle w:val="ListBullet"/>
        <w:spacing w:before="0" w:after="6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RA1. Identifica los elementos de las ICT...</w:t>
      </w:r>
    </w:p>
    <w:p>
      <w:pPr>
        <w:pStyle w:val="ListBullet"/>
        <w:spacing w:before="0" w:after="6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RA2. Configura pequeñas instalaciones ICT...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B2. RAs susceptibles de ser adquiridos en FEOE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Los siguientes RAs son susceptibles de ser trabajados en fase de empresa (FEOE):</w:t>
      </w:r>
    </w:p>
    <w:p>
      <w:pPr>
        <w:pStyle w:val="ListBullet"/>
        <w:spacing w:before="0" w:after="6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RA2. Configura pequeñas instalaciones ICT...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B3. Vinculación con la Empresa Colaboradora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Orientaciones sobre las actividades a realizar en la empresa...]</w:t>
      </w:r>
    </w:p>
    <w:p>
      <w:pPr>
        <w:pStyle w:val="Heading1"/>
        <w:spacing w:before="240" w:after="80" w:line="253" w:lineRule="exact"/>
        <w:jc w:val="center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C. ORGANIZACIÓN, SECUENCIACIÓN Y TEMPORALIZACIÓN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C1. Unidades Didácticas (Contenidos)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UD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Unidad Didáctica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Horas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sz w:val="20"/>
              </w:rPr>
              <w:t>Clases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UD1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Introducción a las ICT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UD2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Instalaciones de antenas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C2. Secuenciación y distribución trimestral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Distribución estimada de las UDs a lo largo del curso (Planificación mensual):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auto-planificar el calendario en CuadernoFP]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C3. Calendario académico y carga horaria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La secuenciación se ajusta a los festivos oficiales y al horario semanal establecido para el grupo.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C4. Matrices de Relación RA - 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sz w:val="18"/>
              </w:rPr>
              <w:t>UD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sz w:val="18"/>
              </w:rPr>
              <w:t>Horas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sz w:val="18"/>
              </w:rPr>
              <w:t>RA1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sz w:val="18"/>
              </w:rPr>
              <w:t>RA2</w:t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  <w:t>UD1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2635"/>
          </w:tcPr>
          <w:p>
            <w:r>
              <w:rPr>
                <w:sz w:val="16"/>
              </w:rPr>
              <w:t>UD2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p>
      <w:pPr>
        <w:pStyle w:val="Heading1"/>
        <w:spacing w:before="240" w:after="80" w:line="253" w:lineRule="exact"/>
        <w:jc w:val="center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D. METODOLOGÍA DIDÁCTICA Y AGRUPAMIENTOS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D1. Principios metodológicos generales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La metodología favorece en el alumnado la capacidad para aprender de forma autónoma y trabajar en equipo.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D2. Actividades de enseñanza-aprendizaje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Relación de metodologías tipo como teoría, taller, prácticas simuladas...]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D3. Agrupamientos y Plan de Desdobles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Organización del grupo, desdobles por prevención de riesgos o ratios...]</w:t>
      </w:r>
    </w:p>
    <w:p>
      <w:pPr>
        <w:pStyle w:val="Heading1"/>
        <w:spacing w:before="240" w:after="80" w:line="253" w:lineRule="exact"/>
        <w:jc w:val="center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E. PROCEDIMIENTOS, CRITERIOS E INSTRUMENTOS DE EVALUACIÓN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E1. Evaluación Inicial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Al inicio del módulo se realizará una evaluación diagnóstica para identificar conocimientos previos.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E2. Criterios de Evaluación</w:t>
      </w:r>
    </w:p>
    <w:p>
      <w:r>
        <w:rPr>
          <w:rFonts w:ascii="Arial" w:hAnsi="Arial" w:cs="Arial"/>
          <w:rFonts w:ascii="Arial" w:hAnsi="Arial"/>
          <w:b/>
          <w:sz w:val="20"/>
        </w:rPr>
        <w:t>RA1</w:t>
      </w:r>
    </w:p>
    <w:p>
      <w:pPr>
        <w:pStyle w:val="ListBullet"/>
        <w:spacing w:before="0" w:after="6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CE1.1. Se han identificado los sistemas ICT. (0%)</w:t>
      </w:r>
    </w:p>
    <w:p>
      <w:pPr>
        <w:pStyle w:val="ListBullet"/>
        <w:spacing w:before="0" w:after="6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CE1.2. Se han descrito los tipos de señal. (0%)</w:t>
      </w:r>
    </w:p>
    <w:p>
      <w:r>
        <w:rPr>
          <w:rFonts w:ascii="Arial" w:hAnsi="Arial" w:cs="Arial"/>
          <w:rFonts w:ascii="Arial" w:hAnsi="Arial"/>
          <w:b/>
          <w:sz w:val="20"/>
        </w:rPr>
        <w:t>RA2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E3. Procedimientos e Instrumentos de Evaluación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Se utilizarán los siguientes instrumentos de evaluación configurados en la plataforma:</w:t>
      </w:r>
    </w:p>
    <w:p>
      <w:pPr>
        <w:pStyle w:val="ListBullet"/>
        <w:spacing w:before="0" w:after="6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Teoria: 1 actividad(es)</w:t>
      </w:r>
    </w:p>
    <w:p>
      <w:pPr>
        <w:pStyle w:val="ListBullet"/>
        <w:spacing w:before="0" w:after="6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Practica: 1 actividad(es)</w:t>
      </w:r>
    </w:p>
    <w:p>
      <w:pPr>
        <w:pStyle w:val="ListBullet"/>
        <w:spacing w:before="0" w:after="6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Informes: 1 actividad(es)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E4. Criterios de Calificación y Ponderación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El alumnado debe alcanzar un mínimo de 5.0 en cada Resultado de Aprendizaje. Las calificaciones entre 4.5 y 5.0 podrán ser objeto de redondeo.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E5. Actividades de Recuperación y Refuerzo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Sistema de recuperación para evaluaciones y convocatorias extraordinarias...]</w:t>
      </w:r>
    </w:p>
    <w:p>
      <w:pPr>
        <w:pStyle w:val="Heading1"/>
        <w:spacing w:before="240" w:after="80" w:line="253" w:lineRule="exact"/>
        <w:jc w:val="center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F. ATENCIÓN A LAS DIFERENCIAS INDIVIDUALES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F1. Atención a la diversidad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Medidas de inclusión y atención a las diferencias individuales...]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F2. Adaptaciones curriculares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Se contemplarán adaptaciones no significativas de acceso al currículo según lo requerido.</w:t>
      </w:r>
    </w:p>
    <w:p>
      <w:pPr>
        <w:pStyle w:val="Heading1"/>
        <w:spacing w:before="240" w:after="80" w:line="253" w:lineRule="exact"/>
        <w:jc w:val="center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G. MATERIALES Y RECURSOS DIDÁCTICOS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G1. Infraestructuras y Equipamientos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Taller, aula, laboratorio...]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G2. Herramientas TIC y plataformas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Moodle, Classroom, software simulador...]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G3. Bibliografía y recursos para el alumnado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Libros de texto, manuales de fabricantes...]</w:t>
      </w:r>
    </w:p>
    <w:p>
      <w:pPr>
        <w:pStyle w:val="Heading1"/>
        <w:spacing w:before="240" w:after="80" w:line="253" w:lineRule="exact"/>
        <w:jc w:val="center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H. ACTIVIDADES COMPLEMENTARIAS Y EXTRAESCOLARES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H1. Propuestas del departamento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Actividades extraescolares y complementarias propuestas...]</w:t>
      </w:r>
    </w:p>
    <w:p>
      <w:pPr>
        <w:pStyle w:val="Heading1"/>
        <w:spacing w:before="240" w:after="80" w:line="253" w:lineRule="exact"/>
        <w:jc w:val="center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I. ELEMENTOS TRANSVERSALES Y PROYECTOS ESPECÍFICOS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I1. Elementos transversales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Prevención de riesgos laborales, igualdad, medioambiente...]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I2. Proyectos de innovación o bilingüismo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La programación no contempla modalidad bilingüe en el presente curso académico, salvo indicación contraria.</w:t>
      </w:r>
    </w:p>
    <w:p>
      <w:pPr>
        <w:pStyle w:val="Heading1"/>
        <w:spacing w:before="240" w:after="80" w:line="253" w:lineRule="exact"/>
        <w:jc w:val="center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J. SEGUIMIENTO Y EVALUACIÓN DE LA PROGRAMACIÓN DIDÁCTICA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J1. Mecanismos de seguimiento docente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El Departamento revisará periódicamente el cumplimiento de la programación y analizará la evolución de resultados.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J2. Indicadores de logro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El control del avance de las Unidades Didácticas y la docencia diaria se registrará a través de la herramienta digital CuadernoFP. El diario docente telemático servirá como indicador objetivo del grado de cumplimiento temporal respecto al calendario planificado.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J3. Plan de Contingencia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color w:val="808080"/>
          <w:sz w:val="22"/>
        </w:rPr>
        <w:t>[Pendiente de redactar por el departamento: Procedimiento ante ausencias o clases a distancia...]</w:t>
      </w:r>
    </w:p>
    <w:p>
      <w:pPr>
        <w:pStyle w:val="Heading2"/>
        <w:spacing w:before="240" w:after="80" w:line="253" w:lineRule="exact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22"/>
        </w:rPr>
        <w:t>J4. Registro de Seguimiento Diario (Diario Docente)</w:t>
      </w:r>
    </w:p>
    <w:p>
      <w:pPr>
        <w:spacing w:before="0" w:after="120" w:line="253" w:lineRule="exact"/>
      </w:pPr>
      <w:r>
        <w:rPr>
          <w:rFonts w:ascii="Arial" w:hAnsi="Arial" w:cs="Arial"/>
          <w:rFonts w:ascii="Arial" w:hAnsi="Arial"/>
          <w:b w:val="0"/>
          <w:sz w:val="22"/>
        </w:rPr>
        <w:t>No hay sesiones registradas en el diario docente.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402"/>
      <w:gridCol w:w="3402"/>
    </w:tblGrid>
    <w:tr>
      <w:tc>
        <w:tcPr>
          <w:tcW w:type="dxa" w:w="3685"/>
        </w:tcPr>
        <w:p>
          <w:r>
            <w:rPr>
              <w:sz w:val="16"/>
            </w:rPr>
            <w:t>IES / Centro</w:t>
          </w:r>
        </w:p>
      </w:tc>
      <w:tc>
        <w:tcPr>
          <w:tcW w:type="dxa" w:w="4819"/>
        </w:tcPr>
        <w:p>
          <w:pPr>
            <w:jc w:val="center"/>
          </w:pPr>
        </w:p>
      </w:tc>
      <w:tc>
        <w:tcPr>
          <w:tcW w:type="dxa" w:w="1701"/>
        </w:tcPr>
        <w:p>
          <w:pPr>
            <w:jc w:val="right"/>
          </w:pPr>
          <w:r>
            <w:rPr>
              <w:sz w:val="16"/>
            </w:rPr>
            <w:t xml:space="preserve">Página: </w:t>
          </w:r>
          <w:r>
            <w:rPr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402"/>
      <w:gridCol w:w="3402"/>
    </w:tblGrid>
    <w:tr>
      <w:tc>
        <w:tcPr>
          <w:tcW w:type="dxa" w:w="3685"/>
        </w:tcPr>
        <w:p>
          <w:pPr>
            <w:jc w:val="center"/>
          </w:pPr>
          <w:r>
            <w:rPr>
              <w:rFonts w:ascii="Arial" w:hAnsi="Arial" w:cs="Arial"/>
              <w:rFonts w:ascii="Arial" w:hAnsi="Arial"/>
              <w:b/>
              <w:sz w:val="16"/>
            </w:rPr>
            <w:t>CICLO FORMATIVO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 w:cs="Arial"/>
              <w:rFonts w:ascii="Arial" w:hAnsi="Arial"/>
              <w:b/>
              <w:sz w:val="16"/>
            </w:rPr>
            <w:t>MÓDULO PROFESIONAL</w:t>
          </w:r>
        </w:p>
      </w:tc>
      <w:tc>
        <w:tcPr>
          <w:tcW w:type="dxa" w:w="1701"/>
        </w:tcPr>
        <w:p>
          <w:pPr>
            <w:jc w:val="center"/>
          </w:pPr>
          <w:r>
            <w:rPr>
              <w:rFonts w:ascii="Arial" w:hAnsi="Arial" w:cs="Arial"/>
              <w:rFonts w:ascii="Arial" w:hAnsi="Arial"/>
              <w:b/>
              <w:sz w:val="16"/>
            </w:rPr>
            <w:t>CURSO ACADÉMICO</w:t>
          </w:r>
        </w:p>
      </w:tc>
    </w:tr>
    <w:tr>
      <w:tc>
        <w:tcPr>
          <w:tcW w:type="dxa" w:w="3685"/>
        </w:tcPr>
        <w:p>
          <w:pPr>
            <w:jc w:val="center"/>
          </w:pPr>
          <w:r>
            <w:rPr>
              <w:rFonts w:ascii="Arial" w:hAnsi="Arial" w:cs="Arial"/>
              <w:rFonts w:ascii="Arial" w:hAnsi="Arial"/>
              <w:b w:val="0"/>
              <w:sz w:val="16"/>
            </w:rPr>
            <w:t>Técnico en Instalaciones de Telecomunicaciones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 w:cs="Arial"/>
              <w:rFonts w:ascii="Arial" w:hAnsi="Arial"/>
              <w:b w:val="0"/>
              <w:sz w:val="16"/>
            </w:rPr>
            <w:t>0237 Infraestructuras comunes de telecomunicación en viviendas y edificios</w:t>
          </w:r>
        </w:p>
      </w:tc>
      <w:tc>
        <w:tcPr>
          <w:tcW w:type="dxa" w:w="1701"/>
        </w:tcPr>
        <w:p>
          <w:pPr>
            <w:jc w:val="center"/>
          </w:pPr>
          <w:r>
            <w:rPr>
              <w:rFonts w:ascii="Arial" w:hAnsi="Arial" w:cs="Arial"/>
              <w:rFonts w:ascii="Arial" w:hAnsi="Arial"/>
              <w:b w:val="0"/>
              <w:sz w:val="16"/>
            </w:rPr>
            <w:t>2025/2026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