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val="1"/>
      </w:pPr>
      <w:r>
        <w:rPr>
          <w:rFonts w:ascii="Arial" w:hAnsi="Arial" w:eastAsia="Arial"/>
          <w:b/>
          <w:color w:val="0059FF"/>
          <w:sz w:val="20"/>
        </w:rPr>
        <w:t>متطلبات منتج GLEMO</w:t>
      </w:r>
    </w:p>
    <w:p>
      <w:pPr>
        <w:pStyle w:val="Title"/>
        <w:jc w:val="right"/>
        <w:bidi w:val="1"/>
      </w:pPr>
      <w:r>
        <w:rPr>
          <w:rFonts w:ascii="Arial" w:hAnsi="Arial" w:eastAsia="Arial"/>
          <w:b/>
          <w:sz w:val="44"/>
        </w:rPr>
        <w:t>مواصفة متطلبات منصة GlemO</w:t>
      </w:r>
    </w:p>
    <w:p>
      <w:pPr>
        <w:spacing w:after="100"/>
        <w:jc w:val="right"/>
        <w:bidi w:val="1"/>
      </w:pPr>
      <w:r>
        <w:rPr>
          <w:rFonts w:ascii="Arial" w:hAnsi="Arial" w:eastAsia="Arial"/>
          <w:b w:val="0"/>
          <w:sz w:val="24"/>
        </w:rPr>
        <w:t>ملخص MVP1 للتطوير والمنتج والتصميم والامتثال والذكاء الاصطناعي والتكاملات وشركاء التنفيذ</w:t>
      </w:r>
    </w:p>
    <w:tbl>
      <w:tblPr>
        <w:tblStyle w:val="TableGrid"/>
        <w:tblW w:type="auto" w:w="0"/>
        <w:jc w:val="center"/>
        <w:tblLayout w:type="fixed"/>
        <w:tblLook w:firstColumn="1" w:firstRow="1" w:lastColumn="0" w:lastRow="0" w:noHBand="0" w:noVBand="1" w:val="04A0"/>
      </w:tblPr>
      <w:tblGrid>
        <w:gridCol w:w="5184"/>
        <w:gridCol w:w="5184"/>
      </w:tblGrid>
      <w:tr>
        <w:tc>
          <w:tcPr>
            <w:tcW w:type="dxa" w:w="259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الحقل</w:t>
            </w:r>
          </w:p>
        </w:tc>
        <w:tc>
          <w:tcPr>
            <w:tcW w:type="dxa" w:w="806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القيمة</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الإصدار</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1.0 جاهز للتطوير</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التاريخ</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15 سبتمبر 2026</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الجمهور</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الهندسة والمنتج والتصميم والامتثال وعمليات الذكاء الاصطناعي والتكاملات والشركاء</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أطروحة المنتج</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طبقة حيادية حسب فئة الأصل للسيولة وتوزيع الأصول الواقعية المرمزة</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أول سوق إثبات</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الائتمان العقاري والأصول الخاصة القريبة</w:t>
            </w:r>
          </w:p>
        </w:tc>
      </w:tr>
      <w:tr>
        <w:tc>
          <w:tcPr>
            <w:tcW w:type="dxa" w:w="259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الحزمة المرجعية</w:t>
            </w:r>
          </w:p>
        </w:tc>
        <w:tc>
          <w:tcPr>
            <w:tcW w:type="dxa" w:w="80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غرفة بيانات Token2049 المؤسسية V4.7</w:t>
            </w:r>
          </w:p>
        </w:tc>
      </w:tr>
    </w:tbl>
    <w:p/>
    <w:p>
      <w:pPr>
        <w:spacing w:after="100"/>
        <w:jc w:val="right"/>
        <w:bidi w:val="1"/>
      </w:pPr>
      <w:r>
        <w:rPr>
          <w:rFonts w:ascii="Arial" w:hAnsi="Arial" w:eastAsia="Arial"/>
          <w:b w:val="0"/>
          <w:sz w:val="21"/>
        </w:rPr>
        <w:t>خلاصة التنفيذ. يجب بناء GlemO أولا كمنصة تشغيلية مضبوطة، وليس كبورصة مفتوحة. يجب أن يثبت MVP1 الاكتشاف، الأهلية، توريد البائعين، مراجعة الأدلة، موافقة الإدارة، سجلات المعاملات الخاصة، الإثبات العام، SaaS للمؤسسات وعمليات الإيرادات قبل التوسع إلى السيولة الآلية والإضافات ومنظومة dApps.</w:t>
      </w:r>
    </w:p>
    <w:p>
      <w:r>
        <w:br w:type="page"/>
      </w:r>
    </w:p>
    <w:p>
      <w:pPr>
        <w:pStyle w:val="Heading1"/>
        <w:jc w:val="right"/>
        <w:bidi w:val="1"/>
      </w:pPr>
      <w:r>
        <w:rPr>
          <w:rFonts w:ascii="Arial" w:hAnsi="Arial" w:eastAsia="Arial"/>
          <w:b/>
          <w:sz w:val="32"/>
        </w:rPr>
        <w:t>1 الهدف ومهمة القارئ</w:t>
      </w:r>
    </w:p>
    <w:p>
      <w:pPr>
        <w:spacing w:after="100"/>
        <w:jc w:val="right"/>
        <w:bidi w:val="1"/>
      </w:pPr>
      <w:r>
        <w:rPr>
          <w:rFonts w:ascii="Arial" w:hAnsi="Arial" w:eastAsia="Arial"/>
          <w:b w:val="0"/>
          <w:sz w:val="20"/>
        </w:rPr>
        <w:t>يحول هذا المستند غرفة بيانات Token2049 والنموذج الحالي إلى مواصفة متطلبات جاهزة للتطوير. يحدد ما يجب بناؤه في MVP1، وما يمكن أن يبقى يدويا، وما هي كائنات البيانات المطلوبة، وما هي البيئات الخاصة لكل ممثل، وما هي الضوابط التي تمنع اتساع النطاق أو اللغة التنظيمية غير المناسبة.</w:t>
      </w:r>
    </w:p>
    <w:p>
      <w:pPr>
        <w:pStyle w:val="Heading1"/>
        <w:jc w:val="right"/>
        <w:bidi w:val="1"/>
      </w:pPr>
      <w:r>
        <w:rPr>
          <w:rFonts w:ascii="Arial" w:hAnsi="Arial" w:eastAsia="Arial"/>
          <w:b/>
          <w:sz w:val="32"/>
        </w:rPr>
        <w:t>2 أطروحة المنتج والحدود</w:t>
      </w:r>
    </w:p>
    <w:p>
      <w:pPr>
        <w:spacing w:after="100"/>
        <w:jc w:val="right"/>
        <w:bidi w:val="1"/>
      </w:pPr>
      <w:r>
        <w:rPr>
          <w:rFonts w:ascii="Arial" w:hAnsi="Arial" w:eastAsia="Arial"/>
          <w:b w:val="0"/>
          <w:sz w:val="20"/>
        </w:rPr>
        <w:t>GlemO هي طبقة حيادية حسب فئة الأصل للسيولة وتوزيع الأصول الواقعية المرمزة. الائتمان العقاري هو أول سوق إثبات لأنه يوفر أصولا وضمانات ووثائق وطلبا تجاريا مفهوما. يجب أن تبقى المنصة قابلة للتوسع إلى الذمم المدينة والائتمان الخاص والبنية التحتية وحصص الصناديق وأصول أخرى معتمدة.</w:t>
      </w:r>
    </w:p>
    <w:p>
      <w:pPr>
        <w:pStyle w:val="Heading1"/>
        <w:jc w:val="right"/>
        <w:bidi w:val="1"/>
      </w:pPr>
      <w:r>
        <w:rPr>
          <w:rFonts w:ascii="Arial" w:hAnsi="Arial" w:eastAsia="Arial"/>
          <w:b/>
          <w:sz w:val="32"/>
        </w:rPr>
        <w:t>3 نطاق MVP1</w:t>
      </w:r>
    </w:p>
    <w:p>
      <w:pPr>
        <w:spacing w:after="100"/>
        <w:jc w:val="right"/>
        <w:bidi w:val="1"/>
      </w:pPr>
      <w:r>
        <w:rPr>
          <w:rFonts w:ascii="Arial" w:hAnsi="Arial" w:eastAsia="Arial"/>
          <w:b w:val="0"/>
          <w:sz w:val="20"/>
        </w:rPr>
        <w:t>يجب أن يقدم MVP1 سوقا عاما، حسابات مشترين، مساحة للبائعين، مصنع أصول، تحقق، موافقة إدارية، طبقة معاملات، SaaS للمؤسسات، عمليات إيرادات، ذكاء اصطناعي concierge، مسارات Ethereum وBase وسجل جاهزية. لا يجب أن يعد بسوق ثانوي مفتوح أو صنع سوق أو حفظ مباشر أو أتمتة امتثال كاملة.</w:t>
      </w:r>
    </w:p>
    <w:p>
      <w:pPr>
        <w:pStyle w:val="Heading1"/>
        <w:jc w:val="right"/>
        <w:bidi w:val="1"/>
      </w:pPr>
      <w:r>
        <w:rPr>
          <w:rFonts w:ascii="Arial" w:hAnsi="Arial" w:eastAsia="Arial"/>
          <w:b/>
          <w:sz w:val="32"/>
        </w:rPr>
        <w:t>4 الممثلون والصلاحيات</w:t>
      </w:r>
    </w:p>
    <w:p>
      <w:pPr>
        <w:spacing w:after="100"/>
        <w:jc w:val="right"/>
        <w:bidi w:val="1"/>
      </w:pPr>
      <w:r>
        <w:rPr>
          <w:rFonts w:ascii="Arial" w:hAnsi="Arial" w:eastAsia="Arial"/>
          <w:b w:val="0"/>
          <w:sz w:val="20"/>
        </w:rPr>
        <w:t>لكل ممثل بيئة خاصة وصلاحيات واضحة وحدود عمل. يجب أن يقاد النظام الإنتاجي بالأدوار وحالات الكائنات، وليس بالشاشات فقط.</w:t>
      </w:r>
    </w:p>
    <w:p>
      <w:pPr>
        <w:pStyle w:val="Heading1"/>
        <w:jc w:val="right"/>
        <w:bidi w:val="1"/>
      </w:pPr>
      <w:r>
        <w:rPr>
          <w:rFonts w:ascii="Arial" w:hAnsi="Arial" w:eastAsia="Arial"/>
          <w:b/>
          <w:sz w:val="32"/>
        </w:rPr>
        <w:t>5 الوحدات الوظيفية</w:t>
      </w:r>
    </w:p>
    <w:p>
      <w:pPr>
        <w:spacing w:after="100"/>
        <w:jc w:val="right"/>
        <w:bidi w:val="1"/>
      </w:pPr>
      <w:r>
        <w:rPr>
          <w:rFonts w:ascii="Arial" w:hAnsi="Arial" w:eastAsia="Arial"/>
          <w:b w:val="0"/>
          <w:sz w:val="20"/>
        </w:rPr>
        <w:t>تمثل الوحدات التالية الملاحم الأولى للتقدير المعماري والباكلوغ.</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c>
          <w:tcPr>
            <w:tcW w:type="dxa" w:w="648"/>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ID</w:t>
            </w:r>
          </w:p>
        </w:tc>
        <w:tc>
          <w:tcPr>
            <w:tcW w:type="dxa" w:w="187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الوحدة</w:t>
            </w:r>
          </w:p>
        </w:tc>
        <w:tc>
          <w:tcPr>
            <w:tcW w:type="dxa" w:w="1152"/>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المرحلة</w:t>
            </w:r>
          </w:p>
        </w:tc>
        <w:tc>
          <w:tcPr>
            <w:tcW w:type="dxa" w:w="194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الشاشات</w:t>
            </w:r>
          </w:p>
        </w:tc>
        <w:tc>
          <w:tcPr>
            <w:tcW w:type="dxa" w:w="4968"/>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المتطلب</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M01</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السوق العام والاكتشاف</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market, assetFactSheet, distributionSaas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فحص عام للأصول المعتمدة والمخاطر والقنوات الرسمية.</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M02</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الانضمام والأهلية</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retailPortal, investorGate, institutionalPortal</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حساب ومحفظة وKYC/KYB وملاءمة واختصاص وقواعد العرض.</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M03</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إدارة البائع</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sellerOrgAdmin, bankOps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كيان وKYB وموقعون وخطة وأدلة وموافقات داخلية.</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M04</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Asset factory</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assetFactory</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إنشاء pools أو أصول فردية مع قواعد ووثائق وعرض وسيولة.</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M05</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المدقق والوثائق</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validatorDesk, documentReview</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مراجعة الأدلة والقضايا المفتوحة والرأي والتوصية.</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M06</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الإدارة والموافقة</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adminDashboard, complianceCases, transactionClearance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إطلاق النشر والمعاملات الحساسة من وضع الانتظار.</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M07</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طبقة المعاملات</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transactionLayer, ledger, reports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سجلات خاصة ومستكشف عام منقح.</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M08</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البطاقة الفنية للأصل</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assetFactSheet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كيانات وتاريخ وضمان ووثائق وأداء وسيولة.</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M09</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Distribution SaaS</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distributionSaas, distributionPartner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خريطة قنوات وتسرب خارجي وحوافز وتحويل وأداء.</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M10</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خطط ودفع المؤسسات</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sellerPlans, enterpriseCheckout</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Free وEnterprise AI مع نموذج وسلة وشهري/سنوي وبطاقة/كريبتو.</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M11</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الفوترة والإيرادات</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billingRevenue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SaaS وإعداد وخدمة ورسوم معاملات وفواتير وتحصيل.</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M12</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الذكاء الاصطناعي والكونسيرج</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aiOps, conciergeDesk</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طلبات وسياسة prompt وتنفيذ وQA بشري وتسليم.</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M13</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المخاطر ومرجع الرمز</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riskEngine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قيمة مرجعية وLTV ودرجة وسيولة وتنبيهات.</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M14</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المسارات والمطابقة</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railPartner, ledger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أحداث Ethereum/Base وحفظ ودفع ومطابقة.</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M15</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السيولة والاستبدال</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beta</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liquidityDesk, replacementQueue</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احتياطيات وطوابير وLMO واستبدال في عروض pool.</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M16</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الوصول والتدقيق</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accessControl, ledger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RBAC وMFA وموافقات حساسة ومسار غير قابل للتغيير.</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M17</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الجاهزية والتنزيلات</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MVP1 core</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operatingReadiness, downloads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حالة الوثائق والمخاطر والمالكين والفجوات.</w:t>
            </w:r>
          </w:p>
        </w:tc>
      </w:tr>
      <w:tr>
        <w:tc>
          <w:tcPr>
            <w:tcW w:type="dxa" w:w="6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M18</w:t>
            </w:r>
          </w:p>
        </w:tc>
        <w:tc>
          <w:tcPr>
            <w:tcW w:type="dxa" w:w="18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منظومة dApp</w:t>
            </w:r>
          </w:p>
        </w:tc>
        <w:tc>
          <w:tcPr>
            <w:tcW w:type="dxa" w:w="115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المرحلة 2</w:t>
            </w:r>
          </w:p>
        </w:tc>
        <w:tc>
          <w:tcPr>
            <w:tcW w:type="dxa" w:w="194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ecosystemBuilder</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إضافات وdApps بعد إثبات حلقة السيولة.</w:t>
            </w:r>
          </w:p>
        </w:tc>
      </w:tr>
    </w:tbl>
    <w:p/>
    <w:p>
      <w:pPr>
        <w:pStyle w:val="Heading1"/>
        <w:jc w:val="right"/>
        <w:bidi w:val="1"/>
      </w:pPr>
      <w:r>
        <w:rPr>
          <w:rFonts w:ascii="Arial" w:hAnsi="Arial" w:eastAsia="Arial"/>
          <w:b/>
          <w:sz w:val="32"/>
        </w:rPr>
        <w:t>6 الرحلات الحرجة</w:t>
      </w:r>
    </w:p>
    <w:p>
      <w:pPr>
        <w:spacing w:after="100"/>
        <w:jc w:val="right"/>
        <w:bidi w:val="1"/>
      </w:pPr>
      <w:r>
        <w:rPr>
          <w:rFonts w:ascii="Arial" w:hAnsi="Arial" w:eastAsia="Arial"/>
          <w:b w:val="0"/>
          <w:sz w:val="20"/>
        </w:rPr>
        <w:t>يجب اختبار الرحلات من البداية إلى النهاية قبل الإطلاق، بما في ذلك حالات الخطأ والانتظار والرفض.</w:t>
      </w:r>
    </w:p>
    <w:p>
      <w:pPr>
        <w:pStyle w:val="Heading1"/>
        <w:jc w:val="right"/>
        <w:bidi w:val="1"/>
      </w:pPr>
      <w:r>
        <w:rPr>
          <w:rFonts w:ascii="Arial" w:hAnsi="Arial" w:eastAsia="Arial"/>
          <w:b/>
          <w:sz w:val="32"/>
        </w:rPr>
        <w:t>7 نموذج البيانات الأساسي</w:t>
      </w:r>
    </w:p>
    <w:p>
      <w:pPr>
        <w:spacing w:after="100"/>
        <w:jc w:val="right"/>
        <w:bidi w:val="1"/>
      </w:pPr>
      <w:r>
        <w:rPr>
          <w:rFonts w:ascii="Arial" w:hAnsi="Arial" w:eastAsia="Arial"/>
          <w:b w:val="0"/>
          <w:sz w:val="20"/>
        </w:rPr>
        <w:t>يجب أن يكون Offering هو الكائن المركزي. يسمح بعروض مجمعة أو أصول مرمزة مستقلة من دون إجبار كل المنتجات على بنية واحدة.</w:t>
      </w:r>
    </w:p>
    <w:p>
      <w:pPr>
        <w:pStyle w:val="Heading1"/>
        <w:jc w:val="right"/>
        <w:bidi w:val="1"/>
      </w:pPr>
      <w:r>
        <w:rPr>
          <w:rFonts w:ascii="Arial" w:hAnsi="Arial" w:eastAsia="Arial"/>
          <w:b/>
          <w:sz w:val="32"/>
        </w:rPr>
        <w:t>8 الخدمات وواجهات API</w:t>
      </w:r>
    </w:p>
    <w:p>
      <w:pPr>
        <w:spacing w:after="100"/>
        <w:jc w:val="right"/>
        <w:bidi w:val="1"/>
      </w:pPr>
      <w:r>
        <w:rPr>
          <w:rFonts w:ascii="Arial" w:hAnsi="Arial" w:eastAsia="Arial"/>
          <w:b w:val="0"/>
          <w:sz w:val="20"/>
        </w:rPr>
        <w:t>حتى إذا تم تسليم MVP1 كمنظومة واحدة معيارية، يجب أن توجه حدود الخدمات المسارات والمستودعات والصلاحيات والفصل المستقبلي.</w:t>
      </w:r>
    </w:p>
    <w:p>
      <w:pPr>
        <w:pStyle w:val="Heading1"/>
        <w:jc w:val="right"/>
        <w:bidi w:val="1"/>
      </w:pPr>
      <w:r>
        <w:rPr>
          <w:rFonts w:ascii="Arial" w:hAnsi="Arial" w:eastAsia="Arial"/>
          <w:b/>
          <w:sz w:val="32"/>
        </w:rPr>
        <w:t>9 البلوكشين والمسارات</w:t>
      </w:r>
    </w:p>
    <w:p>
      <w:pPr>
        <w:spacing w:after="100"/>
        <w:jc w:val="right"/>
        <w:bidi w:val="1"/>
      </w:pPr>
      <w:r>
        <w:rPr>
          <w:rFonts w:ascii="Arial" w:hAnsi="Arial" w:eastAsia="Arial"/>
          <w:b w:val="0"/>
          <w:sz w:val="20"/>
        </w:rPr>
        <w:t>يجب أن تكون Ethereum وBase المسارات الأولية المتوافقة مع EVM. تمنح Ethereum مصداقية مؤسسية وتمنح Base تكلفة أقل ووصولا للمطورين. تبقى مسارات الشركاء ضرورية للحفظ والمدفوعات والمطابقة.</w:t>
      </w:r>
    </w:p>
    <w:p>
      <w:pPr>
        <w:pStyle w:val="Heading1"/>
        <w:jc w:val="right"/>
        <w:bidi w:val="1"/>
      </w:pPr>
      <w:r>
        <w:rPr>
          <w:rFonts w:ascii="Arial" w:hAnsi="Arial" w:eastAsia="Arial"/>
          <w:b/>
          <w:sz w:val="32"/>
        </w:rPr>
        <w:t>10 الامتثال والضوابط التشغيلية</w:t>
      </w:r>
    </w:p>
    <w:p>
      <w:pPr>
        <w:spacing w:after="100"/>
        <w:jc w:val="right"/>
        <w:bidi w:val="1"/>
      </w:pPr>
      <w:r>
        <w:rPr>
          <w:rFonts w:ascii="Arial" w:hAnsi="Arial" w:eastAsia="Arial"/>
          <w:b w:val="0"/>
          <w:sz w:val="20"/>
        </w:rPr>
        <w:t>كل نشر أصل يتطلب موافقة البائع وحزمة أدلة ومراجعة المدقق وإطلاق الإدارة. المعاملات الحساسة تدخل حالة انتظار حتى موافقة الإدارة في MVP1.</w:t>
      </w:r>
    </w:p>
    <w:p>
      <w:pPr>
        <w:pStyle w:val="Heading1"/>
        <w:jc w:val="right"/>
        <w:bidi w:val="1"/>
      </w:pPr>
      <w:r>
        <w:rPr>
          <w:rFonts w:ascii="Arial" w:hAnsi="Arial" w:eastAsia="Arial"/>
          <w:b/>
          <w:sz w:val="32"/>
        </w:rPr>
        <w:t>11 متطلبات الذكاء الاصطناعي</w:t>
      </w:r>
    </w:p>
    <w:p>
      <w:pPr>
        <w:spacing w:after="100"/>
        <w:jc w:val="right"/>
        <w:bidi w:val="1"/>
      </w:pPr>
      <w:r>
        <w:rPr>
          <w:rFonts w:ascii="Arial" w:hAnsi="Arial" w:eastAsia="Arial"/>
          <w:b w:val="0"/>
          <w:sz w:val="20"/>
        </w:rPr>
        <w:t>يجب أن يعمل الذكاء الاصطناعي كخدمة مؤسسية محكومة: طلب العميل، prompt داخلي منظم، حدود بيانات، تشغيل وكيل، مراجعة بشرية وتسليم قابل للتدقيق.</w:t>
      </w:r>
    </w:p>
    <w:p>
      <w:pPr>
        <w:pStyle w:val="Heading1"/>
        <w:jc w:val="right"/>
        <w:bidi w:val="1"/>
      </w:pPr>
      <w:r>
        <w:rPr>
          <w:rFonts w:ascii="Arial" w:hAnsi="Arial" w:eastAsia="Arial"/>
          <w:b/>
          <w:sz w:val="32"/>
        </w:rPr>
        <w:t>12 المتطلبات غير الوظيفية</w:t>
      </w:r>
    </w:p>
    <w:p>
      <w:pPr>
        <w:spacing w:after="100"/>
        <w:jc w:val="right"/>
        <w:bidi w:val="1"/>
      </w:pPr>
      <w:r>
        <w:rPr>
          <w:rFonts w:ascii="Arial" w:hAnsi="Arial" w:eastAsia="Arial"/>
          <w:b w:val="0"/>
          <w:sz w:val="20"/>
        </w:rPr>
        <w:t>الأمان والخصوصية والتدقيق والتوافر والمراقبة والتدويل والأداء وإمكانية الوصول هي متطلبات منتج، وليست تفاصيل ثانوية.</w:t>
      </w:r>
    </w:p>
    <w:p>
      <w:pPr>
        <w:pStyle w:val="Heading1"/>
        <w:jc w:val="right"/>
        <w:bidi w:val="1"/>
      </w:pPr>
      <w:r>
        <w:rPr>
          <w:rFonts w:ascii="Arial" w:hAnsi="Arial" w:eastAsia="Arial"/>
          <w:b/>
          <w:sz w:val="32"/>
        </w:rPr>
        <w:t>13 باكلوغ تسليم MVP</w:t>
      </w:r>
    </w:p>
    <w:p>
      <w:pPr>
        <w:spacing w:after="100"/>
        <w:jc w:val="right"/>
        <w:bidi w:val="1"/>
      </w:pPr>
      <w:r>
        <w:rPr>
          <w:rFonts w:ascii="Arial" w:hAnsi="Arial" w:eastAsia="Arial"/>
          <w:b w:val="0"/>
          <w:sz w:val="20"/>
        </w:rPr>
        <w:t>يبدأ التسليم بالأساس التقني ثم السوق، الانضمام، البائع، التحقق، المعاملات، الإيرادات، الذكاء الاصطناعي، المسارات والتقوية.</w:t>
      </w:r>
    </w:p>
    <w:tbl>
      <w:tblPr>
        <w:tblStyle w:val="TableGrid"/>
        <w:tblW w:type="auto" w:w="0"/>
        <w:jc w:val="center"/>
        <w:tblLayout w:type="fixed"/>
        <w:tblLook w:firstColumn="1" w:firstRow="1" w:lastColumn="0" w:lastRow="0" w:noHBand="0" w:noVBand="1" w:val="04A0"/>
      </w:tblPr>
      <w:tblGrid>
        <w:gridCol w:w="3456"/>
        <w:gridCol w:w="3456"/>
        <w:gridCol w:w="3456"/>
      </w:tblGrid>
      <w:tr>
        <w:tc>
          <w:tcPr>
            <w:tcW w:type="dxa" w:w="158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المرحلة</w:t>
            </w:r>
          </w:p>
        </w:tc>
        <w:tc>
          <w:tcPr>
            <w:tcW w:type="dxa" w:w="2520"/>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الهدف</w:t>
            </w:r>
          </w:p>
        </w:tc>
        <w:tc>
          <w:tcPr>
            <w:tcW w:type="dxa" w:w="6696"/>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المخرجات</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Sprint 0</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الأساس التقني</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المستودع ونظام التصميم والمصادقة والمسارات والمخطط وCI/CD وstaging.</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Sprint 1</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السوق</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واجهة عامة وأصل ومخاطر وقنوات وبيانات seed.</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Sprint 2</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الانضمام</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دخول وملف وwallets وKYC/suitability وبوابات.</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Sprint 3</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البائع ومصنع الأصول</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منظمة وموقعون وخطة ومسودة ووثائق.</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Sprint 4</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المدقق والإدارة</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مكتب المدقق والمراجعة والحالة وقضايا الامتثال.</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Sprint 5</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المعاملات</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سجلات خاصة وانتظار ومستكشف عام وledger.</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Sprint 6</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الإيرادات وSaaS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خطط ودفع وفواتير ولوحة فوترة.</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Sprint 7</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الذكاء الاصطناعي والتقارير</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تدفق IA وسياسة وتسليم وتصدير.</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Sprint 8</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المسارات</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أحداث Ethereum/Base وشركاء ومطابقة.</w:t>
            </w:r>
          </w:p>
        </w:tc>
      </w:tr>
      <w:t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Sprint 9</w:t>
            </w:r>
          </w:p>
        </w:tc>
        <w:tc>
          <w:tcPr>
            <w:tcW w:type="dxa" w:w="25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التقوية</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صلاحيات وmobile QA وترجمات وتدقيق وقائمة تحقق.</w:t>
            </w:r>
          </w:p>
        </w:tc>
      </w:tr>
    </w:tbl>
    <w:p/>
    <w:p>
      <w:pPr>
        <w:pStyle w:val="Heading1"/>
        <w:jc w:val="right"/>
        <w:bidi w:val="1"/>
      </w:pPr>
      <w:r>
        <w:rPr>
          <w:rFonts w:ascii="Arial" w:hAnsi="Arial" w:eastAsia="Arial"/>
          <w:b/>
          <w:sz w:val="32"/>
        </w:rPr>
        <w:t>14 معايير القبول</w:t>
      </w:r>
    </w:p>
    <w:p>
      <w:pPr>
        <w:spacing w:after="100"/>
        <w:jc w:val="right"/>
        <w:bidi w:val="1"/>
      </w:pPr>
      <w:r>
        <w:rPr>
          <w:rFonts w:ascii="Arial" w:hAnsi="Arial" w:eastAsia="Arial"/>
          <w:b w:val="0"/>
          <w:sz w:val="20"/>
        </w:rPr>
        <w:t>لا تعد الوحدة جاهزة إلا عندما تشمل المسار الطبيعي، مسار الخطأ، الصلاحيات، التدقيق، الاستجابة على الهاتف والأدلة القابلة للتصدير عند الحاجة.</w:t>
      </w:r>
    </w:p>
    <w:tbl>
      <w:tblPr>
        <w:tblStyle w:val="TableGrid"/>
        <w:tblW w:type="auto" w:w="0"/>
        <w:jc w:val="center"/>
        <w:tblLayout w:type="fixed"/>
        <w:tblLook w:firstColumn="1" w:firstRow="1" w:lastColumn="0" w:lastRow="0" w:noHBand="0" w:noVBand="1" w:val="04A0"/>
      </w:tblPr>
      <w:tblGrid>
        <w:gridCol w:w="5184"/>
        <w:gridCol w:w="5184"/>
      </w:tblGrid>
      <w:tr>
        <w:tc>
          <w:tcPr>
            <w:tcW w:type="dxa" w:w="936"/>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ID</w:t>
            </w:r>
          </w:p>
        </w:tc>
        <w:tc>
          <w:tcPr>
            <w:tcW w:type="dxa" w:w="9864"/>
            <w:shd w:fill="1F3A5F"/>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color w:val="FFFFFF"/>
                <w:sz w:val="17"/>
              </w:rPr>
              <w:t>معيار القبول</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A01</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يشاهد الزائر الأصل المعتمد والمخاطر والكيانات والقنوات الرسمية دون تسجيل دخول.</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A02</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مشتري التجزئة ينشئ حسابا ويربط wallet ويرى الأفعال المؤهلة فقط.</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A03</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المؤسسة تدير التفويض والعناية وطلبات أكبر.</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A04</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البائع يقدم الكيان والموقعين والخطة والأصل كمسودة.</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A05</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البائع ينشئ pool أو أصل فردي دون إلزامية pool.</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A06</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المدقق يراجع الأدلة ويعلم المشاكل ويصدر رأيا.</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A07</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الإدارة توافق أو ترفض أو تضع النشر/المعاملة في الانتظار مع سبب.</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A08</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المعاملات الخاصة تبقى حسب الممثل؛ المستكشف العام يعرض حدثا منقحا.</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A09</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طلب المؤسسة يلتقط الشركة والنطاق والدورة وطريقة الدفع والحالة.</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A10</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الفوترة تعرض SaaS والإعداد والخدمة والرسوم والفواتير والتحصيل.</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A11</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الذكاء الاصطناعي يسجل النطاق وإصدار prompt والتنفيذ وQA والتسليم.</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A12</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المسارات تعرض Ethereum/Base والشريك والحالة والاستثناءات.</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A13</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كل تغيير حساس يولد حدث تدقيق قابل للتصدير.</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A14</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6F8FB"/>
          </w:tcPr>
          <w:p>
            <w:pPr>
              <w:jc w:val="right"/>
              <w:bidi w:val="1"/>
            </w:pPr>
            <w:r/>
            <w:r>
              <w:rPr>
                <w:rFonts w:ascii="Arial" w:hAnsi="Arial" w:eastAsia="Arial"/>
                <w:b w:val="0"/>
                <w:sz w:val="17"/>
              </w:rPr>
              <w:t>الموبايل يسمح بالتقدم والرجوع دون حبس المستخدم.</w:t>
            </w:r>
          </w:p>
        </w:tc>
      </w:tr>
      <w:tr>
        <w:tc>
          <w:tcPr>
            <w:tcW w:type="dxa" w:w="93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A15</w:t>
            </w:r>
          </w:p>
        </w:tc>
        <w:tc>
          <w:tcPr>
            <w:tcW w:type="dxa" w:w="986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right"/>
              <w:bidi w:val="1"/>
            </w:pPr>
            <w:r/>
            <w:r>
              <w:rPr>
                <w:rFonts w:ascii="Arial" w:hAnsi="Arial" w:eastAsia="Arial"/>
                <w:b w:val="0"/>
                <w:sz w:val="17"/>
              </w:rPr>
              <w:t>تقرير الجاهزية يعرض الوثائق الناقصة والمخاطر والمالكين.</w:t>
            </w:r>
          </w:p>
        </w:tc>
      </w:tr>
    </w:tbl>
    <w:p/>
    <w:p>
      <w:pPr>
        <w:pStyle w:val="Heading1"/>
        <w:jc w:val="right"/>
        <w:bidi w:val="1"/>
      </w:pPr>
      <w:r>
        <w:rPr>
          <w:rFonts w:ascii="Arial" w:hAnsi="Arial" w:eastAsia="Arial"/>
          <w:b/>
          <w:sz w:val="32"/>
        </w:rPr>
        <w:t>15 القرارات المفتوحة</w:t>
      </w:r>
    </w:p>
    <w:p>
      <w:pPr>
        <w:spacing w:after="100"/>
        <w:jc w:val="right"/>
        <w:bidi w:val="1"/>
      </w:pPr>
      <w:r>
        <w:rPr>
          <w:rFonts w:ascii="Arial" w:hAnsi="Arial" w:eastAsia="Arial"/>
          <w:b w:val="0"/>
          <w:sz w:val="20"/>
        </w:rPr>
        <w:t>قبل الإنتاج يجب تحديد النطاق القضائي، الشركاء المنظمين، نموذج الحفظ، أساس رسوم المعاملات، دور الرمز، حدود الذكاء الاصطناعي، تفاصيل المستكشف العام وسياسة السيولة الثانوية.</w:t>
      </w:r>
    </w:p>
    <w:p>
      <w:pPr>
        <w:pStyle w:val="Heading1"/>
        <w:jc w:val="right"/>
        <w:bidi w:val="1"/>
      </w:pPr>
      <w:r>
        <w:rPr>
          <w:rFonts w:ascii="Arial" w:hAnsi="Arial" w:eastAsia="Arial"/>
          <w:b/>
          <w:sz w:val="32"/>
        </w:rPr>
        <w:t>16 الهندسة المقترحة</w:t>
      </w:r>
    </w:p>
    <w:p>
      <w:pPr>
        <w:spacing w:after="100"/>
        <w:jc w:val="right"/>
        <w:bidi w:val="1"/>
      </w:pPr>
      <w:r>
        <w:rPr>
          <w:rFonts w:ascii="Arial" w:hAnsi="Arial" w:eastAsia="Arial"/>
          <w:b w:val="0"/>
          <w:sz w:val="20"/>
        </w:rPr>
        <w:t>الهندسة المقترحة هي تطبيق ويب معياري بواجهة متجاوبة وAPI وقاعدة بيانات علائقية وتخزين وثائق مشفر وطابور مهام وسجل تدقيق وKYC/KYB خارجي ومدفوعات وwallet connect ومحولات مسارات شركاء.</w:t>
      </w:r>
    </w:p>
    <w:p>
      <w:pPr>
        <w:pStyle w:val="Heading1"/>
        <w:jc w:val="right"/>
        <w:bidi w:val="1"/>
      </w:pPr>
      <w:r>
        <w:rPr>
          <w:rFonts w:ascii="Arial" w:hAnsi="Arial" w:eastAsia="Arial"/>
          <w:b/>
          <w:sz w:val="32"/>
        </w:rPr>
        <w:t>17 ملاحظات للمطورين</w:t>
      </w:r>
    </w:p>
    <w:p>
      <w:pPr>
        <w:spacing w:after="100"/>
        <w:jc w:val="right"/>
        <w:bidi w:val="1"/>
      </w:pPr>
      <w:r>
        <w:rPr>
          <w:rFonts w:ascii="Arial" w:hAnsi="Arial" w:eastAsia="Arial"/>
          <w:b w:val="0"/>
          <w:sz w:val="20"/>
        </w:rPr>
        <w:t>ابدأ بنموذج المجال ومصفوفة الصلاحيات. افصل دورة حياة Offering عن Transaction. اعتبر المراجعة اليدوية وظيفة أساسية لها مالك وحالة وسجل تدقيق.</w:t>
      </w:r>
    </w:p>
    <w:p>
      <w:pPr>
        <w:pStyle w:val="Heading1"/>
        <w:jc w:val="right"/>
        <w:bidi w:val="1"/>
      </w:pPr>
      <w:r>
        <w:rPr>
          <w:rFonts w:ascii="Arial" w:hAnsi="Arial" w:eastAsia="Arial"/>
          <w:b/>
          <w:sz w:val="32"/>
        </w:rPr>
        <w:t>18 تعريف الجاهزية</w:t>
      </w:r>
    </w:p>
    <w:p>
      <w:pPr>
        <w:spacing w:after="100"/>
        <w:jc w:val="right"/>
        <w:bidi w:val="1"/>
      </w:pPr>
      <w:r>
        <w:rPr>
          <w:rFonts w:ascii="Arial" w:hAnsi="Arial" w:eastAsia="Arial"/>
          <w:b w:val="0"/>
          <w:sz w:val="20"/>
        </w:rPr>
        <w:t>تكون الميزة جاهزة للبدء عندما يكون الممثل والكائن والصلاحية والحالة ومعيار القبول والاعتماد واضحين. وتكون جاهزة للإطلاق عندما تكتمل الاختبارات والتدقيق وحالات الفراغ والخطأ والتحميل والترجمة والموبايل.</w:t>
      </w:r>
    </w:p>
    <w:p>
      <w:pPr>
        <w:pStyle w:val="Heading1"/>
        <w:jc w:val="right"/>
        <w:bidi w:val="1"/>
      </w:pPr>
      <w:r>
        <w:rPr>
          <w:rFonts w:ascii="Arial" w:hAnsi="Arial" w:eastAsia="Arial"/>
          <w:b/>
          <w:sz w:val="32"/>
        </w:rPr>
        <w:t>19 خريطة الشاشات الحالية</w:t>
      </w:r>
    </w:p>
    <w:p>
      <w:pPr>
        <w:spacing w:after="100"/>
        <w:jc w:val="right"/>
        <w:bidi w:val="1"/>
      </w:pPr>
      <w:r>
        <w:rPr>
          <w:rFonts w:ascii="Arial" w:hAnsi="Arial" w:eastAsia="Arial"/>
          <w:b w:val="0"/>
          <w:sz w:val="20"/>
        </w:rPr>
        <w:t>يضم النموذج 36 شاشة رئيسية بالإضافة إلى اختصارات توثيق. يجب أن تقلل النسخة الإنتاجية التعقيد البصري حسب الدور من دون فقدان التغطية التشغيلية.</w:t>
      </w:r>
    </w:p>
    <w:sectPr w:rsidR="00FC693F" w:rsidRPr="0006063C" w:rsidSect="00034616">
      <w:footerReference w:type="default" r:id="rId9"/>
      <w:head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bidi w:val="1"/>
    </w:pPr>
    <w:r>
      <w:rPr>
        <w:rFonts w:ascii="Arial" w:hAnsi="Arial" w:eastAsia="Arial"/>
        <w:b w:val="0"/>
        <w:color w:val="6B7280"/>
        <w:sz w:val="16"/>
      </w:rPr>
      <w:t>متطلبات منتج GlemO - سري - سبتمبر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eastAsia="Arial"/>
        <w:b w:val="0"/>
        <w:color w:val="6B7280"/>
        <w:sz w:val="16"/>
      </w:rPr>
      <w:t>متطلبات GlemO MVP1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HeaderChar">
    <w:name w:val="Header Char"/>
    <w:basedOn w:val="DefaultParagraphFont"/>
    <w:link w:val="Header"/>
    <w:uiPriority w:val="99"/>
    <w:rsid w:val="00E618BF"/>
    <w:rPr>
      <w:rFonts w:ascii="Arial" w:hAnsi="Arial" w:eastAsia="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rPr>
  </w:style>
  <w:style w:type="character" w:customStyle="1" w:styleId="FooterChar">
    <w:name w:val="Footer Char"/>
    <w:basedOn w:val="DefaultParagraphFont"/>
    <w:link w:val="Footer"/>
    <w:uiPriority w:val="99"/>
    <w:rsid w:val="00E618BF"/>
    <w:rPr>
      <w:rFonts w:ascii="Arial" w:hAnsi="Arial" w:eastAsia="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rPr>
  </w:style>
  <w:style w:type="table" w:default="1" w:styleId="TableNormal">
    <w:name w:val="Normal Table"/>
    <w:uiPriority w:val="99"/>
    <w:semiHidden/>
    <w:unhideWhenUsed/>
    <w:rPr>
      <w:rFonts w:ascii="Arial" w:hAnsi="Arial" w:eastAsia="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rPr>
  </w:style>
  <w:style w:type="paragraph" w:styleId="BodyText">
    <w:name w:val="Body Text"/>
    <w:basedOn w:val="Normal"/>
    <w:link w:val="BodyTextChar"/>
    <w:uiPriority w:val="99"/>
    <w:unhideWhenUsed/>
    <w:rsid w:val="00AA1D8D"/>
    <w:pPr>
      <w:spacing w:after="120"/>
    </w:pPr>
    <w:rPr>
      <w:rFonts w:ascii="Arial" w:hAnsi="Arial" w:eastAsia="Arial"/>
    </w:rPr>
  </w:style>
  <w:style w:type="character" w:customStyle="1" w:styleId="BodyTextChar">
    <w:name w:val="Body Text Char"/>
    <w:basedOn w:val="DefaultParagraphFont"/>
    <w:link w:val="BodyText"/>
    <w:uiPriority w:val="99"/>
    <w:rsid w:val="00AA1D8D"/>
    <w:rPr>
      <w:rFonts w:ascii="Arial" w:hAnsi="Arial" w:eastAsia="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rPr>
  </w:style>
  <w:style w:type="character" w:customStyle="1" w:styleId="BodyText2Char">
    <w:name w:val="Body Text 2 Char"/>
    <w:basedOn w:val="DefaultParagraphFont"/>
    <w:link w:val="BodyText2"/>
    <w:uiPriority w:val="99"/>
    <w:rsid w:val="00AA1D8D"/>
    <w:rPr>
      <w:rFonts w:ascii="Arial" w:hAnsi="Arial" w:eastAsia="Arial"/>
    </w:rPr>
  </w:style>
  <w:style w:type="paragraph" w:styleId="BodyText3">
    <w:name w:val="Body Text 3"/>
    <w:basedOn w:val="Normal"/>
    <w:link w:val="BodyText3Char"/>
    <w:uiPriority w:val="99"/>
    <w:unhideWhenUsed/>
    <w:rsid w:val="00AA1D8D"/>
    <w:pPr>
      <w:spacing w:after="120"/>
    </w:pPr>
    <w:rPr>
      <w:rFonts w:ascii="Arial" w:hAnsi="Arial" w:eastAsia="Arial"/>
      <w:sz w:val="16"/>
      <w:szCs w:val="16"/>
    </w:rPr>
  </w:style>
  <w:style w:type="character" w:customStyle="1" w:styleId="BodyText3Char">
    <w:name w:val="Body Text 3 Char"/>
    <w:basedOn w:val="DefaultParagraphFont"/>
    <w:link w:val="BodyText3"/>
    <w:uiPriority w:val="99"/>
    <w:rsid w:val="00AA1D8D"/>
    <w:rPr>
      <w:rFonts w:ascii="Arial" w:hAnsi="Arial" w:eastAsia="Arial"/>
      <w:sz w:val="16"/>
      <w:szCs w:val="16"/>
    </w:rPr>
  </w:style>
  <w:style w:type="paragraph" w:styleId="List">
    <w:name w:val="List"/>
    <w:basedOn w:val="Normal"/>
    <w:uiPriority w:val="99"/>
    <w:unhideWhenUsed/>
    <w:rsid w:val="00AA1D8D"/>
    <w:pPr>
      <w:ind w:left="360" w:hanging="360"/>
      <w:contextualSpacing/>
    </w:pPr>
    <w:rPr>
      <w:rFonts w:ascii="Arial" w:hAnsi="Arial" w:eastAsia="Arial"/>
    </w:rPr>
  </w:style>
  <w:style w:type="paragraph" w:styleId="List2">
    <w:name w:val="List 2"/>
    <w:basedOn w:val="Normal"/>
    <w:uiPriority w:val="99"/>
    <w:unhideWhenUsed/>
    <w:rsid w:val="00326F90"/>
    <w:pPr>
      <w:ind w:left="720" w:hanging="360"/>
      <w:contextualSpacing/>
    </w:pPr>
    <w:rPr>
      <w:rFonts w:ascii="Arial" w:hAnsi="Arial" w:eastAsia="Arial"/>
    </w:rPr>
  </w:style>
  <w:style w:type="paragraph" w:styleId="List3">
    <w:name w:val="List 3"/>
    <w:basedOn w:val="Normal"/>
    <w:uiPriority w:val="99"/>
    <w:unhideWhenUsed/>
    <w:rsid w:val="00326F90"/>
    <w:pPr>
      <w:ind w:left="1080" w:hanging="360"/>
      <w:contextualSpacing/>
    </w:pPr>
    <w:rPr>
      <w:rFonts w:ascii="Arial" w:hAnsi="Arial" w:eastAsia="Arial"/>
    </w:r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rPr>
      <w:rFonts w:ascii="Arial" w:hAnsi="Arial" w:eastAsia="Arial"/>
    </w:rPr>
  </w:style>
  <w:style w:type="paragraph" w:styleId="ListBullet3">
    <w:name w:val="List Bullet 3"/>
    <w:basedOn w:val="Normal"/>
    <w:uiPriority w:val="99"/>
    <w:unhideWhenUsed/>
    <w:rsid w:val="00326F90"/>
    <w:pPr>
      <w:numPr>
        <w:numId w:val="3"/>
      </w:numPr>
      <w:contextualSpacing/>
    </w:pPr>
    <w:rPr>
      <w:rFonts w:ascii="Arial" w:hAnsi="Arial" w:eastAsia="Arial"/>
    </w:rPr>
  </w:style>
  <w:style w:type="paragraph" w:styleId="ListNumber">
    <w:name w:val="List Number"/>
    <w:basedOn w:val="Normal"/>
    <w:uiPriority w:val="99"/>
    <w:unhideWhenUsed/>
    <w:rsid w:val="00326F90"/>
    <w:pPr>
      <w:numPr>
        <w:numId w:val="5"/>
      </w:numPr>
      <w:contextualSpacing/>
    </w:pPr>
    <w:rPr>
      <w:rFonts w:ascii="Arial" w:hAnsi="Arial" w:eastAsia="Arial"/>
    </w:rPr>
  </w:style>
  <w:style w:type="paragraph" w:styleId="ListNumber2">
    <w:name w:val="List Number 2"/>
    <w:basedOn w:val="Normal"/>
    <w:uiPriority w:val="99"/>
    <w:unhideWhenUsed/>
    <w:rsid w:val="0029639D"/>
    <w:pPr>
      <w:numPr>
        <w:numId w:val="6"/>
      </w:numPr>
      <w:contextualSpacing/>
    </w:pPr>
    <w:rPr>
      <w:rFonts w:ascii="Arial" w:hAnsi="Arial" w:eastAsia="Arial"/>
    </w:rPr>
  </w:style>
  <w:style w:type="paragraph" w:styleId="ListNumber3">
    <w:name w:val="List Number 3"/>
    <w:basedOn w:val="Normal"/>
    <w:uiPriority w:val="99"/>
    <w:unhideWhenUsed/>
    <w:rsid w:val="0029639D"/>
    <w:pPr>
      <w:numPr>
        <w:numId w:val="7"/>
      </w:numPr>
      <w:contextualSpacing/>
    </w:pPr>
    <w:rPr>
      <w:rFonts w:ascii="Arial" w:hAnsi="Arial" w:eastAsia="Arial"/>
    </w:rPr>
  </w:style>
  <w:style w:type="paragraph" w:styleId="ListContinue">
    <w:name w:val="List Continue"/>
    <w:basedOn w:val="Normal"/>
    <w:uiPriority w:val="99"/>
    <w:unhideWhenUsed/>
    <w:rsid w:val="0029639D"/>
    <w:pPr>
      <w:spacing w:after="120"/>
      <w:ind w:left="360"/>
      <w:contextualSpacing/>
    </w:pPr>
    <w:rPr>
      <w:rFonts w:ascii="Arial" w:hAnsi="Arial" w:eastAsia="Arial"/>
    </w:rPr>
  </w:style>
  <w:style w:type="paragraph" w:styleId="ListContinue2">
    <w:name w:val="List Continue 2"/>
    <w:basedOn w:val="Normal"/>
    <w:uiPriority w:val="99"/>
    <w:unhideWhenUsed/>
    <w:rsid w:val="0029639D"/>
    <w:pPr>
      <w:spacing w:after="120"/>
      <w:ind w:left="720"/>
      <w:contextualSpacing/>
    </w:pPr>
    <w:rPr>
      <w:rFonts w:ascii="Arial" w:hAnsi="Arial" w:eastAsia="Arial"/>
    </w:rPr>
  </w:style>
  <w:style w:type="paragraph" w:styleId="ListContinue3">
    <w:name w:val="List Continue 3"/>
    <w:basedOn w:val="Normal"/>
    <w:uiPriority w:val="99"/>
    <w:unhideWhenUsed/>
    <w:rsid w:val="0029639D"/>
    <w:pPr>
      <w:spacing w:after="120"/>
      <w:ind w:left="1080"/>
      <w:contextualSpacing/>
    </w:pPr>
    <w:rPr>
      <w:rFonts w:ascii="Arial" w:hAnsi="Arial" w:eastAsia="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customStyle="1" w:styleId="MacroTextChar">
    <w:name w:val="Macro Text Char"/>
    <w:basedOn w:val="DefaultParagraphFont"/>
    <w:link w:val="MacroText"/>
    <w:uiPriority w:val="99"/>
    <w:rsid w:val="0029639D"/>
    <w:rPr>
      <w:rFonts w:ascii="Arial" w:hAnsi="Arial" w:eastAsia="Arial"/>
      <w:sz w:val="20"/>
      <w:szCs w:val="20"/>
    </w:rPr>
  </w:style>
  <w:style w:type="paragraph" w:styleId="Quote">
    <w:name w:val="Quote"/>
    <w:basedOn w:val="Normal"/>
    <w:next w:val="Normal"/>
    <w:link w:val="QuoteChar"/>
    <w:uiPriority w:val="29"/>
    <w:qFormat/>
    <w:rsid w:val="00FC693F"/>
    <w:rPr>
      <w:rFonts w:ascii="Arial" w:hAnsi="Arial" w:eastAsia="Arial"/>
      <w:i/>
      <w:iCs/>
      <w:color w:val="000000" w:themeColor="text1"/>
    </w:rPr>
  </w:style>
  <w:style w:type="character" w:customStyle="1" w:styleId="QuoteChar">
    <w:name w:val="Quote Char"/>
    <w:basedOn w:val="DefaultParagraphFont"/>
    <w:link w:val="Quote"/>
    <w:uiPriority w:val="29"/>
    <w:rsid w:val="00FC693F"/>
    <w:rPr>
      <w:rFonts w:ascii="Arial" w:hAnsi="Arial" w:eastAsia="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sid w:val="00FC693F"/>
    <w:rPr>
      <w:rFonts w:ascii="Arial" w:hAnsi="Arial" w:eastAsia="Arial"/>
      <w:b/>
      <w:bCs/>
    </w:rPr>
  </w:style>
  <w:style w:type="character" w:styleId="Emphasis">
    <w:name w:val="Emphasis"/>
    <w:basedOn w:val="DefaultParagraphFont"/>
    <w:uiPriority w:val="20"/>
    <w:qFormat/>
    <w:rsid w:val="00FC693F"/>
    <w:rPr>
      <w:rFonts w:ascii="Arial" w:hAnsi="Arial" w:eastAsia="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eastAsia="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b/>
      <w:bCs/>
      <w:i/>
      <w:iCs/>
      <w:color w:val="4F81BD" w:themeColor="accent1"/>
    </w:rPr>
  </w:style>
  <w:style w:type="character" w:styleId="SubtleEmphasis">
    <w:name w:val="Subtle Emphasis"/>
    <w:basedOn w:val="DefaultParagraphFont"/>
    <w:uiPriority w:val="19"/>
    <w:qFormat/>
    <w:rsid w:val="00FC693F"/>
    <w:rPr>
      <w:rFonts w:ascii="Arial" w:hAnsi="Arial" w:eastAsia="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b/>
      <w:bCs/>
      <w:i/>
      <w:iCs/>
      <w:color w:val="4F81BD" w:themeColor="accent1"/>
    </w:rPr>
  </w:style>
  <w:style w:type="character" w:styleId="SubtleReference">
    <w:name w:val="Subtle Reference"/>
    <w:basedOn w:val="DefaultParagraphFont"/>
    <w:uiPriority w:val="31"/>
    <w:qFormat/>
    <w:rsid w:val="00FC693F"/>
    <w:rPr>
      <w:rFonts w:ascii="Arial" w:hAnsi="Arial" w:eastAsia="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rPr>
  </w:style>
  <w:style w:type="table" w:styleId="TableGrid">
    <w:name w:val="Table Grid"/>
    <w:basedOn w:val="TableNormal"/>
    <w:uiPriority w:val="59"/>
    <w:rsid w:val="00FC693F"/>
    <w:pPr>
      <w:spacing w:after="0" w:line="240" w:lineRule="auto"/>
    </w:pPr>
    <w:rPr>
      <w:rFonts w:ascii="Arial" w:hAnsi="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